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临淄区农业水价综合改革实施方案</w:t>
      </w:r>
    </w:p>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bookmarkStart w:id="0" w:name="_GoBack"/>
      <w:bookmarkEnd w:id="0"/>
      <w:r>
        <w:rPr>
          <w:rFonts w:hint="eastAsia" w:ascii="方正小标宋简体" w:hAnsi="方正小标宋简体" w:eastAsia="方正小标宋简体" w:cs="方正小标宋简体"/>
          <w:sz w:val="44"/>
          <w:szCs w:val="44"/>
          <w:lang w:eastAsia="zh-CN"/>
        </w:rPr>
        <w:t>）</w:t>
      </w:r>
    </w:p>
    <w:p>
      <w:pPr>
        <w:spacing w:line="600" w:lineRule="exact"/>
        <w:ind w:firstLine="880" w:firstLineChars="200"/>
        <w:jc w:val="center"/>
        <w:rPr>
          <w:rFonts w:ascii="方正小标宋简体" w:hAnsi="方正小标宋简体" w:eastAsia="方正小标宋简体" w:cs="方正小标宋简体"/>
          <w:sz w:val="44"/>
          <w:szCs w:val="44"/>
        </w:rPr>
      </w:pP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为贯彻落实《国务院办公厅关于推进农业水价综合改革的意见》</w:t>
      </w:r>
      <w:r>
        <w:rPr>
          <w:rFonts w:ascii="仿宋" w:hAnsi="仿宋" w:eastAsia="仿宋" w:cs="仿宋_GB2312"/>
          <w:sz w:val="32"/>
          <w:szCs w:val="32"/>
        </w:rPr>
        <w:t>(</w:t>
      </w:r>
      <w:r>
        <w:rPr>
          <w:rFonts w:hint="eastAsia" w:ascii="仿宋" w:hAnsi="仿宋" w:eastAsia="仿宋" w:cs="仿宋_GB2312"/>
          <w:sz w:val="32"/>
          <w:szCs w:val="32"/>
        </w:rPr>
        <w:t>国办发〔</w:t>
      </w:r>
      <w:r>
        <w:rPr>
          <w:rFonts w:ascii="仿宋" w:hAnsi="仿宋" w:eastAsia="仿宋" w:cs="仿宋_GB2312"/>
          <w:sz w:val="32"/>
          <w:szCs w:val="32"/>
        </w:rPr>
        <w:t>2016</w:t>
      </w:r>
      <w:r>
        <w:rPr>
          <w:rFonts w:hint="eastAsia" w:ascii="仿宋" w:hAnsi="仿宋" w:eastAsia="仿宋" w:cs="仿宋_GB2312"/>
          <w:sz w:val="32"/>
          <w:szCs w:val="32"/>
        </w:rPr>
        <w:t>〕</w:t>
      </w:r>
      <w:r>
        <w:rPr>
          <w:rFonts w:ascii="仿宋" w:hAnsi="仿宋" w:eastAsia="仿宋" w:cs="仿宋_GB2312"/>
          <w:sz w:val="32"/>
          <w:szCs w:val="32"/>
        </w:rPr>
        <w:t>2</w:t>
      </w:r>
      <w:r>
        <w:rPr>
          <w:rFonts w:hint="eastAsia" w:ascii="仿宋" w:hAnsi="仿宋" w:eastAsia="仿宋" w:cs="仿宋_GB2312"/>
          <w:sz w:val="32"/>
          <w:szCs w:val="32"/>
        </w:rPr>
        <w:t>号</w:t>
      </w:r>
      <w:r>
        <w:rPr>
          <w:rFonts w:ascii="仿宋" w:hAnsi="仿宋" w:eastAsia="仿宋" w:cs="仿宋_GB2312"/>
          <w:sz w:val="32"/>
          <w:szCs w:val="32"/>
        </w:rPr>
        <w:t>)</w:t>
      </w:r>
      <w:r>
        <w:rPr>
          <w:rFonts w:hint="eastAsia" w:ascii="仿宋" w:hAnsi="仿宋" w:eastAsia="仿宋" w:cs="仿宋_GB2312"/>
          <w:sz w:val="32"/>
          <w:szCs w:val="32"/>
        </w:rPr>
        <w:t>《山东省人民政府办公厅关于印发山东省农业水价综合改革实施方案的通知》</w:t>
      </w:r>
      <w:r>
        <w:rPr>
          <w:rFonts w:ascii="仿宋" w:hAnsi="仿宋" w:eastAsia="仿宋" w:cs="仿宋_GB2312"/>
          <w:sz w:val="32"/>
          <w:szCs w:val="32"/>
        </w:rPr>
        <w:t>(</w:t>
      </w:r>
      <w:r>
        <w:rPr>
          <w:rFonts w:hint="eastAsia" w:ascii="仿宋" w:hAnsi="仿宋" w:eastAsia="仿宋" w:cs="仿宋_GB2312"/>
          <w:sz w:val="32"/>
          <w:szCs w:val="32"/>
        </w:rPr>
        <w:t>鲁政办发〔</w:t>
      </w:r>
      <w:r>
        <w:rPr>
          <w:rFonts w:ascii="仿宋" w:hAnsi="仿宋" w:eastAsia="仿宋" w:cs="仿宋_GB2312"/>
          <w:sz w:val="32"/>
          <w:szCs w:val="32"/>
        </w:rPr>
        <w:t>2016</w:t>
      </w:r>
      <w:r>
        <w:rPr>
          <w:rFonts w:hint="eastAsia" w:ascii="仿宋" w:hAnsi="仿宋" w:eastAsia="仿宋" w:cs="仿宋_GB2312"/>
          <w:sz w:val="32"/>
          <w:szCs w:val="32"/>
        </w:rPr>
        <w:t>〕</w:t>
      </w:r>
      <w:r>
        <w:rPr>
          <w:rFonts w:ascii="仿宋" w:hAnsi="仿宋" w:eastAsia="仿宋" w:cs="仿宋_GB2312"/>
          <w:sz w:val="32"/>
          <w:szCs w:val="32"/>
        </w:rPr>
        <w:t>44</w:t>
      </w:r>
      <w:r>
        <w:rPr>
          <w:rFonts w:hint="eastAsia" w:ascii="仿宋" w:hAnsi="仿宋" w:eastAsia="仿宋" w:cs="仿宋_GB2312"/>
          <w:sz w:val="32"/>
          <w:szCs w:val="32"/>
        </w:rPr>
        <w:t>号</w:t>
      </w:r>
      <w:r>
        <w:rPr>
          <w:rFonts w:ascii="仿宋" w:hAnsi="仿宋" w:eastAsia="仿宋" w:cs="仿宋_GB2312"/>
          <w:sz w:val="32"/>
          <w:szCs w:val="32"/>
        </w:rPr>
        <w:t>)</w:t>
      </w:r>
      <w:r>
        <w:rPr>
          <w:rFonts w:hint="eastAsia" w:ascii="仿宋" w:hAnsi="仿宋" w:eastAsia="仿宋" w:cs="仿宋_GB2312"/>
          <w:sz w:val="32"/>
          <w:szCs w:val="32"/>
        </w:rPr>
        <w:t>《淄博市人民政府办公厅关于印发淄博市农业水价综合改革实施方案的通知》(淄政办发〔2016〕156号)和区委、区政府关于深化改革一系列决策部署，扎实推进全区农业水价综合改革，特制定本方案。</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一、总体要求</w:t>
      </w:r>
    </w:p>
    <w:p>
      <w:pPr>
        <w:spacing w:line="600" w:lineRule="exact"/>
        <w:ind w:firstLine="640" w:firstLineChars="200"/>
        <w:rPr>
          <w:rFonts w:ascii="仿宋" w:hAnsi="仿宋" w:eastAsia="仿宋" w:cs="仿宋_GB2312"/>
          <w:sz w:val="32"/>
          <w:szCs w:val="32"/>
        </w:rPr>
      </w:pPr>
      <w:r>
        <w:rPr>
          <w:rFonts w:hint="eastAsia" w:ascii="楷体" w:hAnsi="楷体" w:eastAsia="楷体" w:cs="楷体"/>
          <w:sz w:val="32"/>
          <w:szCs w:val="32"/>
        </w:rPr>
        <w:t>（一）指导思想。</w:t>
      </w:r>
      <w:r>
        <w:rPr>
          <w:rFonts w:hint="eastAsia" w:ascii="仿宋" w:hAnsi="仿宋" w:eastAsia="仿宋" w:cs="仿宋_GB2312"/>
          <w:sz w:val="32"/>
          <w:szCs w:val="32"/>
        </w:rPr>
        <w:t>全面贯彻党的十八大和十八届三中、四中、五中、六中全会精神以及习近平总书记“节水优先、空间均衡、系统治理、两手发力”的新时期治水方针，牢固树立创新、协调、绿色、开放、共享的发展理念，紧紧围绕保障粮食安全和水安全、促进农业节水和农田水利工程良性运行，突出问题导向，加强供给侧结构性改革和农业用水需求管理，发挥市场在资源配置中的决定性作用，发挥政府的引导推动作用，实现政府和市场协同发力，健全农业水价形成机制，完善农田灌溉工程体系，建立农业初始水权制度和农业节水激励机制，创新农业用水管理方式，实现节水、减排、增产、增效，为推进农业现代化和率先全面建成小康社会作出积极贡献。</w:t>
      </w:r>
    </w:p>
    <w:p>
      <w:pPr>
        <w:spacing w:line="600" w:lineRule="exact"/>
        <w:ind w:firstLine="640" w:firstLineChars="200"/>
        <w:rPr>
          <w:rFonts w:ascii="仿宋" w:hAnsi="仿宋" w:eastAsia="仿宋" w:cs="仿宋_GB2312"/>
          <w:sz w:val="32"/>
          <w:szCs w:val="32"/>
        </w:rPr>
      </w:pPr>
      <w:r>
        <w:rPr>
          <w:rFonts w:hint="eastAsia" w:ascii="楷体" w:hAnsi="楷体" w:eastAsia="楷体" w:cs="楷体"/>
          <w:sz w:val="32"/>
          <w:szCs w:val="32"/>
        </w:rPr>
        <w:t>（二）基本原则。</w:t>
      </w:r>
      <w:r>
        <w:rPr>
          <w:rFonts w:hint="eastAsia" w:ascii="仿宋" w:hAnsi="仿宋" w:eastAsia="仿宋" w:cs="仿宋_GB2312"/>
          <w:sz w:val="32"/>
          <w:szCs w:val="32"/>
        </w:rPr>
        <w:t>实施农业水价综合改革，必须尊重农民意愿，维护农民权益，促进农民增收，总体上不增加农民负担。水价制定要充分考虑农民承受能力，制度安排要最大程度惠及广大农户，让农民在高效用水前提下用得起水，在积极参与改革中共享改革成果。</w:t>
      </w:r>
    </w:p>
    <w:p>
      <w:pPr>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坚持综合施策。加强农业水价综合改革与其他相关政策的衔接，机制先行，综合运用价格调整、工程配套、技术推广、结构优化、财政奖补、管理创新等举措推进改革。</w:t>
      </w:r>
    </w:p>
    <w:p>
      <w:pPr>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坚持两手发力。既要使市场在资源配置中起决定性作用，促进农业节水，也要更好发挥政府主导作用，保障粮食等重要农作物合理用水需求。</w:t>
      </w:r>
    </w:p>
    <w:p>
      <w:pPr>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坚持供需统筹。既要强化供水管理，健全运行机制，提高供水服务效率，也要把需求管理摆在更加突出位置，全面提高农业用水精细化管理水平，推动农业用水方式转变。</w:t>
      </w:r>
    </w:p>
    <w:p>
      <w:pPr>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坚持因地制宜。区分不同区域水资源禀赋、灌溉条件、经济发展水平、种植养殖结构等差异状况，结合土地流转、农业经营方式转变，尊重农民意愿，探索符合实际、各具特色的做法，有计划、分步骤推进。</w:t>
      </w:r>
    </w:p>
    <w:p>
      <w:pPr>
        <w:spacing w:line="600" w:lineRule="exact"/>
        <w:ind w:firstLine="640" w:firstLineChars="200"/>
        <w:rPr>
          <w:rFonts w:ascii="仿宋" w:hAnsi="仿宋" w:eastAsia="仿宋" w:cs="仿宋_GB2312"/>
          <w:sz w:val="32"/>
          <w:szCs w:val="32"/>
        </w:rPr>
      </w:pPr>
      <w:r>
        <w:rPr>
          <w:rFonts w:hint="eastAsia" w:ascii="楷体" w:hAnsi="楷体" w:eastAsia="楷体" w:cs="楷体"/>
          <w:sz w:val="32"/>
          <w:szCs w:val="32"/>
        </w:rPr>
        <w:t>（三）改革目标。</w:t>
      </w:r>
      <w:r>
        <w:rPr>
          <w:rFonts w:hint="eastAsia" w:ascii="仿宋" w:hAnsi="仿宋" w:eastAsia="仿宋" w:cs="仿宋_GB2312"/>
          <w:sz w:val="32"/>
          <w:szCs w:val="32"/>
        </w:rPr>
        <w:t>在全区农田有效灌溉面积范围内推行农业水价综合改革，建立起合理反映农业供水成本、有利于节水和农田水利工程良性运行的农业水价形成机制。用</w:t>
      </w:r>
      <w:r>
        <w:rPr>
          <w:rFonts w:ascii="仿宋" w:hAnsi="仿宋" w:eastAsia="仿宋" w:cs="仿宋_GB2312"/>
          <w:sz w:val="32"/>
          <w:szCs w:val="32"/>
        </w:rPr>
        <w:t>5</w:t>
      </w:r>
      <w:r>
        <w:rPr>
          <w:rFonts w:hint="eastAsia" w:ascii="仿宋" w:hAnsi="仿宋" w:eastAsia="仿宋" w:cs="仿宋_GB2312"/>
          <w:sz w:val="32"/>
          <w:szCs w:val="32"/>
        </w:rPr>
        <w:t>年左右时间，达到以下目标</w:t>
      </w:r>
      <w:r>
        <w:rPr>
          <w:rFonts w:ascii="仿宋" w:hAnsi="仿宋" w:eastAsia="仿宋" w:cs="仿宋_GB2312"/>
          <w:sz w:val="32"/>
          <w:szCs w:val="32"/>
        </w:rPr>
        <w:t>:</w:t>
      </w:r>
    </w:p>
    <w:p>
      <w:pPr>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农业用水价格总体达到水利工程运行维护成本水平，具备条件的可提高到完全成本水平；</w:t>
      </w:r>
    </w:p>
    <w:p>
      <w:pPr>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农村基层用水组织规范组建、长效运转，农业水费计收基本到位；</w:t>
      </w:r>
    </w:p>
    <w:p>
      <w:pPr>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农业用水总量控制和定额管理普遍实行，先进适用的农业节水灌溉技术措施广泛应用；</w:t>
      </w:r>
    </w:p>
    <w:p>
      <w:pPr>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建立起可持续的农业用水精准补贴和节水奖励机制。</w:t>
      </w:r>
    </w:p>
    <w:p>
      <w:pPr>
        <w:spacing w:line="600" w:lineRule="exact"/>
        <w:ind w:firstLine="640" w:firstLineChars="200"/>
        <w:rPr>
          <w:rFonts w:ascii="仿宋" w:hAnsi="仿宋" w:eastAsia="仿宋" w:cs="仿宋_GB2312"/>
          <w:sz w:val="32"/>
          <w:szCs w:val="32"/>
        </w:rPr>
      </w:pPr>
      <w:r>
        <w:rPr>
          <w:rFonts w:hint="eastAsia" w:ascii="楷体" w:hAnsi="楷体" w:eastAsia="楷体" w:cs="楷体"/>
          <w:sz w:val="32"/>
          <w:szCs w:val="32"/>
        </w:rPr>
        <w:t>（四）实施进度。</w:t>
      </w:r>
      <w:r>
        <w:rPr>
          <w:rFonts w:hint="eastAsia" w:ascii="仿宋" w:hAnsi="仿宋" w:eastAsia="仿宋" w:cs="仿宋_GB2312"/>
          <w:sz w:val="32"/>
          <w:szCs w:val="32"/>
        </w:rPr>
        <w:t>根据国家、省、市总体要求和我区农业水价综合改革目标，按计划、分步骤、集中连片规模推进，计划用</w:t>
      </w:r>
      <w:r>
        <w:rPr>
          <w:rFonts w:ascii="仿宋" w:hAnsi="仿宋" w:eastAsia="仿宋" w:cs="仿宋_GB2312"/>
          <w:sz w:val="32"/>
          <w:szCs w:val="32"/>
        </w:rPr>
        <w:t>5</w:t>
      </w:r>
      <w:r>
        <w:rPr>
          <w:rFonts w:hint="eastAsia" w:ascii="仿宋" w:hAnsi="仿宋" w:eastAsia="仿宋" w:cs="仿宋_GB2312"/>
          <w:sz w:val="32"/>
          <w:szCs w:val="32"/>
        </w:rPr>
        <w:t>年时间完成全区农业水价综合改革任务，提前完成市政府下达的任务目标。</w:t>
      </w:r>
    </w:p>
    <w:p>
      <w:pPr>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——2018</w:t>
      </w:r>
      <w:r>
        <w:rPr>
          <w:rFonts w:hint="eastAsia" w:ascii="仿宋" w:hAnsi="仿宋" w:eastAsia="仿宋" w:cs="仿宋_GB2312"/>
          <w:sz w:val="32"/>
          <w:szCs w:val="32"/>
        </w:rPr>
        <w:t>年，完成改革面积</w:t>
      </w:r>
      <w:r>
        <w:rPr>
          <w:rFonts w:ascii="仿宋" w:hAnsi="仿宋" w:eastAsia="仿宋" w:cs="仿宋_GB2312"/>
          <w:sz w:val="32"/>
          <w:szCs w:val="32"/>
        </w:rPr>
        <w:t>3.6</w:t>
      </w:r>
      <w:r>
        <w:rPr>
          <w:rFonts w:hint="eastAsia" w:ascii="仿宋" w:hAnsi="仿宋" w:eastAsia="仿宋" w:cs="仿宋_GB2312"/>
          <w:sz w:val="32"/>
          <w:szCs w:val="32"/>
        </w:rPr>
        <w:t>万亩；</w:t>
      </w:r>
    </w:p>
    <w:p>
      <w:pPr>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——2019</w:t>
      </w:r>
      <w:r>
        <w:rPr>
          <w:rFonts w:hint="eastAsia" w:ascii="仿宋" w:hAnsi="仿宋" w:eastAsia="仿宋" w:cs="仿宋_GB2312"/>
          <w:sz w:val="32"/>
          <w:szCs w:val="32"/>
        </w:rPr>
        <w:t>年，完成改革面积累计</w:t>
      </w:r>
      <w:r>
        <w:rPr>
          <w:rFonts w:ascii="仿宋" w:hAnsi="仿宋" w:eastAsia="仿宋" w:cs="仿宋_GB2312"/>
          <w:sz w:val="32"/>
          <w:szCs w:val="32"/>
        </w:rPr>
        <w:t>12.91</w:t>
      </w:r>
      <w:r>
        <w:rPr>
          <w:rFonts w:hint="eastAsia" w:ascii="仿宋" w:hAnsi="仿宋" w:eastAsia="仿宋" w:cs="仿宋_GB2312"/>
          <w:sz w:val="32"/>
          <w:szCs w:val="32"/>
          <w:lang w:eastAsia="zh-CN"/>
        </w:rPr>
        <w:t>万</w:t>
      </w:r>
      <w:r>
        <w:rPr>
          <w:rFonts w:hint="eastAsia" w:ascii="仿宋" w:hAnsi="仿宋" w:eastAsia="仿宋" w:cs="仿宋_GB2312"/>
          <w:sz w:val="32"/>
          <w:szCs w:val="32"/>
        </w:rPr>
        <w:t>亩；</w:t>
      </w:r>
    </w:p>
    <w:p>
      <w:pPr>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——2020</w:t>
      </w:r>
      <w:r>
        <w:rPr>
          <w:rFonts w:hint="eastAsia" w:ascii="仿宋" w:hAnsi="仿宋" w:eastAsia="仿宋" w:cs="仿宋_GB2312"/>
          <w:sz w:val="32"/>
          <w:szCs w:val="32"/>
        </w:rPr>
        <w:t>年，完成改革面积累计达到</w:t>
      </w:r>
      <w:r>
        <w:rPr>
          <w:rFonts w:ascii="仿宋" w:hAnsi="仿宋" w:eastAsia="仿宋" w:cs="仿宋_GB2312"/>
          <w:sz w:val="32"/>
          <w:szCs w:val="32"/>
        </w:rPr>
        <w:t>24.31</w:t>
      </w:r>
      <w:r>
        <w:rPr>
          <w:rFonts w:hint="eastAsia" w:ascii="仿宋" w:hAnsi="仿宋" w:eastAsia="仿宋" w:cs="仿宋_GB2312"/>
          <w:sz w:val="32"/>
          <w:szCs w:val="32"/>
        </w:rPr>
        <w:t>万亩；</w:t>
      </w:r>
    </w:p>
    <w:p>
      <w:pPr>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——2021</w:t>
      </w:r>
      <w:r>
        <w:rPr>
          <w:rFonts w:hint="eastAsia" w:ascii="仿宋" w:hAnsi="仿宋" w:eastAsia="仿宋" w:cs="仿宋_GB2312"/>
          <w:sz w:val="32"/>
          <w:szCs w:val="32"/>
        </w:rPr>
        <w:t>年，完成改革面积累计达到</w:t>
      </w:r>
      <w:r>
        <w:rPr>
          <w:rFonts w:ascii="仿宋" w:hAnsi="仿宋" w:eastAsia="仿宋" w:cs="仿宋_GB2312"/>
          <w:sz w:val="32"/>
          <w:szCs w:val="32"/>
        </w:rPr>
        <w:t>36.22</w:t>
      </w:r>
      <w:r>
        <w:rPr>
          <w:rFonts w:hint="eastAsia" w:ascii="仿宋" w:hAnsi="仿宋" w:eastAsia="仿宋" w:cs="仿宋_GB2312"/>
          <w:sz w:val="32"/>
          <w:szCs w:val="32"/>
        </w:rPr>
        <w:t>万亩。</w:t>
      </w:r>
    </w:p>
    <w:p>
      <w:pPr>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——2022</w:t>
      </w:r>
      <w:r>
        <w:rPr>
          <w:rFonts w:hint="eastAsia" w:ascii="仿宋" w:hAnsi="仿宋" w:eastAsia="仿宋" w:cs="仿宋_GB2312"/>
          <w:sz w:val="32"/>
          <w:szCs w:val="32"/>
        </w:rPr>
        <w:t>年，完成改革面积累计达到</w:t>
      </w:r>
      <w:r>
        <w:rPr>
          <w:rFonts w:ascii="仿宋" w:hAnsi="仿宋" w:eastAsia="仿宋" w:cs="仿宋_GB2312"/>
          <w:sz w:val="32"/>
          <w:szCs w:val="32"/>
        </w:rPr>
        <w:t>42.92</w:t>
      </w:r>
      <w:r>
        <w:rPr>
          <w:rFonts w:hint="eastAsia" w:ascii="仿宋" w:hAnsi="仿宋" w:eastAsia="仿宋" w:cs="仿宋_GB2312"/>
          <w:sz w:val="32"/>
          <w:szCs w:val="32"/>
        </w:rPr>
        <w:t>万亩。</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各镇、街道年度改革任务详见《临淄区农业水价综合改革年度实施计划表》</w:t>
      </w:r>
      <w:r>
        <w:rPr>
          <w:rFonts w:ascii="仿宋" w:hAnsi="仿宋" w:eastAsia="仿宋" w:cs="仿宋_GB2312"/>
          <w:sz w:val="32"/>
          <w:szCs w:val="32"/>
        </w:rPr>
        <w:t>(</w:t>
      </w:r>
      <w:r>
        <w:rPr>
          <w:rFonts w:hint="eastAsia" w:ascii="仿宋" w:hAnsi="仿宋" w:eastAsia="仿宋" w:cs="仿宋_GB2312"/>
          <w:sz w:val="32"/>
          <w:szCs w:val="32"/>
        </w:rPr>
        <w:t>见附件</w:t>
      </w:r>
      <w:r>
        <w:rPr>
          <w:rFonts w:ascii="仿宋" w:hAnsi="仿宋" w:eastAsia="仿宋" w:cs="仿宋_GB2312"/>
          <w:sz w:val="32"/>
          <w:szCs w:val="32"/>
        </w:rPr>
        <w:t>2)</w:t>
      </w:r>
      <w:r>
        <w:rPr>
          <w:rFonts w:hint="eastAsia" w:ascii="仿宋" w:hAnsi="仿宋" w:eastAsia="仿宋" w:cs="仿宋_GB2312"/>
          <w:sz w:val="32"/>
          <w:szCs w:val="32"/>
        </w:rPr>
        <w:t>。</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二、健全农业水价形成机制</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要把建立健全农业水价形成机制作为改革的首要任务，按照有利于促进农业节水和农田水利工程良性运行的要求，进一步完善农业水价政策和制度，规范农业用水的定价调价行为。</w:t>
      </w:r>
    </w:p>
    <w:p>
      <w:pP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（一）积极推行分类水价。</w:t>
      </w:r>
      <w:r>
        <w:rPr>
          <w:rFonts w:hint="eastAsia" w:ascii="仿宋" w:hAnsi="仿宋" w:eastAsia="仿宋" w:cs="仿宋_GB2312"/>
          <w:sz w:val="32"/>
          <w:szCs w:val="32"/>
        </w:rPr>
        <w:t>根据国家、区域农业发展政策，区分不同的农业种养结构、缺水程度、供水来源，实行分类水价。经济作物和养殖业用水价格要高于其他用水类型，其中，粮食作物用水价格应达到运行维护成本水平，一般经济作物用水价格应达到完全成本水平，高附加值经济作物、设施农业和养殖业等用水价格应达到一定盈利水平。严重缺水地区的用水价格要高于其他地区，较长缺水时期的用水价格要高于其他时期，对按照政策应当限制用水的，可以实行特殊加价制度；要使地下水用水成本高于当地地表水，适当提高地下水保护区用水价格，显著提高地下水超采区用水价格，体现地下水战略价值和综合治理成本，促进实现地下水采补平衡。</w:t>
      </w:r>
    </w:p>
    <w:p>
      <w:pPr>
        <w:spacing w:line="600" w:lineRule="exact"/>
        <w:ind w:firstLine="640" w:firstLineChars="200"/>
        <w:rPr>
          <w:rFonts w:ascii="仿宋" w:hAnsi="仿宋" w:eastAsia="仿宋" w:cs="仿宋_GB2312"/>
          <w:sz w:val="32"/>
          <w:szCs w:val="32"/>
        </w:rPr>
      </w:pPr>
      <w:r>
        <w:rPr>
          <w:rFonts w:hint="eastAsia" w:ascii="楷体" w:hAnsi="楷体" w:eastAsia="楷体" w:cs="楷体"/>
          <w:sz w:val="32"/>
          <w:szCs w:val="32"/>
        </w:rPr>
        <w:t>（二）逐步推行分档水价。</w:t>
      </w:r>
      <w:r>
        <w:rPr>
          <w:rFonts w:hint="eastAsia" w:ascii="仿宋" w:hAnsi="仿宋" w:eastAsia="仿宋" w:cs="仿宋_GB2312"/>
          <w:sz w:val="32"/>
          <w:szCs w:val="32"/>
        </w:rPr>
        <w:t>要积极创造条件，区分农业用水定额与用量、供给与需求的不同档次，实行不同水价。实行农业用水定额</w:t>
      </w:r>
      <w:r>
        <w:rPr>
          <w:rFonts w:ascii="仿宋" w:hAnsi="仿宋" w:eastAsia="仿宋" w:cs="仿宋_GB2312"/>
          <w:sz w:val="32"/>
          <w:szCs w:val="32"/>
        </w:rPr>
        <w:t>(</w:t>
      </w:r>
      <w:r>
        <w:rPr>
          <w:rFonts w:hint="eastAsia" w:ascii="仿宋" w:hAnsi="仿宋" w:eastAsia="仿宋" w:cs="仿宋_GB2312"/>
          <w:sz w:val="32"/>
          <w:szCs w:val="32"/>
        </w:rPr>
        <w:t>计划</w:t>
      </w:r>
      <w:r>
        <w:rPr>
          <w:rFonts w:ascii="仿宋" w:hAnsi="仿宋" w:eastAsia="仿宋" w:cs="仿宋_GB2312"/>
          <w:sz w:val="32"/>
          <w:szCs w:val="32"/>
        </w:rPr>
        <w:t>)</w:t>
      </w:r>
      <w:r>
        <w:rPr>
          <w:rFonts w:hint="eastAsia" w:ascii="仿宋" w:hAnsi="仿宋" w:eastAsia="仿宋" w:cs="仿宋_GB2312"/>
          <w:sz w:val="32"/>
          <w:szCs w:val="32"/>
        </w:rPr>
        <w:t>管理，以定额</w:t>
      </w:r>
      <w:r>
        <w:rPr>
          <w:rFonts w:ascii="仿宋" w:hAnsi="仿宋" w:eastAsia="仿宋" w:cs="仿宋_GB2312"/>
          <w:sz w:val="32"/>
          <w:szCs w:val="32"/>
        </w:rPr>
        <w:t>(</w:t>
      </w:r>
      <w:r>
        <w:rPr>
          <w:rFonts w:hint="eastAsia" w:ascii="仿宋" w:hAnsi="仿宋" w:eastAsia="仿宋" w:cs="仿宋_GB2312"/>
          <w:sz w:val="32"/>
          <w:szCs w:val="32"/>
        </w:rPr>
        <w:t>计划</w:t>
      </w:r>
      <w:r>
        <w:rPr>
          <w:rFonts w:ascii="仿宋" w:hAnsi="仿宋" w:eastAsia="仿宋" w:cs="仿宋_GB2312"/>
          <w:sz w:val="32"/>
          <w:szCs w:val="32"/>
        </w:rPr>
        <w:t>)</w:t>
      </w:r>
      <w:r>
        <w:rPr>
          <w:rFonts w:hint="eastAsia" w:ascii="仿宋" w:hAnsi="仿宋" w:eastAsia="仿宋" w:cs="仿宋_GB2312"/>
          <w:sz w:val="32"/>
          <w:szCs w:val="32"/>
        </w:rPr>
        <w:t>内用水量作为基准，按照“多用水多付费”的原则，确定阶梯和加价幅度，推行超定额累进加价，促进农业节水。农业用水量年际变化剧烈的地区，可以探索用水合同管理，推行基本水价和计量水价相结合的两部制水价，保障供水工程能够维持基本运行。供水量或需水量受季节变化影响显著的地区，可以推行丰枯季节水价，有效调节供需矛盾；供水量季度变化较大的，农业水价实行丰低枯高；用水量季度变化较大的，农业水价实行峰高谷低。</w:t>
      </w:r>
    </w:p>
    <w:p>
      <w:pPr>
        <w:spacing w:line="600" w:lineRule="exact"/>
        <w:ind w:firstLine="640" w:firstLineChars="200"/>
        <w:rPr>
          <w:rFonts w:ascii="仿宋" w:hAnsi="仿宋" w:eastAsia="仿宋" w:cs="仿宋_GB2312"/>
          <w:sz w:val="32"/>
          <w:szCs w:val="32"/>
        </w:rPr>
      </w:pPr>
      <w:r>
        <w:rPr>
          <w:rFonts w:hint="eastAsia" w:ascii="楷体" w:hAnsi="楷体" w:eastAsia="楷体" w:cs="楷体"/>
          <w:sz w:val="32"/>
          <w:szCs w:val="32"/>
        </w:rPr>
        <w:t>（三）完善定价调价机制。</w:t>
      </w:r>
      <w:r>
        <w:rPr>
          <w:rFonts w:hint="eastAsia" w:ascii="仿宋" w:hAnsi="仿宋" w:eastAsia="仿宋" w:cs="仿宋_GB2312"/>
          <w:sz w:val="32"/>
          <w:szCs w:val="32"/>
        </w:rPr>
        <w:t>要根据农业水价综合改革目标、原则，制定供水价格管理办法，建立起配套完善的农业水价定价调价机制。增强农业水价定价调价机制科学性、规范性和透明度，结合当地农田水利工程设施建设和用水管理等情况，充分听取和吸收各方面意见，科学合理地制定和调整农业供水价格。坚持价格调整、利益调节、合理补偿相结合，与财政税收改革、农业综合改革、水利管理体制改革相协调，把握调价时机、力度和节奏，确保调整后的农业水价可接受、可实施。</w:t>
      </w:r>
    </w:p>
    <w:p>
      <w:pP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（四）切实加强总体调控。</w:t>
      </w:r>
      <w:r>
        <w:rPr>
          <w:rFonts w:hint="eastAsia" w:ascii="仿宋" w:hAnsi="仿宋" w:eastAsia="仿宋" w:cs="仿宋_GB2312"/>
          <w:sz w:val="32"/>
          <w:szCs w:val="32"/>
        </w:rPr>
        <w:t>要合理运用行政手段、经济手段和必要的法律手段，确保农业水价整体上处于合理区间、局部之间体现合理差异。农业水价原则上应达到运行维护成本水平，水资源紧缺、用水户承受能力强的区域可提高到完全成本水平；水资源紧缺区域、地下水超采区的农业水价要率先调整到位，用水量大或附加值高的经济作物和养殖业要率先调整到完全成本水平。</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三、夯实农业水价改革基础</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把握农业用水与供水、量水、节水的内在联系，把夯实农业水价综合改革工程基础摆在重要位置，找准薄弱环节，有针对性地补足补强农田灌溉、测水量水设施，落实节水措施，为各项机制发挥作用创造条件。</w:t>
      </w:r>
    </w:p>
    <w:p>
      <w:pP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（一）配套供水计量设施。</w:t>
      </w:r>
      <w:r>
        <w:rPr>
          <w:rFonts w:hint="eastAsia" w:ascii="仿宋" w:hAnsi="仿宋" w:eastAsia="仿宋" w:cs="仿宋_GB2312"/>
          <w:sz w:val="32"/>
          <w:szCs w:val="32"/>
        </w:rPr>
        <w:t>按照经济适用、满足取用水管理和计量收费需要的原则，合理确定供水计量控制层级，采用群众易于接受的测水量水方式和方法，加快计量体系建设。公共财政投资建设的农田水利工程都要配套建设供水计量设施，新建、改扩建工程要同步建设计量设施，尚未配备计量设施的已建工程要通过改造补足配齐，严重缺水地区和地下水超采区域限期配套完善。小型水源工程要因地制宜设置固定、半固定或移动式计量设施；使用地下水灌溉的要计量到井，有条件的地方可计量到户。对于田间用水计量，可结合水费计收的要求，因地制宜灵活采用当地群众易于接受的测水量水方式和方法。井灌区可实行“以电定水、水电双控”等计量方式；小水源灌区可采用“以时折水”“以亩折水”等计量方式。</w:t>
      </w:r>
    </w:p>
    <w:p>
      <w:pPr>
        <w:spacing w:line="600" w:lineRule="exact"/>
        <w:ind w:firstLine="640" w:firstLineChars="200"/>
        <w:rPr>
          <w:rFonts w:ascii="仿宋" w:hAnsi="仿宋" w:eastAsia="仿宋" w:cs="仿宋_GB2312"/>
          <w:sz w:val="32"/>
          <w:szCs w:val="32"/>
        </w:rPr>
      </w:pPr>
      <w:r>
        <w:rPr>
          <w:rFonts w:hint="eastAsia" w:ascii="楷体" w:hAnsi="楷体" w:eastAsia="楷体" w:cs="楷体"/>
          <w:sz w:val="32"/>
          <w:szCs w:val="32"/>
        </w:rPr>
        <w:t>（二）完善农田灌溉工程体系。</w:t>
      </w:r>
      <w:r>
        <w:rPr>
          <w:rFonts w:hint="eastAsia" w:ascii="仿宋" w:hAnsi="仿宋" w:eastAsia="仿宋" w:cs="仿宋_GB2312"/>
          <w:sz w:val="32"/>
          <w:szCs w:val="32"/>
        </w:rPr>
        <w:t>结合现代水网建设，针对不同地区、各类灌区工程设施短板，突出重点，建设末级渠系和田间配套工程，畅通农田灌溉“最后一公里”。</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井灌区要突出优化机井布局和机井配套建设。大田作物区，要推广应用无井房射频卡控制管道输水灌溉等模式；经济作物区，要积极引进先进节水设备，发展喷灌、微灌等现代高效精准灌溉。</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小水源灌区要突出小水源开发并配套建设灌溉设施。推广多水源联合调度管道化灌溉，推广提水管道输水灌溉和自流管道输水灌溉。探索“以奖代补、先建后补”等有效途径和方法，引导社会资本和农民自筹资金参与建设包括小渠道、小泵站和机电井等各类小型农田水利工程。</w:t>
      </w:r>
    </w:p>
    <w:p>
      <w:pP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（三）推广节水技术和措施。</w:t>
      </w:r>
      <w:r>
        <w:rPr>
          <w:rFonts w:hint="eastAsia" w:ascii="仿宋" w:hAnsi="仿宋" w:eastAsia="仿宋" w:cs="仿宋_GB2312"/>
          <w:sz w:val="32"/>
          <w:szCs w:val="32"/>
        </w:rPr>
        <w:t>根据各地水资源条件和粮食作物、经济作物不同特点，大力推广渠道防渗、“渠改管”和射频卡等工艺设备，大力推广管灌、喷灌、滴灌、渗灌等高效节水技术，集成应用水肥、水药、水肥药一体化技术。积极发展田间土地整平技术和深松整地、覆盖保墒措施，合理采用绿色抗旱保水措施等，提升天然降水利用效率。因地制宜调整农业生产布局、农作物种植结构，主动调减水资源短缺、地表水过度利用、地下水严重超采地区的高耗水作物面积，推广需水少的耐旱节水作物，增加作物生育阶段需水与天然降水相匹配的低耗水作物面积。</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四、建立农业初始水权制度</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按照最严格水资源管理制度和水资源用途管制政策，以镇、街道域为单元，科学合理地分配农业水权，建立起水权交易制度，让农民成为通过转让节余水量获得收益的主体，最大限度地释放农业水价综合改革的活力。</w:t>
      </w:r>
    </w:p>
    <w:p>
      <w:pPr>
        <w:spacing w:line="600" w:lineRule="exact"/>
        <w:ind w:firstLine="640" w:firstLineChars="200"/>
        <w:rPr>
          <w:rFonts w:ascii="仿宋" w:hAnsi="仿宋" w:eastAsia="仿宋" w:cs="仿宋_GB2312"/>
          <w:sz w:val="32"/>
          <w:szCs w:val="32"/>
        </w:rPr>
      </w:pPr>
      <w:r>
        <w:rPr>
          <w:rFonts w:hint="eastAsia" w:ascii="楷体" w:hAnsi="楷体" w:eastAsia="楷体" w:cs="楷体"/>
          <w:sz w:val="32"/>
          <w:szCs w:val="32"/>
        </w:rPr>
        <w:t>（一）分解农业用水总量控制指标。</w:t>
      </w:r>
      <w:r>
        <w:rPr>
          <w:rFonts w:hint="eastAsia" w:ascii="仿宋" w:hAnsi="仿宋" w:eastAsia="仿宋" w:cs="仿宋_GB2312"/>
          <w:sz w:val="32"/>
          <w:szCs w:val="32"/>
        </w:rPr>
        <w:t>区级水行政主管部门要依据本区域用水总量控制指标，确定农业用水总量控制指标并逐级进行分解。要将农业用水总量控制指标分解到镇（街道）、村集体、农村基层用水组织等用水主体，具备条件的可分解到具体用水户或地块，明确农业用水主体的用水总量控制指标。</w:t>
      </w:r>
    </w:p>
    <w:p>
      <w:pP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（二）明确农业初始水权。</w:t>
      </w:r>
      <w:r>
        <w:rPr>
          <w:rFonts w:hint="eastAsia" w:ascii="仿宋" w:hAnsi="仿宋" w:eastAsia="仿宋" w:cs="仿宋_GB2312"/>
          <w:sz w:val="32"/>
          <w:szCs w:val="32"/>
        </w:rPr>
        <w:t>区级水行政主管部门要根据用水总量控制指标和农业灌溉用水定额，核定单位灌溉用水量，在保障合理灌溉用水的基础上，按照适度从紧的原则，分配给工程单元或终端用水主体，明确其获得的农业初始水权。区级水行政主管部门向用水单位或个人颁发水权证书，注明水源、水量、用途、期限、转让条件等，明确用水权利和义务。水权证书应采取动态管理、定期核定，期间因许可水量发生变化、土地流转或土地用途发生变化而导致农业水权转移变化的，须经发证单位批准并重新核发。</w:t>
      </w:r>
    </w:p>
    <w:p>
      <w:pP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（三）建立水权交易制度。</w:t>
      </w:r>
      <w:r>
        <w:rPr>
          <w:rFonts w:hint="eastAsia" w:ascii="仿宋" w:hAnsi="仿宋" w:eastAsia="仿宋" w:cs="仿宋_GB2312"/>
          <w:sz w:val="32"/>
          <w:szCs w:val="32"/>
        </w:rPr>
        <w:t>鼓励用水户节约用水，允许农业水权流转，节余水量可以转让交易。土地承包经营权流转时，农业水权一并流转使用。有条件的地方应以行政区域为单元，建立水权交易市场，在不影响粮食基本用水的前提下，保障用水户获得节水收益。政府或其授权的水行政主管部门可予以回购；在满足区域内农业用水前提下，推行节水量跨区域、跨行业转让。区级水行政主管部门负责制定本行政区域内农业水权交易规则并监督实施，其中，跨行政区域的农业水权交易由上一级水行政主管部门负责监督管理。</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五、建立农业用水精准补贴与节水奖励制度</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要结合实际，制定具体的农业用水精准补贴和节水奖励办法，调动农民参与改革、实施节水的积极性，有效破解不提价难以实现节约用水和工程良性运行、提价农民难以接受的农业水价改革“两难”问题。</w:t>
      </w:r>
    </w:p>
    <w:p>
      <w:pP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（一）实行农业用水精准补贴。</w:t>
      </w:r>
      <w:r>
        <w:rPr>
          <w:rFonts w:hint="eastAsia" w:ascii="仿宋" w:hAnsi="仿宋" w:eastAsia="仿宋" w:cs="仿宋_GB2312"/>
          <w:sz w:val="32"/>
          <w:szCs w:val="32"/>
        </w:rPr>
        <w:t>在完善农业水价形成机制的基础上，建立与节水成效、调价幅度、财力状况相匹配的农业用水精准补贴机制。在发挥水价促进节水杠杆作用的同时，确保总体不增加农户定额内用水的水费支出，保障农户合理用水权益，保护农民种粮积极性。建立健全精准补贴机制，以水价调整为前提，补贴与承受能力挂钩，农业用水超出定额、农业水价调整未达到要求或未超出农户承受能力的不予补贴。</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精准补贴对象主要为在定额内用水的种植粮食作物的用水主体，包括不同规模的农民用水户、正式登记注册的农民用水合作组织、依法设立的新型农业经营组织，以及小型灌排设施和配套计量设施管护主体。</w:t>
      </w:r>
    </w:p>
    <w:p>
      <w:pPr>
        <w:spacing w:line="600" w:lineRule="exact"/>
        <w:ind w:firstLine="640" w:firstLineChars="200"/>
        <w:rPr>
          <w:rFonts w:ascii="仿宋_GB2312" w:hAnsi="仿宋_GB2312" w:eastAsia="仿宋_GB2312" w:cs="仿宋_GB2312"/>
          <w:sz w:val="32"/>
          <w:szCs w:val="32"/>
        </w:rPr>
      </w:pPr>
      <w:r>
        <w:rPr>
          <w:rFonts w:hint="eastAsia" w:ascii="仿宋" w:hAnsi="仿宋" w:eastAsia="仿宋" w:cs="仿宋_GB2312"/>
          <w:sz w:val="32"/>
          <w:szCs w:val="32"/>
        </w:rPr>
        <w:t>补贴标准，根据定额内用水成本与运行维护成本的差额，统筹考虑农业水价调整与农户承受能力，制定不同的补贴标准。可以直接对工程运行维护费给予一定比例的补贴，也可按照运行维护成本与水价改革前终端水价的差价给予一定比例的补贴。兑现补贴，可以在用水户认可的前提下，对维修养护主体采取按项补贴、据实报销等方式兑现补贴；也可以对各类用水户按照扩大或改善灌溉面积或用水量，在灌溉周期结束后或年终统一发放。</w:t>
      </w:r>
    </w:p>
    <w:p>
      <w:pPr>
        <w:spacing w:line="600" w:lineRule="exact"/>
        <w:ind w:firstLine="640" w:firstLineChars="200"/>
        <w:rPr>
          <w:rFonts w:ascii="仿宋" w:hAnsi="仿宋" w:eastAsia="仿宋" w:cs="仿宋_GB2312"/>
          <w:sz w:val="32"/>
          <w:szCs w:val="32"/>
        </w:rPr>
      </w:pPr>
      <w:r>
        <w:rPr>
          <w:rFonts w:hint="eastAsia" w:ascii="楷体" w:hAnsi="楷体" w:eastAsia="楷体" w:cs="楷体"/>
          <w:sz w:val="32"/>
          <w:szCs w:val="32"/>
        </w:rPr>
        <w:t>（二）建立农业节水奖励机制。</w:t>
      </w:r>
      <w:r>
        <w:rPr>
          <w:rFonts w:hint="eastAsia" w:ascii="仿宋" w:hAnsi="仿宋" w:eastAsia="仿宋" w:cs="仿宋_GB2312"/>
          <w:sz w:val="32"/>
          <w:szCs w:val="32"/>
        </w:rPr>
        <w:t>建立易于操作、用户普遍接受的奖励机制，对积极推广应用工程节水、农艺节水、调整种植结构，取得明显节水成效的农业用水主体给予奖励。</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奖励对象为积极推广应用工程节水、农艺节水、调整优化种植结构等实现农业节水的用水主体，重点奖励农村基层用水组织、新型农业经营主体和种粮大户等。</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奖励标准要综合考虑节水水量、水权交易、回购等因素。对于未发生实际灌溉，因种植面积缩减或者转产等非节水因素引起的用水量下降，不予奖补。节水奖励按照申请、审核、批准、兑付的程序实施。可以给予资金奖励、物质奖励，也可以采取节水回购方式给予奖励。</w:t>
      </w:r>
    </w:p>
    <w:p>
      <w:pP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（三）明确奖补资金来源。</w:t>
      </w:r>
      <w:r>
        <w:rPr>
          <w:rFonts w:hint="eastAsia" w:ascii="仿宋" w:hAnsi="仿宋" w:eastAsia="仿宋" w:cs="仿宋_GB2312"/>
          <w:sz w:val="32"/>
          <w:szCs w:val="32"/>
        </w:rPr>
        <w:t>要通过不同途径、不同方法落实农业用水精准补贴和节水奖励资金。精准补贴和节水奖励资金来源，主要通过优化各级财政农田水利和农业奖补资金支出结构，加大用于精准补贴和节水奖励的支持力度，以及超定额累进加价水费分成收入、地下水提价分成收入、高附加值作物或非农业供水分成利润、水权转让分成收入、社会捐赠等多种渠道筹集。要认真测算精准补贴和节水奖励资金需求，明确资金来源，确保满足农业水价调整后实施精准奖补需要。制定奖补资金筹集使用管理办法，明确使用范围和程序，公开公平公正操作，接受社会监督。</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六、创新农业用水管理方式</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要立足实际，适应农业生产和经营方式转变，适应市场化改革、社会化服务趋势，提高农民参与度，创新农业用水管理的组织形式、运作模式和农田水利工程管护机制，为农业水价综合改革机制长期发挥作用、农民持久享受政策普惠创造条件。</w:t>
      </w:r>
    </w:p>
    <w:p>
      <w:pPr>
        <w:numPr>
          <w:ilvl w:val="0"/>
          <w:numId w:val="1"/>
        </w:numPr>
        <w:spacing w:line="600" w:lineRule="exact"/>
        <w:ind w:firstLine="640" w:firstLineChars="200"/>
        <w:rPr>
          <w:rFonts w:ascii="仿宋" w:hAnsi="仿宋" w:eastAsia="仿宋" w:cs="仿宋_GB2312"/>
          <w:sz w:val="32"/>
          <w:szCs w:val="32"/>
        </w:rPr>
      </w:pPr>
      <w:r>
        <w:rPr>
          <w:rFonts w:hint="eastAsia" w:ascii="楷体" w:hAnsi="楷体" w:eastAsia="楷体" w:cs="楷体"/>
          <w:sz w:val="32"/>
          <w:szCs w:val="32"/>
        </w:rPr>
        <w:t>组建农村基层用水组织。</w:t>
      </w:r>
      <w:r>
        <w:rPr>
          <w:rFonts w:hint="eastAsia" w:ascii="仿宋" w:hAnsi="仿宋" w:eastAsia="仿宋" w:cs="仿宋_GB2312"/>
          <w:sz w:val="32"/>
          <w:szCs w:val="32"/>
        </w:rPr>
        <w:t>鼓励组建具有持续自我发展能力的农村基层用水组织，作为农业用水协商定价、计量收费、水权转让的实施主体。可以依托农村基层组织、新型农业经营主体，成立灌溉专业合作社、农民用水户协会；也可以由新型农业经营主体自主创办水利经济合作社、农业用水服务公司。不具备以上条件的，要依托农村水利基层服务体系，健全村级用水管理组织。</w:t>
      </w:r>
    </w:p>
    <w:p>
      <w:pP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（二）深化农田水利工程产权制度改革。</w:t>
      </w:r>
      <w:r>
        <w:rPr>
          <w:rFonts w:hint="eastAsia" w:ascii="仿宋" w:hAnsi="仿宋" w:eastAsia="仿宋" w:cs="仿宋_GB2312"/>
          <w:sz w:val="32"/>
          <w:szCs w:val="32"/>
        </w:rPr>
        <w:t>按照“谁投资、谁所有、谁受益、谁负担”的原则，明晰农田水利工程特别是小型农田水利设施产权主体。区政府或其授权部门对辖区内农田水利工程进行产权核定、登记造册并颁发产权证书。推进农田水利工程设施所有权与使用权合理分离，将使用权移交给村集体或农民用水合作组织。区政府或其授权部门审核、颁发农田水利工程使用权证书，与工程设施使用权所有者签订工程管护协议书，明确管护责任。</w:t>
      </w:r>
    </w:p>
    <w:p>
      <w:pPr>
        <w:spacing w:line="600" w:lineRule="exact"/>
        <w:ind w:firstLine="640" w:firstLineChars="200"/>
        <w:rPr>
          <w:rFonts w:ascii="仿宋" w:hAnsi="仿宋" w:eastAsia="仿宋" w:cs="仿宋_GB2312"/>
          <w:sz w:val="32"/>
          <w:szCs w:val="32"/>
        </w:rPr>
      </w:pPr>
      <w:r>
        <w:rPr>
          <w:rFonts w:hint="eastAsia" w:ascii="楷体" w:hAnsi="楷体" w:eastAsia="楷体" w:cs="楷体"/>
          <w:sz w:val="32"/>
          <w:szCs w:val="32"/>
        </w:rPr>
        <w:t>（三）实现农村基层用水组织健康发展。</w:t>
      </w:r>
      <w:r>
        <w:rPr>
          <w:rFonts w:hint="eastAsia" w:ascii="仿宋" w:hAnsi="仿宋" w:eastAsia="仿宋" w:cs="仿宋_GB2312"/>
          <w:sz w:val="32"/>
          <w:szCs w:val="32"/>
        </w:rPr>
        <w:t>支持农村基层用水组织规范组建，完善管理制度，建立长效机制。支持农村基层用水组织实行市场化运作、专业化服务、物业化管理，鼓励实行资本化运营，增强自我发展能力。鼓励将农田水利工程设施使用权与农业初始水权赋予同一主体，更好地发挥农村基层用水组织、新型农业经营主体建设农田灌溉工程、养护工程设施的优势和在用水管理、水费计收等方面的作用，提高农业用水管理水平和效益。通过水利工程设施抵押贷款、政府购买服务等方式，鼓励社会资本参与农田水利工程建设和管护，对符合条件的农村基层用水组织给予重点培育，扶持其做优做强。</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七、保障措施</w:t>
      </w:r>
    </w:p>
    <w:p>
      <w:pP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（一）加强组织领导。</w:t>
      </w:r>
      <w:r>
        <w:rPr>
          <w:rFonts w:hint="eastAsia" w:ascii="仿宋" w:hAnsi="仿宋" w:eastAsia="仿宋" w:cs="仿宋_GB2312"/>
          <w:sz w:val="32"/>
          <w:szCs w:val="32"/>
        </w:rPr>
        <w:t>要建立健全农业水价综合改革领导机制，加强对改革工作的领导，协调解决工作中遇到的重大问题。区政府对全区农业水价综合改革工作负总责，成立临淄区农业水价综合改革领导小组（见附件</w:t>
      </w:r>
      <w:r>
        <w:rPr>
          <w:rFonts w:ascii="仿宋" w:hAnsi="仿宋" w:eastAsia="仿宋" w:cs="仿宋_GB2312"/>
          <w:sz w:val="32"/>
          <w:szCs w:val="32"/>
        </w:rPr>
        <w:t>1</w:t>
      </w:r>
      <w:r>
        <w:rPr>
          <w:rFonts w:hint="eastAsia" w:ascii="仿宋" w:hAnsi="仿宋" w:eastAsia="仿宋" w:cs="仿宋_GB2312"/>
          <w:sz w:val="32"/>
          <w:szCs w:val="32"/>
        </w:rPr>
        <w:t>）。各成员单位要高度重视农业水价综合改革工作，将其作为全面深化改革重点任务；要建立健全领导体制和工作机制，主要负责同志亲自抓，把握好方向和路径，加强工作指导和协调；结合实际制定具体实施方案，明确改革时间表和路线图，细化年度改革目标和改革任务，确保各项改革措施落到实处。</w:t>
      </w:r>
    </w:p>
    <w:p>
      <w:pP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（二）明确责任分工。</w:t>
      </w:r>
      <w:r>
        <w:rPr>
          <w:rFonts w:hint="eastAsia" w:ascii="仿宋" w:hAnsi="仿宋" w:eastAsia="仿宋" w:cs="仿宋_GB2312"/>
          <w:sz w:val="32"/>
          <w:szCs w:val="32"/>
        </w:rPr>
        <w:t>各成员单位要明确部门分工，细化落实责任，协同推进改革。发改部门负责督促落实农业水价综合改革区的预算内基本建设项目计划；财政部门负责落实奖补资金，加强资金管理和组织开展绩效评价；农业部门负责种植结构调整、农艺节水措施推广、加大农业补贴支持力度；水</w:t>
      </w:r>
      <w:r>
        <w:rPr>
          <w:rFonts w:hint="eastAsia" w:ascii="仿宋" w:hAnsi="仿宋" w:eastAsia="仿宋" w:cs="仿宋_GB2312"/>
          <w:sz w:val="32"/>
          <w:szCs w:val="32"/>
          <w:lang w:eastAsia="zh-CN"/>
        </w:rPr>
        <w:t>务</w:t>
      </w:r>
      <w:r>
        <w:rPr>
          <w:rFonts w:hint="eastAsia" w:ascii="仿宋" w:hAnsi="仿宋" w:eastAsia="仿宋" w:cs="仿宋_GB2312"/>
          <w:sz w:val="32"/>
          <w:szCs w:val="32"/>
        </w:rPr>
        <w:t>部门负责农业用水总量控制和定额管理、水利工程建设和管理、水利工程产权界定、农业初始水权分配以及农业水价综合改革的日常工作；物价部门负责农业供水成本核算、农业用水价格核定、超定额累进加价和分类水价制定，同时履行水价执行的监督责任；工商、民政部门负责农村基层用水组织的登记注册管理；供电部门要全力配合做好“以电定水，水电双控”技术方案的编制及实施工作，其它部门要按职责分工，分别做好相关工作。　　</w:t>
      </w:r>
    </w:p>
    <w:p>
      <w:pPr>
        <w:spacing w:line="600" w:lineRule="exact"/>
        <w:ind w:firstLine="640" w:firstLineChars="200"/>
        <w:rPr>
          <w:rFonts w:ascii="仿宋" w:hAnsi="仿宋" w:eastAsia="仿宋" w:cs="仿宋_GB2312"/>
          <w:sz w:val="32"/>
          <w:szCs w:val="32"/>
        </w:rPr>
      </w:pPr>
      <w:r>
        <w:rPr>
          <w:rFonts w:hint="eastAsia" w:ascii="楷体" w:hAnsi="楷体" w:eastAsia="楷体" w:cs="楷体"/>
          <w:sz w:val="32"/>
          <w:szCs w:val="32"/>
        </w:rPr>
        <w:t>（三）严格监督考核。</w:t>
      </w:r>
      <w:r>
        <w:rPr>
          <w:rFonts w:hint="eastAsia" w:ascii="仿宋" w:hAnsi="仿宋" w:eastAsia="仿宋" w:cs="仿宋_GB2312"/>
          <w:sz w:val="32"/>
          <w:szCs w:val="32"/>
        </w:rPr>
        <w:t>要加强对农业水价综合改革工作的监督和考核，逐级压实责任，一级抓一级，层层抓落实。区政府负责对各成员单位的监督和考核。区农业水价综合改革领导小组组织制定考核办法，对各镇、街道实施方案落实情况进行定期检查和年度考核，考核结果与区以上农田水利工程建设资金投入挂钩；建立改革进度报告、通报和约谈、整改等制度，定期向社会公开通报各镇、街道工作进展情况，对进度滞后的进行约谈，对工作不力的责令整改，对整改不到位的实行问责。</w:t>
      </w:r>
    </w:p>
    <w:p>
      <w:pPr>
        <w:spacing w:line="600" w:lineRule="exact"/>
        <w:ind w:firstLine="640" w:firstLineChars="200"/>
        <w:rPr>
          <w:rFonts w:ascii="仿宋" w:hAnsi="仿宋" w:eastAsia="仿宋" w:cs="仿宋_GB2312"/>
          <w:sz w:val="32"/>
          <w:szCs w:val="32"/>
        </w:rPr>
      </w:pPr>
      <w:r>
        <w:rPr>
          <w:rFonts w:hint="eastAsia" w:ascii="楷体" w:hAnsi="楷体" w:eastAsia="楷体" w:cs="楷体"/>
          <w:sz w:val="32"/>
          <w:szCs w:val="32"/>
        </w:rPr>
        <w:t>（四）加大资金投入。</w:t>
      </w:r>
      <w:r>
        <w:rPr>
          <w:rFonts w:hint="eastAsia" w:ascii="仿宋" w:hAnsi="仿宋" w:eastAsia="仿宋" w:cs="仿宋_GB2312"/>
          <w:sz w:val="32"/>
          <w:szCs w:val="32"/>
        </w:rPr>
        <w:t>要充分发挥财政资金对农业水价综合改革的引导作用，统筹公共财政一般预算、地方水利建设基金、国有土地出让收益计提农田水利建设资金等，调整财政支农资金支出结构，不断加大对农业水价综合改革的投入力度。各级财政投入到小型农田水利的资金要重点用于农业水价综合改革，主要补助农田水利工程与计量设施建设、工程维修养护、农村基层用水组织能力建设、农业用水精准补贴以及节水奖励等方面。在安排农田水利方面资金时，向农业水价综合改革地区倾斜，对农业水价综合改革积极性高、工作有成效的镇、街道给予重点支持。以工程产权界定为基础、水权有偿交易为纽带、合理投资回报为吸引，鼓励社会资本以多种形式参与农业水价综合改革。</w:t>
      </w:r>
    </w:p>
    <w:p>
      <w:pPr>
        <w:spacing w:line="600" w:lineRule="exact"/>
        <w:ind w:firstLine="640" w:firstLineChars="200"/>
        <w:rPr>
          <w:rFonts w:ascii="楷体" w:hAnsi="楷体" w:eastAsia="楷体" w:cs="楷体"/>
          <w:sz w:val="32"/>
          <w:szCs w:val="32"/>
        </w:rPr>
        <w:sectPr>
          <w:headerReference r:id="rId3" w:type="default"/>
          <w:footerReference r:id="rId4" w:type="default"/>
          <w:pgSz w:w="11906" w:h="16838"/>
          <w:pgMar w:top="1440" w:right="1800" w:bottom="1440" w:left="1800" w:header="851" w:footer="992" w:gutter="0"/>
          <w:pgNumType w:fmt="decimal"/>
          <w:cols w:space="0" w:num="1"/>
          <w:docGrid w:type="lines" w:linePitch="312" w:charSpace="0"/>
        </w:sectPr>
      </w:pPr>
    </w:p>
    <w:p>
      <w:pPr>
        <w:spacing w:line="600" w:lineRule="exact"/>
        <w:ind w:firstLine="640" w:firstLineChars="200"/>
        <w:rPr>
          <w:rFonts w:ascii="仿宋" w:hAnsi="仿宋" w:eastAsia="仿宋" w:cs="仿宋_GB2312"/>
          <w:sz w:val="32"/>
          <w:szCs w:val="32"/>
        </w:rPr>
      </w:pPr>
      <w:r>
        <w:rPr>
          <w:rFonts w:ascii="楷体" w:hAnsi="楷体" w:eastAsia="楷体" w:cs="楷体"/>
          <w:sz w:val="32"/>
          <w:szCs w:val="32"/>
        </w:rPr>
        <w:t>(</w:t>
      </w:r>
      <w:r>
        <w:rPr>
          <w:rFonts w:hint="eastAsia" w:ascii="楷体" w:hAnsi="楷体" w:eastAsia="楷体" w:cs="楷体"/>
          <w:sz w:val="32"/>
          <w:szCs w:val="32"/>
        </w:rPr>
        <w:t>五</w:t>
      </w:r>
      <w:r>
        <w:rPr>
          <w:rFonts w:ascii="楷体" w:hAnsi="楷体" w:eastAsia="楷体" w:cs="楷体"/>
          <w:sz w:val="32"/>
          <w:szCs w:val="32"/>
        </w:rPr>
        <w:t>)</w:t>
      </w:r>
      <w:r>
        <w:rPr>
          <w:rFonts w:hint="eastAsia" w:ascii="楷体" w:hAnsi="楷体" w:eastAsia="楷体" w:cs="楷体"/>
          <w:sz w:val="32"/>
          <w:szCs w:val="32"/>
        </w:rPr>
        <w:t>强化培训宣传。</w:t>
      </w:r>
      <w:r>
        <w:rPr>
          <w:rFonts w:hint="eastAsia" w:ascii="仿宋" w:hAnsi="仿宋" w:eastAsia="仿宋" w:cs="仿宋_GB2312"/>
          <w:sz w:val="32"/>
          <w:szCs w:val="32"/>
        </w:rPr>
        <w:t>要围绕推进农业水价综合改革，组织开展专门的业务培训，切实提高相关工作人员的思想认识和业务水平，</w:t>
      </w:r>
      <w:r>
        <w:rPr>
          <w:rFonts w:hint="eastAsia" w:ascii="仿宋" w:hAnsi="仿宋" w:eastAsia="仿宋" w:cs="仿宋_GB2312"/>
          <w:sz w:val="32"/>
          <w:szCs w:val="32"/>
          <w:lang w:eastAsia="zh-CN"/>
        </w:rPr>
        <w:t>抓</w:t>
      </w:r>
      <w:r>
        <w:rPr>
          <w:rFonts w:hint="eastAsia" w:ascii="仿宋" w:hAnsi="仿宋" w:eastAsia="仿宋" w:cs="仿宋_GB2312"/>
          <w:sz w:val="32"/>
          <w:szCs w:val="32"/>
        </w:rPr>
        <w:t>好横向交流，确保各项政策落实不走样、见实效。各成员单位要做好农业水价综合改革政策解读，回应农民关切，让广大农民充分了解改革的出发点、落脚点和具体举措；总结宣传改革进展情况，发现和宣传本地改革过程中涌现的典型，让全社会看到实施改革带来的变化、广大农民享受到的改革成果；强化水情教育，增强农民乃至全社会有偿用水、节约用水意识和节水自觉性，积极营造有利于加快完善农业水价形成机制、深化农业水价综合改革的良好舆论氛围。</w:t>
      </w:r>
    </w:p>
    <w:p>
      <w:pPr>
        <w:spacing w:line="600" w:lineRule="exact"/>
        <w:ind w:firstLine="640" w:firstLineChars="200"/>
        <w:rPr>
          <w:rFonts w:ascii="仿宋" w:hAnsi="仿宋" w:eastAsia="仿宋" w:cs="仿宋_GB2312"/>
          <w:sz w:val="32"/>
          <w:szCs w:val="32"/>
        </w:rPr>
      </w:pP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附件：</w:t>
      </w:r>
      <w:r>
        <w:rPr>
          <w:rFonts w:ascii="仿宋" w:hAnsi="仿宋" w:eastAsia="仿宋" w:cs="仿宋_GB2312"/>
          <w:sz w:val="32"/>
          <w:szCs w:val="32"/>
        </w:rPr>
        <w:t>1.</w:t>
      </w:r>
      <w:r>
        <w:rPr>
          <w:rFonts w:hint="eastAsia" w:ascii="仿宋" w:hAnsi="仿宋" w:eastAsia="仿宋" w:cs="仿宋_GB2312"/>
          <w:sz w:val="32"/>
          <w:szCs w:val="32"/>
        </w:rPr>
        <w:t>临淄区农业水价综合改革领导小组成员名单</w:t>
      </w:r>
    </w:p>
    <w:p>
      <w:pPr>
        <w:spacing w:line="600" w:lineRule="exact"/>
        <w:ind w:firstLine="640" w:firstLineChars="200"/>
        <w:rPr>
          <w:rFonts w:ascii="仿宋" w:hAnsi="仿宋" w:eastAsia="仿宋" w:cs="仿宋_GB2312"/>
          <w:sz w:val="32"/>
          <w:szCs w:val="32"/>
        </w:rPr>
        <w:sectPr>
          <w:footerReference r:id="rId5" w:type="default"/>
          <w:pgSz w:w="11906" w:h="16838"/>
          <w:pgMar w:top="1440" w:right="1800" w:bottom="1440" w:left="1800" w:header="851" w:footer="992" w:gutter="0"/>
          <w:pgNumType w:fmt="decimal"/>
          <w:cols w:space="0" w:num="1"/>
          <w:docGrid w:type="lines" w:linePitch="312" w:charSpace="0"/>
        </w:sectPr>
      </w:pPr>
      <w:r>
        <w:rPr>
          <w:rFonts w:ascii="仿宋" w:hAnsi="仿宋" w:eastAsia="仿宋" w:cs="仿宋_GB2312"/>
          <w:sz w:val="32"/>
          <w:szCs w:val="32"/>
        </w:rPr>
        <w:t xml:space="preserve">      2.</w:t>
      </w:r>
      <w:r>
        <w:rPr>
          <w:rFonts w:hint="eastAsia" w:ascii="仿宋" w:hAnsi="仿宋" w:eastAsia="仿宋" w:cs="仿宋_GB2312"/>
          <w:sz w:val="32"/>
          <w:szCs w:val="32"/>
        </w:rPr>
        <w:t>临淄区农业水价综合改革年度实施计划表</w:t>
      </w:r>
    </w:p>
    <w:p>
      <w:pPr>
        <w:spacing w:line="60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临淄区农业水价综合改革</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领导小组成员名单</w:t>
      </w:r>
    </w:p>
    <w:p>
      <w:pPr>
        <w:spacing w:line="600" w:lineRule="exact"/>
        <w:jc w:val="center"/>
        <w:rPr>
          <w:rFonts w:ascii="仿宋_GB2312" w:hAnsi="仿宋_GB2312" w:eastAsia="仿宋_GB2312" w:cs="仿宋_GB2312"/>
          <w:sz w:val="13"/>
          <w:szCs w:val="13"/>
        </w:rPr>
      </w:pP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切实加强对我区水价综合改革工作的组织领导，确保改革工作顺利开展，根据《山东省农业水价综合改革实施方案》《淄博市农业水价综合改革实施方案》，区政府决定成立临淄区农业水价综合改革领导小组。现将领导小组组成人员名单公布如下：</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组  长：白平和    区委副书记、区政府区长</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副组长：王  功    区政府副区长</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王守国    区政协副主席、区财政局局长</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成  员：张成刚    区发改局局长</w:t>
      </w:r>
    </w:p>
    <w:p>
      <w:pPr>
        <w:spacing w:line="60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王云明    区民政局局长</w:t>
      </w:r>
    </w:p>
    <w:p>
      <w:pPr>
        <w:spacing w:line="60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崔国平    区农业局局长</w:t>
      </w:r>
    </w:p>
    <w:p>
      <w:pPr>
        <w:spacing w:line="60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王庆德    区水务局局长</w:t>
      </w:r>
    </w:p>
    <w:p>
      <w:pPr>
        <w:spacing w:line="60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张  磊    区工商局局长</w:t>
      </w:r>
    </w:p>
    <w:p>
      <w:pPr>
        <w:spacing w:line="60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王爱花    区林业局局长</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尹欣欣    区物价局局长 </w:t>
      </w:r>
    </w:p>
    <w:p>
      <w:pPr>
        <w:spacing w:line="60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刘丽梅    区水资办主任</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孙  杰    区财政局副局长</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梁天文    区水务局副局长</w:t>
      </w:r>
    </w:p>
    <w:p>
      <w:pPr>
        <w:spacing w:line="600" w:lineRule="exact"/>
        <w:ind w:left="3679" w:leftChars="228" w:hanging="3200" w:hangingChars="1000"/>
        <w:jc w:val="left"/>
        <w:rPr>
          <w:rFonts w:hint="eastAsia" w:ascii="仿宋" w:hAnsi="仿宋" w:eastAsia="仿宋" w:cs="仿宋"/>
          <w:sz w:val="32"/>
          <w:szCs w:val="32"/>
        </w:rPr>
      </w:pPr>
      <w:r>
        <w:rPr>
          <w:rFonts w:hint="eastAsia" w:ascii="仿宋" w:hAnsi="仿宋" w:eastAsia="仿宋" w:cs="仿宋"/>
          <w:sz w:val="32"/>
          <w:szCs w:val="32"/>
        </w:rPr>
        <w:t xml:space="preserve">         王化开    区物价局党组成员</w:t>
      </w:r>
    </w:p>
    <w:p>
      <w:pPr>
        <w:spacing w:line="60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刘  静    齐都镇党委副书记、镇长</w:t>
      </w:r>
    </w:p>
    <w:p>
      <w:pPr>
        <w:spacing w:line="60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王利民    金岭回族镇党委副书记、镇长</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朱  冰    金山镇党委副书记、镇长</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何庆林    敬仲镇党委副书记、镇长</w:t>
      </w:r>
    </w:p>
    <w:p>
      <w:pPr>
        <w:spacing w:line="60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吴雪江    朱台镇党委副书记、镇长</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薄  刚    皇城镇党委副书记、镇长</w:t>
      </w:r>
    </w:p>
    <w:p>
      <w:pPr>
        <w:spacing w:line="60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周鹏飞    凤凰镇党委副书记、镇长</w:t>
      </w:r>
    </w:p>
    <w:p>
      <w:pPr>
        <w:spacing w:line="60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于在义    辛店街道党工委副书记、办事处</w:t>
      </w:r>
    </w:p>
    <w:p>
      <w:pPr>
        <w:spacing w:line="60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 xml:space="preserve">          主任</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高  晋    稷下街道党工副委书记、办事处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主任        </w:t>
      </w:r>
    </w:p>
    <w:p>
      <w:pPr>
        <w:spacing w:line="600" w:lineRule="exact"/>
        <w:ind w:left="3675" w:leftChars="912" w:hanging="1760" w:hangingChars="550"/>
        <w:jc w:val="left"/>
        <w:rPr>
          <w:rFonts w:hint="eastAsia" w:ascii="仿宋" w:hAnsi="仿宋" w:eastAsia="仿宋" w:cs="仿宋"/>
          <w:sz w:val="32"/>
          <w:szCs w:val="32"/>
        </w:rPr>
      </w:pPr>
      <w:r>
        <w:rPr>
          <w:rFonts w:hint="eastAsia" w:ascii="仿宋" w:hAnsi="仿宋" w:eastAsia="仿宋" w:cs="仿宋"/>
          <w:sz w:val="32"/>
          <w:szCs w:val="32"/>
        </w:rPr>
        <w:t>刘瑞卿    齐陵街道党工委副书记、办事处</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主任</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黄  凯    淄博供电公司临淄客户服务分中</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心主任</w:t>
      </w:r>
    </w:p>
    <w:p>
      <w:pPr>
        <w:spacing w:line="600" w:lineRule="exact"/>
        <w:ind w:left="3675" w:leftChars="912" w:hanging="1760" w:hangingChars="550"/>
        <w:jc w:val="left"/>
        <w:rPr>
          <w:rFonts w:hint="eastAsia" w:ascii="仿宋" w:hAnsi="仿宋" w:eastAsia="仿宋" w:cs="仿宋"/>
          <w:sz w:val="32"/>
          <w:szCs w:val="32"/>
        </w:rPr>
      </w:pP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领导小组办公室设在区水务局，王庆德同志兼任办公室主任。办公室下设技术及用水管理组、水价机制建设组、初始水权制度建设组、用水补给与节水奖励机制建设组等四个工作组，分别由区水务局、区物价局、区水资办、区财政局分管负责同志担任组长。领导小组成员及办公室组成人员调整事宜由领导小组或其办公室所在的部门行文发布。</w:t>
      </w:r>
    </w:p>
    <w:p>
      <w:pPr>
        <w:widowControl/>
        <w:jc w:val="left"/>
        <w:rPr>
          <w:rFonts w:hint="eastAsia" w:ascii="仿宋" w:hAnsi="仿宋" w:eastAsia="仿宋" w:cs="仿宋"/>
          <w:sz w:val="32"/>
          <w:szCs w:val="32"/>
        </w:rPr>
        <w:sectPr>
          <w:footerReference r:id="rId7" w:type="first"/>
          <w:footerReference r:id="rId6" w:type="default"/>
          <w:pgSz w:w="11906" w:h="16838"/>
          <w:pgMar w:top="1440" w:right="1800" w:bottom="1440" w:left="1800" w:header="851" w:footer="992" w:gutter="0"/>
          <w:pgNumType w:fmt="decimal"/>
          <w:cols w:space="720" w:num="1"/>
          <w:titlePg/>
          <w:docGrid w:type="lines" w:linePitch="312" w:charSpace="0"/>
        </w:sectPr>
      </w:pPr>
    </w:p>
    <w:p>
      <w:pPr>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jc w:val="center"/>
        <w:rPr>
          <w:rFonts w:ascii="方正小标宋简体" w:hAnsi="仿宋" w:eastAsia="方正小标宋简体" w:cs="仿宋"/>
          <w:bCs/>
          <w:sz w:val="44"/>
          <w:szCs w:val="44"/>
        </w:rPr>
      </w:pPr>
      <w:r>
        <w:rPr>
          <w:rFonts w:hint="eastAsia" w:ascii="方正小标宋简体" w:hAnsi="仿宋" w:eastAsia="方正小标宋简体" w:cs="仿宋"/>
          <w:bCs/>
          <w:sz w:val="44"/>
          <w:szCs w:val="44"/>
        </w:rPr>
        <w:t>临淄区农业水价综合改革年度实施计划表</w:t>
      </w:r>
    </w:p>
    <w:tbl>
      <w:tblPr>
        <w:tblStyle w:val="4"/>
        <w:tblpPr w:leftFromText="180" w:rightFromText="180" w:vertAnchor="page" w:horzAnchor="margin" w:tblpXSpec="center" w:tblpY="4141"/>
        <w:tblOverlap w:val="never"/>
        <w:tblW w:w="12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29"/>
        <w:gridCol w:w="1087"/>
        <w:gridCol w:w="1134"/>
        <w:gridCol w:w="977"/>
        <w:gridCol w:w="1058"/>
        <w:gridCol w:w="1058"/>
        <w:gridCol w:w="1058"/>
        <w:gridCol w:w="1057"/>
        <w:gridCol w:w="1058"/>
        <w:gridCol w:w="105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atLeast"/>
        </w:trPr>
        <w:tc>
          <w:tcPr>
            <w:tcW w:w="768" w:type="dxa"/>
            <w:vMerge w:val="restart"/>
            <w:vAlign w:val="center"/>
          </w:tcPr>
          <w:p>
            <w:pPr>
              <w:jc w:val="center"/>
              <w:rPr>
                <w:rFonts w:hint="eastAsia" w:ascii="黑体" w:hAnsi="黑体" w:eastAsia="黑体" w:cs="黑体"/>
                <w:sz w:val="24"/>
              </w:rPr>
            </w:pPr>
            <w:r>
              <w:rPr>
                <w:rFonts w:hint="eastAsia" w:ascii="黑体" w:hAnsi="黑体" w:eastAsia="黑体" w:cs="黑体"/>
                <w:sz w:val="24"/>
              </w:rPr>
              <w:t>序号</w:t>
            </w:r>
          </w:p>
        </w:tc>
        <w:tc>
          <w:tcPr>
            <w:tcW w:w="1129" w:type="dxa"/>
            <w:vMerge w:val="restart"/>
            <w:vAlign w:val="center"/>
          </w:tcPr>
          <w:p>
            <w:pPr>
              <w:jc w:val="center"/>
              <w:rPr>
                <w:rFonts w:hint="eastAsia" w:ascii="黑体" w:hAnsi="黑体" w:eastAsia="黑体" w:cs="黑体"/>
                <w:sz w:val="24"/>
              </w:rPr>
            </w:pPr>
            <w:r>
              <w:rPr>
                <w:rFonts w:hint="eastAsia" w:ascii="黑体" w:hAnsi="黑体" w:eastAsia="黑体" w:cs="黑体"/>
                <w:sz w:val="24"/>
              </w:rPr>
              <w:t>镇、街道</w:t>
            </w:r>
          </w:p>
        </w:tc>
        <w:tc>
          <w:tcPr>
            <w:tcW w:w="9545" w:type="dxa"/>
            <w:gridSpan w:val="9"/>
            <w:vAlign w:val="center"/>
          </w:tcPr>
          <w:p>
            <w:pPr>
              <w:jc w:val="center"/>
              <w:rPr>
                <w:rFonts w:hint="eastAsia" w:ascii="黑体" w:hAnsi="黑体" w:eastAsia="黑体" w:cs="黑体"/>
                <w:sz w:val="24"/>
              </w:rPr>
            </w:pPr>
            <w:r>
              <w:rPr>
                <w:rFonts w:hint="eastAsia" w:ascii="黑体" w:hAnsi="黑体" w:eastAsia="黑体" w:cs="黑体"/>
                <w:sz w:val="24"/>
              </w:rPr>
              <w:t>改革面积</w:t>
            </w:r>
          </w:p>
        </w:tc>
        <w:tc>
          <w:tcPr>
            <w:tcW w:w="1058" w:type="dxa"/>
            <w:vMerge w:val="restart"/>
            <w:vAlign w:val="center"/>
          </w:tcPr>
          <w:p>
            <w:pPr>
              <w:jc w:val="center"/>
              <w:rPr>
                <w:rFonts w:hint="eastAsia" w:ascii="黑体" w:hAnsi="黑体" w:eastAsia="黑体" w:cs="黑体"/>
                <w:sz w:val="24"/>
              </w:rPr>
            </w:pPr>
            <w:r>
              <w:rPr>
                <w:rFonts w:hint="eastAsia" w:ascii="黑体" w:hAnsi="黑体" w:eastAsia="黑体" w:cs="黑体"/>
                <w:sz w:val="24"/>
              </w:rPr>
              <w:t>合计</w:t>
            </w:r>
          </w:p>
          <w:p>
            <w:pPr>
              <w:jc w:val="cente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68" w:type="dxa"/>
            <w:vMerge w:val="continue"/>
            <w:vAlign w:val="center"/>
          </w:tcPr>
          <w:p>
            <w:pPr>
              <w:widowControl/>
              <w:jc w:val="left"/>
              <w:rPr>
                <w:rFonts w:ascii="仿宋" w:hAnsi="仿宋" w:eastAsia="仿宋" w:cs="仿宋"/>
                <w:sz w:val="24"/>
              </w:rPr>
            </w:pPr>
          </w:p>
        </w:tc>
        <w:tc>
          <w:tcPr>
            <w:tcW w:w="1129" w:type="dxa"/>
            <w:vMerge w:val="continue"/>
            <w:vAlign w:val="center"/>
          </w:tcPr>
          <w:p>
            <w:pPr>
              <w:widowControl/>
              <w:jc w:val="left"/>
              <w:rPr>
                <w:rFonts w:ascii="仿宋" w:hAnsi="仿宋" w:eastAsia="仿宋" w:cs="仿宋"/>
                <w:sz w:val="24"/>
              </w:rPr>
            </w:pPr>
          </w:p>
        </w:tc>
        <w:tc>
          <w:tcPr>
            <w:tcW w:w="1087" w:type="dxa"/>
            <w:vAlign w:val="center"/>
          </w:tcPr>
          <w:p>
            <w:pPr>
              <w:jc w:val="center"/>
              <w:rPr>
                <w:rFonts w:hint="eastAsia" w:ascii="黑体" w:hAnsi="黑体" w:eastAsia="黑体" w:cs="黑体"/>
                <w:sz w:val="24"/>
              </w:rPr>
            </w:pPr>
            <w:r>
              <w:rPr>
                <w:rFonts w:hint="eastAsia" w:ascii="黑体" w:hAnsi="黑体" w:eastAsia="黑体" w:cs="黑体"/>
                <w:sz w:val="24"/>
              </w:rPr>
              <w:t>2017年</w:t>
            </w:r>
          </w:p>
        </w:tc>
        <w:tc>
          <w:tcPr>
            <w:tcW w:w="1134" w:type="dxa"/>
            <w:vAlign w:val="center"/>
          </w:tcPr>
          <w:p>
            <w:pPr>
              <w:jc w:val="center"/>
              <w:rPr>
                <w:rFonts w:hint="eastAsia" w:ascii="黑体" w:hAnsi="黑体" w:eastAsia="黑体" w:cs="黑体"/>
                <w:sz w:val="24"/>
              </w:rPr>
            </w:pPr>
            <w:r>
              <w:rPr>
                <w:rFonts w:hint="eastAsia" w:ascii="黑体" w:hAnsi="黑体" w:eastAsia="黑体" w:cs="黑体"/>
                <w:sz w:val="24"/>
              </w:rPr>
              <w:t>2018年</w:t>
            </w:r>
          </w:p>
        </w:tc>
        <w:tc>
          <w:tcPr>
            <w:tcW w:w="977" w:type="dxa"/>
            <w:vAlign w:val="center"/>
          </w:tcPr>
          <w:p>
            <w:pPr>
              <w:jc w:val="center"/>
              <w:rPr>
                <w:rFonts w:hint="eastAsia" w:ascii="黑体" w:hAnsi="黑体" w:eastAsia="黑体" w:cs="黑体"/>
                <w:sz w:val="24"/>
              </w:rPr>
            </w:pPr>
            <w:r>
              <w:rPr>
                <w:rFonts w:hint="eastAsia" w:ascii="黑体" w:hAnsi="黑体" w:eastAsia="黑体" w:cs="黑体"/>
                <w:sz w:val="24"/>
              </w:rPr>
              <w:t>2019年</w:t>
            </w:r>
          </w:p>
        </w:tc>
        <w:tc>
          <w:tcPr>
            <w:tcW w:w="1058" w:type="dxa"/>
            <w:vAlign w:val="center"/>
          </w:tcPr>
          <w:p>
            <w:pPr>
              <w:jc w:val="center"/>
              <w:rPr>
                <w:rFonts w:hint="eastAsia" w:ascii="黑体" w:hAnsi="黑体" w:eastAsia="黑体" w:cs="黑体"/>
                <w:sz w:val="24"/>
              </w:rPr>
            </w:pPr>
            <w:r>
              <w:rPr>
                <w:rFonts w:hint="eastAsia" w:ascii="黑体" w:hAnsi="黑体" w:eastAsia="黑体" w:cs="黑体"/>
                <w:sz w:val="24"/>
              </w:rPr>
              <w:t>2020年</w:t>
            </w:r>
          </w:p>
        </w:tc>
        <w:tc>
          <w:tcPr>
            <w:tcW w:w="1058" w:type="dxa"/>
            <w:vAlign w:val="center"/>
          </w:tcPr>
          <w:p>
            <w:pPr>
              <w:jc w:val="center"/>
              <w:rPr>
                <w:rFonts w:hint="eastAsia" w:ascii="黑体" w:hAnsi="黑体" w:eastAsia="黑体" w:cs="黑体"/>
                <w:sz w:val="24"/>
              </w:rPr>
            </w:pPr>
            <w:r>
              <w:rPr>
                <w:rFonts w:hint="eastAsia" w:ascii="黑体" w:hAnsi="黑体" w:eastAsia="黑体" w:cs="黑体"/>
                <w:sz w:val="24"/>
              </w:rPr>
              <w:t>2021年</w:t>
            </w:r>
          </w:p>
        </w:tc>
        <w:tc>
          <w:tcPr>
            <w:tcW w:w="1058" w:type="dxa"/>
            <w:vAlign w:val="center"/>
          </w:tcPr>
          <w:p>
            <w:pPr>
              <w:jc w:val="center"/>
              <w:rPr>
                <w:rFonts w:hint="eastAsia" w:ascii="黑体" w:hAnsi="黑体" w:eastAsia="黑体" w:cs="黑体"/>
                <w:sz w:val="24"/>
              </w:rPr>
            </w:pPr>
            <w:r>
              <w:rPr>
                <w:rFonts w:hint="eastAsia" w:ascii="黑体" w:hAnsi="黑体" w:eastAsia="黑体" w:cs="黑体"/>
                <w:sz w:val="24"/>
              </w:rPr>
              <w:t>2022年</w:t>
            </w:r>
          </w:p>
        </w:tc>
        <w:tc>
          <w:tcPr>
            <w:tcW w:w="1057" w:type="dxa"/>
            <w:vAlign w:val="center"/>
          </w:tcPr>
          <w:p>
            <w:pPr>
              <w:jc w:val="center"/>
              <w:rPr>
                <w:rFonts w:hint="eastAsia" w:ascii="黑体" w:hAnsi="黑体" w:eastAsia="黑体" w:cs="黑体"/>
                <w:sz w:val="24"/>
              </w:rPr>
            </w:pPr>
            <w:r>
              <w:rPr>
                <w:rFonts w:hint="eastAsia" w:ascii="黑体" w:hAnsi="黑体" w:eastAsia="黑体" w:cs="黑体"/>
                <w:sz w:val="24"/>
              </w:rPr>
              <w:t>2023年</w:t>
            </w:r>
          </w:p>
        </w:tc>
        <w:tc>
          <w:tcPr>
            <w:tcW w:w="1058" w:type="dxa"/>
            <w:vAlign w:val="center"/>
          </w:tcPr>
          <w:p>
            <w:pPr>
              <w:jc w:val="center"/>
              <w:rPr>
                <w:rFonts w:hint="eastAsia" w:ascii="黑体" w:hAnsi="黑体" w:eastAsia="黑体" w:cs="黑体"/>
                <w:sz w:val="24"/>
              </w:rPr>
            </w:pPr>
            <w:r>
              <w:rPr>
                <w:rFonts w:hint="eastAsia" w:ascii="黑体" w:hAnsi="黑体" w:eastAsia="黑体" w:cs="黑体"/>
                <w:sz w:val="24"/>
              </w:rPr>
              <w:t>2024年</w:t>
            </w:r>
          </w:p>
        </w:tc>
        <w:tc>
          <w:tcPr>
            <w:tcW w:w="1058" w:type="dxa"/>
            <w:vAlign w:val="center"/>
          </w:tcPr>
          <w:p>
            <w:pPr>
              <w:jc w:val="center"/>
              <w:rPr>
                <w:rFonts w:hint="eastAsia" w:ascii="黑体" w:hAnsi="黑体" w:eastAsia="黑体" w:cs="黑体"/>
                <w:sz w:val="24"/>
              </w:rPr>
            </w:pPr>
            <w:r>
              <w:rPr>
                <w:rFonts w:hint="eastAsia" w:ascii="黑体" w:hAnsi="黑体" w:eastAsia="黑体" w:cs="黑体"/>
                <w:sz w:val="24"/>
              </w:rPr>
              <w:t>2025年</w:t>
            </w:r>
          </w:p>
        </w:tc>
        <w:tc>
          <w:tcPr>
            <w:tcW w:w="1058" w:type="dxa"/>
            <w:vMerge w:val="continue"/>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768" w:type="dxa"/>
            <w:vAlign w:val="center"/>
          </w:tcPr>
          <w:p>
            <w:pPr>
              <w:jc w:val="center"/>
              <w:rPr>
                <w:rFonts w:ascii="仿宋" w:hAnsi="仿宋" w:eastAsia="仿宋" w:cs="仿宋"/>
                <w:sz w:val="24"/>
              </w:rPr>
            </w:pPr>
            <w:r>
              <w:rPr>
                <w:rFonts w:ascii="仿宋" w:hAnsi="仿宋" w:eastAsia="仿宋" w:cs="仿宋"/>
                <w:sz w:val="24"/>
              </w:rPr>
              <w:t>1</w:t>
            </w:r>
          </w:p>
        </w:tc>
        <w:tc>
          <w:tcPr>
            <w:tcW w:w="1129" w:type="dxa"/>
            <w:vAlign w:val="center"/>
          </w:tcPr>
          <w:p>
            <w:pPr>
              <w:jc w:val="center"/>
              <w:rPr>
                <w:rFonts w:ascii="仿宋" w:hAnsi="仿宋" w:eastAsia="仿宋" w:cs="仿宋"/>
                <w:sz w:val="24"/>
              </w:rPr>
            </w:pPr>
            <w:r>
              <w:rPr>
                <w:rFonts w:hint="eastAsia" w:ascii="仿宋" w:hAnsi="仿宋" w:eastAsia="仿宋" w:cs="仿宋"/>
                <w:sz w:val="24"/>
              </w:rPr>
              <w:t>辛店</w:t>
            </w:r>
          </w:p>
        </w:tc>
        <w:tc>
          <w:tcPr>
            <w:tcW w:w="1087" w:type="dxa"/>
            <w:vAlign w:val="center"/>
          </w:tcPr>
          <w:p>
            <w:pPr>
              <w:jc w:val="center"/>
              <w:rPr>
                <w:rFonts w:ascii="仿宋" w:hAnsi="仿宋" w:eastAsia="仿宋" w:cs="仿宋"/>
                <w:sz w:val="24"/>
              </w:rPr>
            </w:pPr>
          </w:p>
        </w:tc>
        <w:tc>
          <w:tcPr>
            <w:tcW w:w="1134" w:type="dxa"/>
            <w:vAlign w:val="center"/>
          </w:tcPr>
          <w:p>
            <w:pPr>
              <w:jc w:val="center"/>
              <w:rPr>
                <w:rFonts w:ascii="仿宋" w:hAnsi="仿宋" w:eastAsia="仿宋" w:cs="仿宋"/>
                <w:sz w:val="24"/>
              </w:rPr>
            </w:pPr>
            <w:r>
              <w:rPr>
                <w:rFonts w:ascii="仿宋" w:hAnsi="仿宋" w:eastAsia="仿宋" w:cs="仿宋"/>
                <w:sz w:val="24"/>
              </w:rPr>
              <w:t>0.6</w:t>
            </w:r>
          </w:p>
        </w:tc>
        <w:tc>
          <w:tcPr>
            <w:tcW w:w="977" w:type="dxa"/>
            <w:vAlign w:val="center"/>
          </w:tcPr>
          <w:p>
            <w:pPr>
              <w:jc w:val="center"/>
              <w:rPr>
                <w:rFonts w:ascii="仿宋" w:hAnsi="仿宋" w:eastAsia="仿宋" w:cs="仿宋"/>
                <w:sz w:val="24"/>
              </w:rPr>
            </w:pPr>
            <w:r>
              <w:rPr>
                <w:rFonts w:ascii="仿宋" w:hAnsi="仿宋" w:eastAsia="仿宋" w:cs="仿宋"/>
                <w:sz w:val="24"/>
              </w:rPr>
              <w:t>0.37</w:t>
            </w: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7"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r>
              <w:rPr>
                <w:rFonts w:ascii="仿宋" w:hAnsi="仿宋" w:eastAsia="仿宋" w:cs="仿宋"/>
                <w:sz w:val="24"/>
              </w:rPr>
              <w:t>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68" w:type="dxa"/>
            <w:vAlign w:val="center"/>
          </w:tcPr>
          <w:p>
            <w:pPr>
              <w:jc w:val="center"/>
              <w:rPr>
                <w:rFonts w:ascii="仿宋" w:hAnsi="仿宋" w:eastAsia="仿宋" w:cs="仿宋"/>
                <w:sz w:val="24"/>
              </w:rPr>
            </w:pPr>
            <w:r>
              <w:rPr>
                <w:rFonts w:ascii="仿宋" w:hAnsi="仿宋" w:eastAsia="仿宋" w:cs="仿宋"/>
                <w:sz w:val="24"/>
              </w:rPr>
              <w:t>2</w:t>
            </w:r>
          </w:p>
        </w:tc>
        <w:tc>
          <w:tcPr>
            <w:tcW w:w="1129" w:type="dxa"/>
            <w:vAlign w:val="center"/>
          </w:tcPr>
          <w:p>
            <w:pPr>
              <w:jc w:val="center"/>
              <w:rPr>
                <w:rFonts w:ascii="仿宋" w:hAnsi="仿宋" w:eastAsia="仿宋" w:cs="仿宋"/>
                <w:sz w:val="24"/>
              </w:rPr>
            </w:pPr>
            <w:r>
              <w:rPr>
                <w:rFonts w:hint="eastAsia" w:ascii="仿宋" w:hAnsi="仿宋" w:eastAsia="仿宋" w:cs="仿宋"/>
                <w:sz w:val="24"/>
              </w:rPr>
              <w:t>齐都</w:t>
            </w:r>
          </w:p>
        </w:tc>
        <w:tc>
          <w:tcPr>
            <w:tcW w:w="1087" w:type="dxa"/>
            <w:vAlign w:val="center"/>
          </w:tcPr>
          <w:p>
            <w:pPr>
              <w:jc w:val="center"/>
              <w:rPr>
                <w:rFonts w:ascii="仿宋" w:hAnsi="仿宋" w:eastAsia="仿宋" w:cs="仿宋"/>
                <w:sz w:val="24"/>
              </w:rPr>
            </w:pPr>
          </w:p>
        </w:tc>
        <w:tc>
          <w:tcPr>
            <w:tcW w:w="1134" w:type="dxa"/>
            <w:vAlign w:val="center"/>
          </w:tcPr>
          <w:p>
            <w:pPr>
              <w:jc w:val="center"/>
              <w:rPr>
                <w:rFonts w:ascii="仿宋" w:hAnsi="仿宋" w:eastAsia="仿宋" w:cs="仿宋"/>
                <w:sz w:val="24"/>
              </w:rPr>
            </w:pPr>
          </w:p>
        </w:tc>
        <w:tc>
          <w:tcPr>
            <w:tcW w:w="977"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r>
              <w:rPr>
                <w:rFonts w:ascii="仿宋" w:hAnsi="仿宋" w:eastAsia="仿宋" w:cs="仿宋"/>
                <w:sz w:val="24"/>
              </w:rPr>
              <w:t>3</w:t>
            </w:r>
          </w:p>
        </w:tc>
        <w:tc>
          <w:tcPr>
            <w:tcW w:w="1058" w:type="dxa"/>
            <w:vAlign w:val="center"/>
          </w:tcPr>
          <w:p>
            <w:pPr>
              <w:jc w:val="center"/>
              <w:rPr>
                <w:rFonts w:ascii="仿宋" w:hAnsi="仿宋" w:eastAsia="仿宋" w:cs="仿宋"/>
                <w:sz w:val="24"/>
              </w:rPr>
            </w:pPr>
            <w:r>
              <w:rPr>
                <w:rFonts w:ascii="仿宋" w:hAnsi="仿宋" w:eastAsia="仿宋" w:cs="仿宋"/>
                <w:sz w:val="24"/>
              </w:rPr>
              <w:t>1.63</w:t>
            </w:r>
          </w:p>
        </w:tc>
        <w:tc>
          <w:tcPr>
            <w:tcW w:w="1057"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r>
              <w:rPr>
                <w:rFonts w:ascii="仿宋" w:hAnsi="仿宋" w:eastAsia="仿宋" w:cs="仿宋"/>
                <w:sz w:val="24"/>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68" w:type="dxa"/>
            <w:vAlign w:val="center"/>
          </w:tcPr>
          <w:p>
            <w:pPr>
              <w:jc w:val="center"/>
              <w:rPr>
                <w:rFonts w:ascii="仿宋" w:hAnsi="仿宋" w:eastAsia="仿宋" w:cs="仿宋"/>
                <w:sz w:val="24"/>
              </w:rPr>
            </w:pPr>
            <w:r>
              <w:rPr>
                <w:rFonts w:ascii="仿宋" w:hAnsi="仿宋" w:eastAsia="仿宋" w:cs="仿宋"/>
                <w:sz w:val="24"/>
              </w:rPr>
              <w:t>3</w:t>
            </w:r>
          </w:p>
        </w:tc>
        <w:tc>
          <w:tcPr>
            <w:tcW w:w="1129" w:type="dxa"/>
            <w:vAlign w:val="center"/>
          </w:tcPr>
          <w:p>
            <w:pPr>
              <w:jc w:val="center"/>
              <w:rPr>
                <w:rFonts w:ascii="仿宋" w:hAnsi="仿宋" w:eastAsia="仿宋" w:cs="仿宋"/>
                <w:sz w:val="24"/>
              </w:rPr>
            </w:pPr>
            <w:r>
              <w:rPr>
                <w:rFonts w:hint="eastAsia" w:ascii="仿宋" w:hAnsi="仿宋" w:eastAsia="仿宋" w:cs="仿宋"/>
                <w:sz w:val="24"/>
              </w:rPr>
              <w:t>齐陵</w:t>
            </w:r>
          </w:p>
        </w:tc>
        <w:tc>
          <w:tcPr>
            <w:tcW w:w="1087" w:type="dxa"/>
            <w:vAlign w:val="center"/>
          </w:tcPr>
          <w:p>
            <w:pPr>
              <w:jc w:val="center"/>
              <w:rPr>
                <w:rFonts w:ascii="仿宋" w:hAnsi="仿宋" w:eastAsia="仿宋" w:cs="仿宋"/>
                <w:sz w:val="24"/>
              </w:rPr>
            </w:pPr>
          </w:p>
        </w:tc>
        <w:tc>
          <w:tcPr>
            <w:tcW w:w="1134" w:type="dxa"/>
            <w:vAlign w:val="center"/>
          </w:tcPr>
          <w:p>
            <w:pPr>
              <w:jc w:val="center"/>
              <w:rPr>
                <w:rFonts w:ascii="仿宋" w:hAnsi="仿宋" w:eastAsia="仿宋" w:cs="仿宋"/>
                <w:sz w:val="24"/>
              </w:rPr>
            </w:pPr>
            <w:r>
              <w:rPr>
                <w:rFonts w:ascii="仿宋" w:hAnsi="仿宋" w:eastAsia="仿宋" w:cs="仿宋"/>
                <w:sz w:val="24"/>
              </w:rPr>
              <w:t>3</w:t>
            </w:r>
          </w:p>
        </w:tc>
        <w:tc>
          <w:tcPr>
            <w:tcW w:w="977" w:type="dxa"/>
            <w:vAlign w:val="center"/>
          </w:tcPr>
          <w:p>
            <w:pPr>
              <w:jc w:val="center"/>
              <w:rPr>
                <w:rFonts w:ascii="仿宋" w:hAnsi="仿宋" w:eastAsia="仿宋" w:cs="仿宋"/>
                <w:sz w:val="24"/>
              </w:rPr>
            </w:pPr>
            <w:r>
              <w:rPr>
                <w:rFonts w:ascii="仿宋" w:hAnsi="仿宋" w:eastAsia="仿宋" w:cs="仿宋"/>
                <w:sz w:val="24"/>
              </w:rPr>
              <w:t>0.94</w:t>
            </w: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7"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r>
              <w:rPr>
                <w:rFonts w:ascii="仿宋" w:hAnsi="仿宋" w:eastAsia="仿宋" w:cs="仿宋"/>
                <w:sz w:val="24"/>
              </w:rP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768" w:type="dxa"/>
            <w:vAlign w:val="center"/>
          </w:tcPr>
          <w:p>
            <w:pPr>
              <w:jc w:val="center"/>
              <w:rPr>
                <w:rFonts w:ascii="仿宋" w:hAnsi="仿宋" w:eastAsia="仿宋" w:cs="仿宋"/>
                <w:sz w:val="24"/>
              </w:rPr>
            </w:pPr>
            <w:r>
              <w:rPr>
                <w:rFonts w:ascii="仿宋" w:hAnsi="仿宋" w:eastAsia="仿宋" w:cs="仿宋"/>
                <w:sz w:val="24"/>
              </w:rPr>
              <w:t>4</w:t>
            </w:r>
          </w:p>
        </w:tc>
        <w:tc>
          <w:tcPr>
            <w:tcW w:w="1129" w:type="dxa"/>
            <w:vAlign w:val="center"/>
          </w:tcPr>
          <w:p>
            <w:pPr>
              <w:jc w:val="center"/>
              <w:rPr>
                <w:rFonts w:ascii="仿宋" w:hAnsi="仿宋" w:eastAsia="仿宋" w:cs="仿宋"/>
                <w:sz w:val="24"/>
              </w:rPr>
            </w:pPr>
            <w:r>
              <w:rPr>
                <w:rFonts w:hint="eastAsia" w:ascii="仿宋" w:hAnsi="仿宋" w:eastAsia="仿宋" w:cs="仿宋"/>
                <w:sz w:val="24"/>
              </w:rPr>
              <w:t>皇城</w:t>
            </w:r>
          </w:p>
        </w:tc>
        <w:tc>
          <w:tcPr>
            <w:tcW w:w="1087" w:type="dxa"/>
            <w:vAlign w:val="center"/>
          </w:tcPr>
          <w:p>
            <w:pPr>
              <w:jc w:val="center"/>
              <w:rPr>
                <w:rFonts w:ascii="仿宋" w:hAnsi="仿宋" w:eastAsia="仿宋" w:cs="仿宋"/>
                <w:sz w:val="24"/>
              </w:rPr>
            </w:pPr>
          </w:p>
        </w:tc>
        <w:tc>
          <w:tcPr>
            <w:tcW w:w="1134" w:type="dxa"/>
            <w:vAlign w:val="center"/>
          </w:tcPr>
          <w:p>
            <w:pPr>
              <w:jc w:val="center"/>
              <w:rPr>
                <w:rFonts w:ascii="仿宋" w:hAnsi="仿宋" w:eastAsia="仿宋" w:cs="仿宋"/>
                <w:sz w:val="24"/>
              </w:rPr>
            </w:pPr>
          </w:p>
        </w:tc>
        <w:tc>
          <w:tcPr>
            <w:tcW w:w="977"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r>
              <w:rPr>
                <w:rFonts w:ascii="仿宋" w:hAnsi="仿宋" w:eastAsia="仿宋" w:cs="仿宋"/>
                <w:sz w:val="24"/>
              </w:rPr>
              <w:t>4</w:t>
            </w:r>
          </w:p>
        </w:tc>
        <w:tc>
          <w:tcPr>
            <w:tcW w:w="1058" w:type="dxa"/>
            <w:vAlign w:val="center"/>
          </w:tcPr>
          <w:p>
            <w:pPr>
              <w:jc w:val="center"/>
              <w:rPr>
                <w:rFonts w:ascii="仿宋" w:hAnsi="仿宋" w:eastAsia="仿宋" w:cs="仿宋"/>
                <w:sz w:val="24"/>
              </w:rPr>
            </w:pPr>
            <w:r>
              <w:rPr>
                <w:rFonts w:ascii="仿宋" w:hAnsi="仿宋" w:eastAsia="仿宋" w:cs="仿宋"/>
                <w:sz w:val="24"/>
              </w:rPr>
              <w:t>5.07</w:t>
            </w:r>
          </w:p>
        </w:tc>
        <w:tc>
          <w:tcPr>
            <w:tcW w:w="1057"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r>
              <w:rPr>
                <w:rFonts w:ascii="仿宋" w:hAnsi="仿宋" w:eastAsia="仿宋" w:cs="仿宋"/>
                <w:sz w:val="24"/>
              </w:rPr>
              <w:t>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68" w:type="dxa"/>
            <w:vAlign w:val="center"/>
          </w:tcPr>
          <w:p>
            <w:pPr>
              <w:jc w:val="center"/>
              <w:rPr>
                <w:rFonts w:ascii="仿宋" w:hAnsi="仿宋" w:eastAsia="仿宋" w:cs="仿宋"/>
                <w:sz w:val="24"/>
              </w:rPr>
            </w:pPr>
            <w:r>
              <w:rPr>
                <w:rFonts w:ascii="仿宋" w:hAnsi="仿宋" w:eastAsia="仿宋" w:cs="仿宋"/>
                <w:sz w:val="24"/>
              </w:rPr>
              <w:t>5</w:t>
            </w:r>
          </w:p>
        </w:tc>
        <w:tc>
          <w:tcPr>
            <w:tcW w:w="1129" w:type="dxa"/>
            <w:vAlign w:val="center"/>
          </w:tcPr>
          <w:p>
            <w:pPr>
              <w:jc w:val="center"/>
              <w:rPr>
                <w:rFonts w:ascii="仿宋" w:hAnsi="仿宋" w:eastAsia="仿宋" w:cs="仿宋"/>
                <w:sz w:val="24"/>
              </w:rPr>
            </w:pPr>
            <w:r>
              <w:rPr>
                <w:rFonts w:hint="eastAsia" w:ascii="仿宋" w:hAnsi="仿宋" w:eastAsia="仿宋" w:cs="仿宋"/>
                <w:sz w:val="24"/>
              </w:rPr>
              <w:t>敬仲</w:t>
            </w:r>
          </w:p>
        </w:tc>
        <w:tc>
          <w:tcPr>
            <w:tcW w:w="1087" w:type="dxa"/>
            <w:vAlign w:val="center"/>
          </w:tcPr>
          <w:p>
            <w:pPr>
              <w:jc w:val="center"/>
              <w:rPr>
                <w:rFonts w:ascii="仿宋" w:hAnsi="仿宋" w:eastAsia="仿宋" w:cs="仿宋"/>
                <w:sz w:val="24"/>
              </w:rPr>
            </w:pPr>
          </w:p>
        </w:tc>
        <w:tc>
          <w:tcPr>
            <w:tcW w:w="1134" w:type="dxa"/>
            <w:vAlign w:val="center"/>
          </w:tcPr>
          <w:p>
            <w:pPr>
              <w:jc w:val="center"/>
              <w:rPr>
                <w:rFonts w:ascii="仿宋" w:hAnsi="仿宋" w:eastAsia="仿宋" w:cs="仿宋"/>
                <w:sz w:val="24"/>
              </w:rPr>
            </w:pPr>
          </w:p>
        </w:tc>
        <w:tc>
          <w:tcPr>
            <w:tcW w:w="977" w:type="dxa"/>
            <w:vAlign w:val="center"/>
          </w:tcPr>
          <w:p>
            <w:pPr>
              <w:jc w:val="center"/>
              <w:rPr>
                <w:rFonts w:ascii="仿宋" w:hAnsi="仿宋" w:eastAsia="仿宋" w:cs="仿宋"/>
                <w:sz w:val="24"/>
              </w:rPr>
            </w:pPr>
            <w:r>
              <w:rPr>
                <w:rFonts w:ascii="仿宋" w:hAnsi="仿宋" w:eastAsia="仿宋" w:cs="仿宋"/>
                <w:sz w:val="24"/>
              </w:rPr>
              <w:t>4</w:t>
            </w:r>
          </w:p>
        </w:tc>
        <w:tc>
          <w:tcPr>
            <w:tcW w:w="1058" w:type="dxa"/>
            <w:vAlign w:val="center"/>
          </w:tcPr>
          <w:p>
            <w:pPr>
              <w:jc w:val="center"/>
              <w:rPr>
                <w:rFonts w:ascii="仿宋" w:hAnsi="仿宋" w:eastAsia="仿宋" w:cs="仿宋"/>
                <w:sz w:val="24"/>
              </w:rPr>
            </w:pPr>
            <w:r>
              <w:rPr>
                <w:rFonts w:ascii="仿宋" w:hAnsi="仿宋" w:eastAsia="仿宋" w:cs="仿宋"/>
                <w:sz w:val="24"/>
              </w:rPr>
              <w:t>2.3</w:t>
            </w: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7"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r>
              <w:rPr>
                <w:rFonts w:ascii="仿宋" w:hAnsi="仿宋" w:eastAsia="仿宋" w:cs="仿宋"/>
                <w:sz w:val="24"/>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68" w:type="dxa"/>
            <w:vAlign w:val="center"/>
          </w:tcPr>
          <w:p>
            <w:pPr>
              <w:jc w:val="center"/>
              <w:rPr>
                <w:rFonts w:ascii="仿宋" w:hAnsi="仿宋" w:eastAsia="仿宋" w:cs="仿宋"/>
                <w:sz w:val="24"/>
              </w:rPr>
            </w:pPr>
            <w:r>
              <w:rPr>
                <w:rFonts w:ascii="仿宋" w:hAnsi="仿宋" w:eastAsia="仿宋" w:cs="仿宋"/>
                <w:sz w:val="24"/>
              </w:rPr>
              <w:t>6</w:t>
            </w:r>
          </w:p>
        </w:tc>
        <w:tc>
          <w:tcPr>
            <w:tcW w:w="1129" w:type="dxa"/>
            <w:vAlign w:val="center"/>
          </w:tcPr>
          <w:p>
            <w:pPr>
              <w:jc w:val="center"/>
              <w:rPr>
                <w:rFonts w:ascii="仿宋" w:hAnsi="仿宋" w:eastAsia="仿宋" w:cs="仿宋"/>
                <w:sz w:val="24"/>
              </w:rPr>
            </w:pPr>
            <w:r>
              <w:rPr>
                <w:rFonts w:hint="eastAsia" w:ascii="仿宋" w:hAnsi="仿宋" w:eastAsia="仿宋" w:cs="仿宋"/>
                <w:sz w:val="24"/>
              </w:rPr>
              <w:t>朱台</w:t>
            </w:r>
          </w:p>
        </w:tc>
        <w:tc>
          <w:tcPr>
            <w:tcW w:w="1087" w:type="dxa"/>
            <w:vAlign w:val="center"/>
          </w:tcPr>
          <w:p>
            <w:pPr>
              <w:jc w:val="center"/>
              <w:rPr>
                <w:rFonts w:ascii="仿宋" w:hAnsi="仿宋" w:eastAsia="仿宋" w:cs="仿宋"/>
                <w:sz w:val="24"/>
              </w:rPr>
            </w:pPr>
          </w:p>
        </w:tc>
        <w:tc>
          <w:tcPr>
            <w:tcW w:w="1134" w:type="dxa"/>
            <w:vAlign w:val="center"/>
          </w:tcPr>
          <w:p>
            <w:pPr>
              <w:jc w:val="center"/>
              <w:rPr>
                <w:rFonts w:ascii="仿宋" w:hAnsi="仿宋" w:eastAsia="仿宋" w:cs="仿宋"/>
                <w:sz w:val="24"/>
              </w:rPr>
            </w:pPr>
          </w:p>
        </w:tc>
        <w:tc>
          <w:tcPr>
            <w:tcW w:w="977" w:type="dxa"/>
            <w:vAlign w:val="center"/>
          </w:tcPr>
          <w:p>
            <w:pPr>
              <w:jc w:val="center"/>
              <w:rPr>
                <w:rFonts w:ascii="仿宋" w:hAnsi="仿宋" w:eastAsia="仿宋" w:cs="仿宋"/>
                <w:sz w:val="24"/>
              </w:rPr>
            </w:pPr>
            <w:r>
              <w:rPr>
                <w:rFonts w:ascii="仿宋" w:hAnsi="仿宋" w:eastAsia="仿宋" w:cs="仿宋"/>
                <w:sz w:val="24"/>
              </w:rPr>
              <w:t>4</w:t>
            </w:r>
          </w:p>
        </w:tc>
        <w:tc>
          <w:tcPr>
            <w:tcW w:w="1058" w:type="dxa"/>
            <w:vAlign w:val="center"/>
          </w:tcPr>
          <w:p>
            <w:pPr>
              <w:jc w:val="center"/>
              <w:rPr>
                <w:rFonts w:ascii="仿宋" w:hAnsi="仿宋" w:eastAsia="仿宋" w:cs="仿宋"/>
                <w:sz w:val="24"/>
              </w:rPr>
            </w:pPr>
            <w:r>
              <w:rPr>
                <w:rFonts w:ascii="仿宋" w:hAnsi="仿宋" w:eastAsia="仿宋" w:cs="仿宋"/>
                <w:sz w:val="24"/>
              </w:rPr>
              <w:t>2.87</w:t>
            </w: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7"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r>
              <w:rPr>
                <w:rFonts w:ascii="仿宋" w:hAnsi="仿宋" w:eastAsia="仿宋" w:cs="仿宋"/>
                <w:sz w:val="24"/>
              </w:rPr>
              <w:fldChar w:fldCharType="begin"/>
            </w:r>
            <w:r>
              <w:rPr>
                <w:rFonts w:ascii="仿宋" w:hAnsi="仿宋" w:eastAsia="仿宋" w:cs="仿宋"/>
                <w:sz w:val="24"/>
              </w:rPr>
              <w:instrText xml:space="preserve"> = sum(D8:K8) \* MERGEFORMAT </w:instrText>
            </w:r>
            <w:r>
              <w:rPr>
                <w:rFonts w:ascii="仿宋" w:hAnsi="仿宋" w:eastAsia="仿宋" w:cs="仿宋"/>
                <w:sz w:val="24"/>
              </w:rPr>
              <w:fldChar w:fldCharType="separate"/>
            </w:r>
            <w:r>
              <w:rPr>
                <w:rFonts w:ascii="仿宋" w:hAnsi="仿宋" w:eastAsia="仿宋" w:cs="仿宋"/>
                <w:sz w:val="24"/>
              </w:rPr>
              <w:t>6.87</w:t>
            </w:r>
            <w:r>
              <w:rPr>
                <w:rFonts w:ascii="仿宋" w:hAnsi="仿宋" w:eastAsia="仿宋" w:cs="仿宋"/>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68" w:type="dxa"/>
            <w:vAlign w:val="center"/>
          </w:tcPr>
          <w:p>
            <w:pPr>
              <w:jc w:val="center"/>
              <w:rPr>
                <w:rFonts w:ascii="仿宋" w:hAnsi="仿宋" w:eastAsia="仿宋" w:cs="仿宋"/>
                <w:sz w:val="24"/>
              </w:rPr>
            </w:pPr>
            <w:r>
              <w:rPr>
                <w:rFonts w:ascii="仿宋" w:hAnsi="仿宋" w:eastAsia="仿宋" w:cs="仿宋"/>
                <w:sz w:val="24"/>
              </w:rPr>
              <w:t>7</w:t>
            </w:r>
          </w:p>
        </w:tc>
        <w:tc>
          <w:tcPr>
            <w:tcW w:w="1129" w:type="dxa"/>
            <w:vAlign w:val="center"/>
          </w:tcPr>
          <w:p>
            <w:pPr>
              <w:jc w:val="center"/>
              <w:rPr>
                <w:rFonts w:ascii="仿宋" w:hAnsi="仿宋" w:eastAsia="仿宋" w:cs="仿宋"/>
                <w:sz w:val="24"/>
              </w:rPr>
            </w:pPr>
            <w:r>
              <w:rPr>
                <w:rFonts w:hint="eastAsia" w:ascii="仿宋" w:hAnsi="仿宋" w:eastAsia="仿宋" w:cs="仿宋"/>
                <w:sz w:val="24"/>
              </w:rPr>
              <w:t>凤凰</w:t>
            </w:r>
          </w:p>
        </w:tc>
        <w:tc>
          <w:tcPr>
            <w:tcW w:w="1087" w:type="dxa"/>
            <w:vAlign w:val="center"/>
          </w:tcPr>
          <w:p>
            <w:pPr>
              <w:jc w:val="center"/>
              <w:rPr>
                <w:rFonts w:ascii="仿宋" w:hAnsi="仿宋" w:eastAsia="仿宋" w:cs="仿宋"/>
                <w:sz w:val="24"/>
              </w:rPr>
            </w:pPr>
          </w:p>
        </w:tc>
        <w:tc>
          <w:tcPr>
            <w:tcW w:w="1134" w:type="dxa"/>
            <w:vAlign w:val="center"/>
          </w:tcPr>
          <w:p>
            <w:pPr>
              <w:jc w:val="center"/>
              <w:rPr>
                <w:rFonts w:ascii="仿宋" w:hAnsi="仿宋" w:eastAsia="仿宋" w:cs="仿宋"/>
                <w:sz w:val="24"/>
              </w:rPr>
            </w:pPr>
          </w:p>
        </w:tc>
        <w:tc>
          <w:tcPr>
            <w:tcW w:w="977"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r>
              <w:rPr>
                <w:rFonts w:ascii="仿宋" w:hAnsi="仿宋" w:eastAsia="仿宋" w:cs="仿宋"/>
                <w:sz w:val="24"/>
              </w:rPr>
              <w:t>5</w:t>
            </w:r>
          </w:p>
        </w:tc>
        <w:tc>
          <w:tcPr>
            <w:tcW w:w="1058" w:type="dxa"/>
            <w:vAlign w:val="center"/>
          </w:tcPr>
          <w:p>
            <w:pPr>
              <w:jc w:val="center"/>
              <w:rPr>
                <w:rFonts w:ascii="仿宋" w:hAnsi="仿宋" w:eastAsia="仿宋" w:cs="仿宋"/>
                <w:sz w:val="24"/>
              </w:rPr>
            </w:pPr>
            <w:r>
              <w:rPr>
                <w:rFonts w:ascii="仿宋" w:hAnsi="仿宋" w:eastAsia="仿宋" w:cs="仿宋"/>
                <w:sz w:val="24"/>
              </w:rPr>
              <w:t>3.65</w:t>
            </w:r>
          </w:p>
        </w:tc>
        <w:tc>
          <w:tcPr>
            <w:tcW w:w="1058" w:type="dxa"/>
            <w:vAlign w:val="center"/>
          </w:tcPr>
          <w:p>
            <w:pPr>
              <w:jc w:val="center"/>
              <w:rPr>
                <w:rFonts w:ascii="仿宋" w:hAnsi="仿宋" w:eastAsia="仿宋" w:cs="仿宋"/>
                <w:sz w:val="24"/>
              </w:rPr>
            </w:pPr>
          </w:p>
        </w:tc>
        <w:tc>
          <w:tcPr>
            <w:tcW w:w="1057"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r>
              <w:rPr>
                <w:rFonts w:ascii="仿宋" w:hAnsi="仿宋" w:eastAsia="仿宋" w:cs="仿宋"/>
                <w:sz w:val="24"/>
              </w:rPr>
              <w:t>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68" w:type="dxa"/>
            <w:vAlign w:val="center"/>
          </w:tcPr>
          <w:p>
            <w:pPr>
              <w:jc w:val="center"/>
              <w:rPr>
                <w:rFonts w:ascii="仿宋" w:hAnsi="仿宋" w:eastAsia="仿宋" w:cs="仿宋"/>
                <w:sz w:val="24"/>
              </w:rPr>
            </w:pPr>
            <w:r>
              <w:rPr>
                <w:rFonts w:ascii="仿宋" w:hAnsi="仿宋" w:eastAsia="仿宋" w:cs="仿宋"/>
                <w:sz w:val="24"/>
              </w:rPr>
              <w:t>8</w:t>
            </w:r>
          </w:p>
        </w:tc>
        <w:tc>
          <w:tcPr>
            <w:tcW w:w="1129" w:type="dxa"/>
            <w:vAlign w:val="center"/>
          </w:tcPr>
          <w:p>
            <w:pPr>
              <w:jc w:val="center"/>
              <w:rPr>
                <w:rFonts w:ascii="仿宋" w:hAnsi="仿宋" w:eastAsia="仿宋" w:cs="仿宋"/>
                <w:sz w:val="24"/>
              </w:rPr>
            </w:pPr>
            <w:r>
              <w:rPr>
                <w:rFonts w:hint="eastAsia" w:ascii="仿宋" w:hAnsi="仿宋" w:eastAsia="仿宋" w:cs="仿宋"/>
                <w:sz w:val="24"/>
              </w:rPr>
              <w:t>金岭</w:t>
            </w:r>
          </w:p>
        </w:tc>
        <w:tc>
          <w:tcPr>
            <w:tcW w:w="1087" w:type="dxa"/>
            <w:vAlign w:val="center"/>
          </w:tcPr>
          <w:p>
            <w:pPr>
              <w:jc w:val="center"/>
              <w:rPr>
                <w:rFonts w:ascii="仿宋" w:hAnsi="仿宋" w:eastAsia="仿宋" w:cs="仿宋"/>
                <w:sz w:val="24"/>
              </w:rPr>
            </w:pPr>
          </w:p>
        </w:tc>
        <w:tc>
          <w:tcPr>
            <w:tcW w:w="1134" w:type="dxa"/>
            <w:vAlign w:val="center"/>
          </w:tcPr>
          <w:p>
            <w:pPr>
              <w:jc w:val="center"/>
              <w:rPr>
                <w:rFonts w:ascii="仿宋" w:hAnsi="仿宋" w:eastAsia="仿宋" w:cs="仿宋"/>
                <w:sz w:val="24"/>
              </w:rPr>
            </w:pPr>
          </w:p>
        </w:tc>
        <w:tc>
          <w:tcPr>
            <w:tcW w:w="977"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r>
              <w:rPr>
                <w:rFonts w:ascii="仿宋" w:hAnsi="仿宋" w:eastAsia="仿宋" w:cs="仿宋"/>
                <w:sz w:val="24"/>
              </w:rPr>
              <w:t>0.23</w:t>
            </w: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7"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r>
              <w:rPr>
                <w:rFonts w:ascii="仿宋" w:hAnsi="仿宋" w:eastAsia="仿宋" w:cs="仿宋"/>
                <w:sz w:val="24"/>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68" w:type="dxa"/>
            <w:vAlign w:val="center"/>
          </w:tcPr>
          <w:p>
            <w:pPr>
              <w:jc w:val="center"/>
              <w:rPr>
                <w:rFonts w:ascii="仿宋" w:hAnsi="仿宋" w:eastAsia="仿宋" w:cs="仿宋"/>
                <w:sz w:val="24"/>
              </w:rPr>
            </w:pPr>
            <w:r>
              <w:rPr>
                <w:rFonts w:ascii="仿宋" w:hAnsi="仿宋" w:eastAsia="仿宋" w:cs="仿宋"/>
                <w:sz w:val="24"/>
              </w:rPr>
              <w:t>9</w:t>
            </w:r>
          </w:p>
        </w:tc>
        <w:tc>
          <w:tcPr>
            <w:tcW w:w="1129" w:type="dxa"/>
            <w:vAlign w:val="center"/>
          </w:tcPr>
          <w:p>
            <w:pPr>
              <w:jc w:val="center"/>
              <w:rPr>
                <w:rFonts w:ascii="仿宋" w:hAnsi="仿宋" w:eastAsia="仿宋" w:cs="仿宋"/>
                <w:sz w:val="24"/>
              </w:rPr>
            </w:pPr>
            <w:r>
              <w:rPr>
                <w:rFonts w:hint="eastAsia" w:ascii="仿宋" w:hAnsi="仿宋" w:eastAsia="仿宋" w:cs="仿宋"/>
                <w:sz w:val="24"/>
              </w:rPr>
              <w:t>金山</w:t>
            </w:r>
          </w:p>
        </w:tc>
        <w:tc>
          <w:tcPr>
            <w:tcW w:w="1087" w:type="dxa"/>
            <w:vAlign w:val="center"/>
          </w:tcPr>
          <w:p>
            <w:pPr>
              <w:jc w:val="center"/>
              <w:rPr>
                <w:rFonts w:ascii="仿宋" w:hAnsi="仿宋" w:eastAsia="仿宋" w:cs="仿宋"/>
                <w:sz w:val="24"/>
              </w:rPr>
            </w:pPr>
          </w:p>
        </w:tc>
        <w:tc>
          <w:tcPr>
            <w:tcW w:w="1134" w:type="dxa"/>
            <w:vAlign w:val="center"/>
          </w:tcPr>
          <w:p>
            <w:pPr>
              <w:jc w:val="center"/>
              <w:rPr>
                <w:rFonts w:ascii="仿宋" w:hAnsi="仿宋" w:eastAsia="仿宋" w:cs="仿宋"/>
                <w:sz w:val="24"/>
              </w:rPr>
            </w:pPr>
          </w:p>
        </w:tc>
        <w:tc>
          <w:tcPr>
            <w:tcW w:w="977"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r>
              <w:rPr>
                <w:rFonts w:ascii="仿宋" w:hAnsi="仿宋" w:eastAsia="仿宋" w:cs="仿宋"/>
                <w:sz w:val="24"/>
              </w:rPr>
              <w:t>0.6</w:t>
            </w:r>
          </w:p>
        </w:tc>
        <w:tc>
          <w:tcPr>
            <w:tcW w:w="1058" w:type="dxa"/>
            <w:vAlign w:val="center"/>
          </w:tcPr>
          <w:p>
            <w:pPr>
              <w:jc w:val="center"/>
              <w:rPr>
                <w:rFonts w:ascii="仿宋" w:hAnsi="仿宋" w:eastAsia="仿宋" w:cs="仿宋"/>
                <w:sz w:val="24"/>
              </w:rPr>
            </w:pPr>
          </w:p>
        </w:tc>
        <w:tc>
          <w:tcPr>
            <w:tcW w:w="1057"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r>
              <w:rPr>
                <w:rFonts w:ascii="仿宋" w:hAnsi="仿宋" w:eastAsia="仿宋" w:cs="仿宋"/>
                <w:sz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768" w:type="dxa"/>
            <w:vAlign w:val="center"/>
          </w:tcPr>
          <w:p>
            <w:pPr>
              <w:jc w:val="center"/>
              <w:rPr>
                <w:rFonts w:ascii="仿宋" w:hAnsi="仿宋" w:eastAsia="仿宋" w:cs="仿宋"/>
                <w:sz w:val="24"/>
              </w:rPr>
            </w:pPr>
            <w:r>
              <w:rPr>
                <w:rFonts w:ascii="仿宋" w:hAnsi="仿宋" w:eastAsia="仿宋" w:cs="仿宋"/>
                <w:sz w:val="24"/>
              </w:rPr>
              <w:t>10</w:t>
            </w:r>
          </w:p>
        </w:tc>
        <w:tc>
          <w:tcPr>
            <w:tcW w:w="1129" w:type="dxa"/>
            <w:vAlign w:val="center"/>
          </w:tcPr>
          <w:p>
            <w:pPr>
              <w:jc w:val="center"/>
              <w:rPr>
                <w:rFonts w:ascii="仿宋" w:hAnsi="仿宋" w:eastAsia="仿宋" w:cs="仿宋"/>
                <w:sz w:val="24"/>
              </w:rPr>
            </w:pPr>
            <w:r>
              <w:rPr>
                <w:rFonts w:hint="eastAsia" w:ascii="仿宋" w:hAnsi="仿宋" w:eastAsia="仿宋" w:cs="仿宋"/>
                <w:sz w:val="24"/>
              </w:rPr>
              <w:t>稷下</w:t>
            </w:r>
          </w:p>
        </w:tc>
        <w:tc>
          <w:tcPr>
            <w:tcW w:w="1087" w:type="dxa"/>
            <w:vAlign w:val="center"/>
          </w:tcPr>
          <w:p>
            <w:pPr>
              <w:jc w:val="center"/>
              <w:rPr>
                <w:rFonts w:ascii="仿宋" w:hAnsi="仿宋" w:eastAsia="仿宋" w:cs="仿宋"/>
                <w:sz w:val="24"/>
              </w:rPr>
            </w:pPr>
          </w:p>
        </w:tc>
        <w:tc>
          <w:tcPr>
            <w:tcW w:w="1134" w:type="dxa"/>
            <w:vAlign w:val="center"/>
          </w:tcPr>
          <w:p>
            <w:pPr>
              <w:jc w:val="center"/>
              <w:rPr>
                <w:rFonts w:ascii="仿宋" w:hAnsi="仿宋" w:eastAsia="仿宋" w:cs="仿宋"/>
                <w:sz w:val="24"/>
              </w:rPr>
            </w:pPr>
          </w:p>
        </w:tc>
        <w:tc>
          <w:tcPr>
            <w:tcW w:w="977"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r>
              <w:rPr>
                <w:rFonts w:ascii="仿宋" w:hAnsi="仿宋" w:eastAsia="仿宋" w:cs="仿宋"/>
                <w:sz w:val="24"/>
              </w:rPr>
              <w:t>1</w:t>
            </w:r>
          </w:p>
        </w:tc>
        <w:tc>
          <w:tcPr>
            <w:tcW w:w="1058" w:type="dxa"/>
            <w:vAlign w:val="center"/>
          </w:tcPr>
          <w:p>
            <w:pPr>
              <w:jc w:val="center"/>
              <w:rPr>
                <w:rFonts w:ascii="仿宋" w:hAnsi="仿宋" w:eastAsia="仿宋" w:cs="仿宋"/>
                <w:sz w:val="24"/>
              </w:rPr>
            </w:pPr>
            <w:r>
              <w:rPr>
                <w:rFonts w:ascii="仿宋" w:hAnsi="仿宋" w:eastAsia="仿宋" w:cs="仿宋"/>
                <w:sz w:val="24"/>
              </w:rPr>
              <w:t>0.66</w:t>
            </w:r>
          </w:p>
        </w:tc>
        <w:tc>
          <w:tcPr>
            <w:tcW w:w="1058" w:type="dxa"/>
            <w:vAlign w:val="center"/>
          </w:tcPr>
          <w:p>
            <w:pPr>
              <w:jc w:val="center"/>
              <w:rPr>
                <w:rFonts w:ascii="仿宋" w:hAnsi="仿宋" w:eastAsia="仿宋" w:cs="仿宋"/>
                <w:sz w:val="24"/>
              </w:rPr>
            </w:pPr>
          </w:p>
        </w:tc>
        <w:tc>
          <w:tcPr>
            <w:tcW w:w="1057"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r>
              <w:rPr>
                <w:rFonts w:ascii="仿宋" w:hAnsi="仿宋" w:eastAsia="仿宋" w:cs="仿宋"/>
                <w:sz w:val="24"/>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68" w:type="dxa"/>
            <w:vAlign w:val="center"/>
          </w:tcPr>
          <w:p>
            <w:pPr>
              <w:jc w:val="center"/>
              <w:rPr>
                <w:rFonts w:ascii="仿宋" w:hAnsi="仿宋" w:eastAsia="仿宋" w:cs="仿宋"/>
                <w:sz w:val="24"/>
              </w:rPr>
            </w:pPr>
          </w:p>
        </w:tc>
        <w:tc>
          <w:tcPr>
            <w:tcW w:w="1129" w:type="dxa"/>
            <w:vAlign w:val="center"/>
          </w:tcPr>
          <w:p>
            <w:pPr>
              <w:jc w:val="center"/>
              <w:rPr>
                <w:rFonts w:ascii="仿宋" w:hAnsi="仿宋" w:eastAsia="仿宋" w:cs="仿宋"/>
                <w:sz w:val="24"/>
              </w:rPr>
            </w:pPr>
            <w:r>
              <w:rPr>
                <w:rFonts w:hint="eastAsia" w:ascii="仿宋" w:hAnsi="仿宋" w:eastAsia="仿宋" w:cs="仿宋"/>
                <w:sz w:val="24"/>
              </w:rPr>
              <w:t>合计</w:t>
            </w:r>
          </w:p>
        </w:tc>
        <w:tc>
          <w:tcPr>
            <w:tcW w:w="1087" w:type="dxa"/>
            <w:vAlign w:val="center"/>
          </w:tcPr>
          <w:p>
            <w:pPr>
              <w:jc w:val="center"/>
              <w:rPr>
                <w:rFonts w:ascii="仿宋" w:hAnsi="仿宋" w:eastAsia="仿宋" w:cs="仿宋"/>
                <w:sz w:val="24"/>
              </w:rPr>
            </w:pPr>
          </w:p>
        </w:tc>
        <w:tc>
          <w:tcPr>
            <w:tcW w:w="1134" w:type="dxa"/>
            <w:vAlign w:val="center"/>
          </w:tcPr>
          <w:p>
            <w:pPr>
              <w:jc w:val="center"/>
              <w:rPr>
                <w:rFonts w:ascii="仿宋" w:hAnsi="仿宋" w:eastAsia="仿宋" w:cs="仿宋"/>
                <w:sz w:val="24"/>
              </w:rPr>
            </w:pPr>
            <w:r>
              <w:rPr>
                <w:rFonts w:ascii="仿宋" w:hAnsi="仿宋" w:eastAsia="仿宋" w:cs="仿宋"/>
                <w:sz w:val="24"/>
              </w:rPr>
              <w:t>3.6</w:t>
            </w:r>
          </w:p>
        </w:tc>
        <w:tc>
          <w:tcPr>
            <w:tcW w:w="977" w:type="dxa"/>
            <w:vAlign w:val="center"/>
          </w:tcPr>
          <w:p>
            <w:pPr>
              <w:jc w:val="center"/>
              <w:rPr>
                <w:rFonts w:ascii="仿宋" w:hAnsi="仿宋" w:eastAsia="仿宋" w:cs="仿宋"/>
                <w:sz w:val="24"/>
              </w:rPr>
            </w:pPr>
            <w:r>
              <w:rPr>
                <w:rFonts w:ascii="仿宋" w:hAnsi="仿宋" w:eastAsia="仿宋" w:cs="仿宋"/>
                <w:sz w:val="24"/>
              </w:rPr>
              <w:t>9.31</w:t>
            </w:r>
          </w:p>
        </w:tc>
        <w:tc>
          <w:tcPr>
            <w:tcW w:w="1058" w:type="dxa"/>
            <w:vAlign w:val="center"/>
          </w:tcPr>
          <w:p>
            <w:pPr>
              <w:jc w:val="center"/>
              <w:rPr>
                <w:rFonts w:ascii="仿宋" w:hAnsi="仿宋" w:eastAsia="仿宋" w:cs="仿宋"/>
                <w:sz w:val="24"/>
              </w:rPr>
            </w:pPr>
            <w:r>
              <w:rPr>
                <w:rFonts w:ascii="仿宋" w:hAnsi="仿宋" w:eastAsia="仿宋" w:cs="仿宋"/>
                <w:sz w:val="24"/>
              </w:rPr>
              <w:t>11.4</w:t>
            </w:r>
          </w:p>
        </w:tc>
        <w:tc>
          <w:tcPr>
            <w:tcW w:w="1058" w:type="dxa"/>
            <w:vAlign w:val="center"/>
          </w:tcPr>
          <w:p>
            <w:pPr>
              <w:jc w:val="center"/>
              <w:rPr>
                <w:rFonts w:ascii="仿宋" w:hAnsi="仿宋" w:eastAsia="仿宋" w:cs="仿宋"/>
                <w:sz w:val="24"/>
              </w:rPr>
            </w:pPr>
            <w:r>
              <w:rPr>
                <w:rFonts w:ascii="仿宋" w:hAnsi="仿宋" w:eastAsia="仿宋" w:cs="仿宋"/>
                <w:sz w:val="24"/>
              </w:rPr>
              <w:t>11.91</w:t>
            </w:r>
          </w:p>
        </w:tc>
        <w:tc>
          <w:tcPr>
            <w:tcW w:w="1058" w:type="dxa"/>
            <w:vAlign w:val="center"/>
          </w:tcPr>
          <w:p>
            <w:pPr>
              <w:jc w:val="center"/>
              <w:rPr>
                <w:rFonts w:ascii="仿宋" w:hAnsi="仿宋" w:eastAsia="仿宋" w:cs="仿宋"/>
                <w:sz w:val="24"/>
              </w:rPr>
            </w:pPr>
            <w:r>
              <w:rPr>
                <w:rFonts w:ascii="仿宋" w:hAnsi="仿宋" w:eastAsia="仿宋" w:cs="仿宋"/>
                <w:sz w:val="24"/>
              </w:rPr>
              <w:t>6.70</w:t>
            </w:r>
          </w:p>
        </w:tc>
        <w:tc>
          <w:tcPr>
            <w:tcW w:w="1057"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r>
              <w:rPr>
                <w:rFonts w:ascii="仿宋" w:hAnsi="仿宋" w:eastAsia="仿宋" w:cs="仿宋"/>
                <w:sz w:val="24"/>
              </w:rPr>
              <w:fldChar w:fldCharType="begin"/>
            </w:r>
            <w:r>
              <w:rPr>
                <w:rFonts w:ascii="仿宋" w:hAnsi="仿宋" w:eastAsia="仿宋" w:cs="仿宋"/>
                <w:sz w:val="24"/>
              </w:rPr>
              <w:instrText xml:space="preserve"> = sum(L3:L12) \* MERGEFORMAT </w:instrText>
            </w:r>
            <w:r>
              <w:rPr>
                <w:rFonts w:ascii="仿宋" w:hAnsi="仿宋" w:eastAsia="仿宋" w:cs="仿宋"/>
                <w:sz w:val="24"/>
              </w:rPr>
              <w:fldChar w:fldCharType="separate"/>
            </w:r>
            <w:r>
              <w:rPr>
                <w:rFonts w:ascii="仿宋" w:hAnsi="仿宋" w:eastAsia="仿宋" w:cs="仿宋"/>
                <w:sz w:val="24"/>
              </w:rPr>
              <w:t>42.92</w:t>
            </w:r>
            <w:r>
              <w:rPr>
                <w:rFonts w:ascii="仿宋" w:hAnsi="仿宋" w:eastAsia="仿宋" w:cs="仿宋"/>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68" w:type="dxa"/>
            <w:vAlign w:val="center"/>
          </w:tcPr>
          <w:p>
            <w:pPr>
              <w:jc w:val="center"/>
              <w:rPr>
                <w:rFonts w:ascii="仿宋" w:hAnsi="仿宋" w:eastAsia="仿宋" w:cs="仿宋"/>
                <w:sz w:val="24"/>
              </w:rPr>
            </w:pPr>
          </w:p>
        </w:tc>
        <w:tc>
          <w:tcPr>
            <w:tcW w:w="1129" w:type="dxa"/>
            <w:vAlign w:val="center"/>
          </w:tcPr>
          <w:p>
            <w:pPr>
              <w:jc w:val="center"/>
              <w:rPr>
                <w:rFonts w:ascii="仿宋" w:hAnsi="仿宋" w:eastAsia="仿宋" w:cs="仿宋"/>
                <w:sz w:val="24"/>
              </w:rPr>
            </w:pPr>
          </w:p>
        </w:tc>
        <w:tc>
          <w:tcPr>
            <w:tcW w:w="1087" w:type="dxa"/>
            <w:vAlign w:val="center"/>
          </w:tcPr>
          <w:p>
            <w:pPr>
              <w:jc w:val="center"/>
              <w:rPr>
                <w:rFonts w:ascii="仿宋" w:hAnsi="仿宋" w:eastAsia="仿宋" w:cs="仿宋"/>
                <w:sz w:val="24"/>
              </w:rPr>
            </w:pPr>
          </w:p>
        </w:tc>
        <w:tc>
          <w:tcPr>
            <w:tcW w:w="1134" w:type="dxa"/>
            <w:vAlign w:val="center"/>
          </w:tcPr>
          <w:p>
            <w:pPr>
              <w:jc w:val="center"/>
              <w:rPr>
                <w:rFonts w:ascii="仿宋" w:hAnsi="仿宋" w:eastAsia="仿宋" w:cs="仿宋"/>
                <w:sz w:val="24"/>
              </w:rPr>
            </w:pPr>
          </w:p>
        </w:tc>
        <w:tc>
          <w:tcPr>
            <w:tcW w:w="977"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7"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897" w:type="dxa"/>
            <w:gridSpan w:val="2"/>
            <w:vAlign w:val="center"/>
          </w:tcPr>
          <w:p>
            <w:pPr>
              <w:jc w:val="center"/>
              <w:rPr>
                <w:rFonts w:ascii="仿宋" w:hAnsi="仿宋" w:eastAsia="仿宋" w:cs="仿宋"/>
                <w:sz w:val="24"/>
              </w:rPr>
            </w:pPr>
            <w:r>
              <w:rPr>
                <w:rFonts w:hint="eastAsia" w:ascii="仿宋" w:hAnsi="仿宋" w:eastAsia="仿宋" w:cs="仿宋"/>
                <w:sz w:val="24"/>
              </w:rPr>
              <w:t>累计改革面积</w:t>
            </w:r>
          </w:p>
        </w:tc>
        <w:tc>
          <w:tcPr>
            <w:tcW w:w="1087" w:type="dxa"/>
            <w:vAlign w:val="center"/>
          </w:tcPr>
          <w:p>
            <w:pPr>
              <w:jc w:val="center"/>
              <w:rPr>
                <w:rFonts w:ascii="仿宋" w:hAnsi="仿宋" w:eastAsia="仿宋" w:cs="仿宋"/>
                <w:sz w:val="24"/>
              </w:rPr>
            </w:pPr>
          </w:p>
        </w:tc>
        <w:tc>
          <w:tcPr>
            <w:tcW w:w="1134" w:type="dxa"/>
            <w:vAlign w:val="center"/>
          </w:tcPr>
          <w:p>
            <w:pPr>
              <w:jc w:val="center"/>
              <w:rPr>
                <w:rFonts w:ascii="仿宋" w:hAnsi="仿宋" w:eastAsia="仿宋" w:cs="仿宋"/>
                <w:sz w:val="24"/>
              </w:rPr>
            </w:pPr>
            <w:r>
              <w:rPr>
                <w:rFonts w:ascii="仿宋" w:hAnsi="仿宋" w:eastAsia="仿宋" w:cs="仿宋"/>
                <w:sz w:val="24"/>
              </w:rPr>
              <w:t>3.6</w:t>
            </w:r>
          </w:p>
        </w:tc>
        <w:tc>
          <w:tcPr>
            <w:tcW w:w="977" w:type="dxa"/>
            <w:vAlign w:val="center"/>
          </w:tcPr>
          <w:p>
            <w:pPr>
              <w:jc w:val="center"/>
              <w:rPr>
                <w:rFonts w:ascii="仿宋" w:hAnsi="仿宋" w:eastAsia="仿宋" w:cs="仿宋"/>
                <w:sz w:val="24"/>
              </w:rPr>
            </w:pPr>
            <w:r>
              <w:rPr>
                <w:rFonts w:ascii="仿宋" w:hAnsi="仿宋" w:eastAsia="仿宋" w:cs="仿宋"/>
                <w:sz w:val="24"/>
              </w:rPr>
              <w:t>12.91</w:t>
            </w:r>
          </w:p>
        </w:tc>
        <w:tc>
          <w:tcPr>
            <w:tcW w:w="1058" w:type="dxa"/>
            <w:vAlign w:val="center"/>
          </w:tcPr>
          <w:p>
            <w:pPr>
              <w:jc w:val="center"/>
              <w:rPr>
                <w:rFonts w:ascii="仿宋" w:hAnsi="仿宋" w:eastAsia="仿宋" w:cs="仿宋"/>
                <w:sz w:val="24"/>
              </w:rPr>
            </w:pPr>
            <w:r>
              <w:rPr>
                <w:rFonts w:ascii="仿宋" w:hAnsi="仿宋" w:eastAsia="仿宋" w:cs="仿宋"/>
                <w:sz w:val="24"/>
              </w:rPr>
              <w:t>24.31</w:t>
            </w:r>
          </w:p>
        </w:tc>
        <w:tc>
          <w:tcPr>
            <w:tcW w:w="1058" w:type="dxa"/>
            <w:vAlign w:val="center"/>
          </w:tcPr>
          <w:p>
            <w:pPr>
              <w:jc w:val="center"/>
              <w:rPr>
                <w:rFonts w:ascii="仿宋" w:hAnsi="仿宋" w:eastAsia="仿宋" w:cs="仿宋"/>
                <w:sz w:val="24"/>
              </w:rPr>
            </w:pPr>
            <w:r>
              <w:rPr>
                <w:rFonts w:ascii="仿宋" w:hAnsi="仿宋" w:eastAsia="仿宋" w:cs="仿宋"/>
                <w:sz w:val="24"/>
              </w:rPr>
              <w:t>36.22</w:t>
            </w:r>
          </w:p>
        </w:tc>
        <w:tc>
          <w:tcPr>
            <w:tcW w:w="1058" w:type="dxa"/>
            <w:vAlign w:val="center"/>
          </w:tcPr>
          <w:p>
            <w:pPr>
              <w:jc w:val="center"/>
              <w:rPr>
                <w:rFonts w:ascii="仿宋" w:hAnsi="仿宋" w:eastAsia="仿宋" w:cs="仿宋"/>
                <w:sz w:val="24"/>
              </w:rPr>
            </w:pPr>
            <w:r>
              <w:rPr>
                <w:rFonts w:ascii="仿宋" w:hAnsi="仿宋" w:eastAsia="仿宋" w:cs="仿宋"/>
                <w:sz w:val="24"/>
              </w:rPr>
              <w:t>42.92</w:t>
            </w:r>
          </w:p>
        </w:tc>
        <w:tc>
          <w:tcPr>
            <w:tcW w:w="1057"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c>
          <w:tcPr>
            <w:tcW w:w="1058" w:type="dxa"/>
            <w:vAlign w:val="center"/>
          </w:tcPr>
          <w:p>
            <w:pPr>
              <w:jc w:val="center"/>
              <w:rPr>
                <w:rFonts w:ascii="仿宋" w:hAnsi="仿宋" w:eastAsia="仿宋" w:cs="仿宋"/>
                <w:sz w:val="24"/>
              </w:rPr>
            </w:pPr>
          </w:p>
        </w:tc>
      </w:tr>
    </w:tbl>
    <w:p>
      <w:pPr>
        <w:spacing w:line="600" w:lineRule="exact"/>
        <w:ind w:firstLine="640" w:firstLineChars="200"/>
        <w:rPr>
          <w:rFonts w:ascii="仿宋_GB2312" w:hAnsi="仿宋" w:eastAsia="仿宋_GB2312" w:cs="仿宋"/>
          <w:sz w:val="32"/>
          <w:szCs w:val="32"/>
        </w:rPr>
      </w:pPr>
    </w:p>
    <w:p>
      <w:pPr>
        <w:spacing w:line="600" w:lineRule="exact"/>
        <w:ind w:firstLine="640" w:firstLineChars="200"/>
        <w:rPr>
          <w:rFonts w:ascii="仿宋_GB2312" w:hAnsi="仿宋" w:eastAsia="仿宋_GB2312" w:cs="仿宋"/>
          <w:sz w:val="32"/>
          <w:szCs w:val="32"/>
        </w:rPr>
      </w:pPr>
    </w:p>
    <w:p>
      <w:pPr>
        <w:spacing w:line="600" w:lineRule="exact"/>
        <w:ind w:firstLine="640" w:firstLineChars="200"/>
        <w:rPr>
          <w:rFonts w:ascii="仿宋_GB2312" w:hAnsi="仿宋" w:eastAsia="仿宋_GB2312" w:cs="仿宋"/>
          <w:sz w:val="32"/>
          <w:szCs w:val="32"/>
        </w:rPr>
      </w:pPr>
    </w:p>
    <w:p>
      <w:pPr>
        <w:spacing w:line="600" w:lineRule="exact"/>
        <w:ind w:firstLine="640" w:firstLineChars="200"/>
        <w:rPr>
          <w:rFonts w:ascii="仿宋_GB2312" w:hAnsi="仿宋" w:eastAsia="仿宋_GB2312" w:cs="仿宋"/>
          <w:sz w:val="32"/>
          <w:szCs w:val="32"/>
        </w:rPr>
      </w:pPr>
    </w:p>
    <w:p>
      <w:pPr>
        <w:spacing w:line="600" w:lineRule="exact"/>
        <w:ind w:firstLine="640" w:firstLineChars="200"/>
        <w:rPr>
          <w:rFonts w:ascii="仿宋_GB2312" w:hAnsi="仿宋" w:eastAsia="仿宋_GB2312" w:cs="仿宋"/>
          <w:sz w:val="32"/>
          <w:szCs w:val="32"/>
        </w:rPr>
      </w:pPr>
    </w:p>
    <w:p>
      <w:pPr>
        <w:spacing w:line="600" w:lineRule="exact"/>
        <w:ind w:firstLine="640" w:firstLineChars="200"/>
        <w:rPr>
          <w:rFonts w:ascii="仿宋_GB2312" w:hAnsi="仿宋" w:eastAsia="仿宋_GB2312" w:cs="仿宋"/>
          <w:sz w:val="32"/>
          <w:szCs w:val="32"/>
        </w:rPr>
      </w:pPr>
    </w:p>
    <w:p>
      <w:pPr>
        <w:spacing w:line="600" w:lineRule="exact"/>
        <w:ind w:firstLine="640" w:firstLineChars="200"/>
        <w:rPr>
          <w:rFonts w:ascii="仿宋_GB2312" w:hAnsi="仿宋" w:eastAsia="仿宋_GB2312" w:cs="仿宋"/>
          <w:sz w:val="32"/>
          <w:szCs w:val="32"/>
        </w:rPr>
      </w:pPr>
    </w:p>
    <w:p>
      <w:pPr>
        <w:spacing w:line="600" w:lineRule="exact"/>
        <w:ind w:firstLine="640" w:firstLineChars="200"/>
        <w:rPr>
          <w:rFonts w:ascii="仿宋_GB2312" w:hAnsi="仿宋" w:eastAsia="仿宋_GB2312" w:cs="仿宋"/>
          <w:sz w:val="32"/>
          <w:szCs w:val="32"/>
        </w:rPr>
      </w:pPr>
    </w:p>
    <w:p>
      <w:pPr>
        <w:spacing w:line="600" w:lineRule="exact"/>
        <w:ind w:firstLine="640" w:firstLineChars="200"/>
        <w:rPr>
          <w:rFonts w:ascii="仿宋_GB2312" w:hAnsi="仿宋" w:eastAsia="仿宋_GB2312" w:cs="仿宋"/>
          <w:sz w:val="32"/>
          <w:szCs w:val="32"/>
        </w:rPr>
      </w:pPr>
    </w:p>
    <w:p>
      <w:pPr>
        <w:spacing w:line="600" w:lineRule="exact"/>
        <w:ind w:firstLine="640" w:firstLineChars="200"/>
        <w:rPr>
          <w:rFonts w:ascii="仿宋_GB2312" w:hAnsi="仿宋" w:eastAsia="仿宋_GB2312" w:cs="仿宋"/>
          <w:sz w:val="32"/>
          <w:szCs w:val="32"/>
        </w:rPr>
      </w:pPr>
    </w:p>
    <w:p>
      <w:pPr>
        <w:tabs>
          <w:tab w:val="left" w:pos="900"/>
        </w:tabs>
        <w:spacing w:line="600" w:lineRule="exact"/>
        <w:rPr>
          <w:rFonts w:ascii="仿宋" w:hAnsi="仿宋" w:eastAsia="仿宋" w:cs="仿宋"/>
          <w:sz w:val="32"/>
          <w:szCs w:val="32"/>
        </w:rPr>
        <w:sectPr>
          <w:footerReference r:id="rId8" w:type="default"/>
          <w:pgSz w:w="16838" w:h="11906" w:orient="landscape"/>
          <w:pgMar w:top="1803" w:right="1440" w:bottom="1803" w:left="1440" w:header="851" w:footer="992" w:gutter="0"/>
          <w:pgNumType w:fmt="decimal"/>
          <w:cols w:space="0" w:num="1"/>
          <w:docGrid w:type="lines" w:linePitch="319" w:charSpace="0"/>
        </w:sectPr>
      </w:pPr>
    </w:p>
    <w:p>
      <w:pPr>
        <w:spacing w:line="460" w:lineRule="exact"/>
        <w:ind w:left="787" w:leftChars="134" w:hanging="506" w:hangingChars="181"/>
        <w:rPr>
          <w:rFonts w:ascii="仿宋_GB2312" w:eastAsia="仿宋_GB2312"/>
          <w:sz w:val="28"/>
          <w:szCs w:val="28"/>
        </w:rPr>
      </w:pPr>
    </w:p>
    <w:p>
      <w:pPr>
        <w:spacing w:line="460" w:lineRule="exact"/>
        <w:ind w:left="787" w:leftChars="134" w:hanging="506" w:hangingChars="181"/>
        <w:rPr>
          <w:rFonts w:ascii="仿宋_GB2312" w:eastAsia="仿宋_GB2312"/>
          <w:sz w:val="28"/>
          <w:szCs w:val="28"/>
        </w:rPr>
      </w:pPr>
    </w:p>
    <w:p>
      <w:pPr>
        <w:spacing w:line="460" w:lineRule="exact"/>
        <w:ind w:left="787" w:leftChars="134" w:hanging="506" w:hangingChars="181"/>
        <w:rPr>
          <w:rFonts w:ascii="仿宋_GB2312" w:eastAsia="仿宋_GB2312"/>
          <w:sz w:val="28"/>
          <w:szCs w:val="28"/>
        </w:rPr>
      </w:pPr>
    </w:p>
    <w:p>
      <w:pPr>
        <w:spacing w:line="460" w:lineRule="exact"/>
        <w:ind w:left="787" w:leftChars="134" w:hanging="506" w:hangingChars="181"/>
        <w:rPr>
          <w:rFonts w:ascii="仿宋_GB2312" w:eastAsia="仿宋_GB2312"/>
          <w:sz w:val="28"/>
          <w:szCs w:val="28"/>
        </w:rPr>
      </w:pPr>
    </w:p>
    <w:p>
      <w:pPr>
        <w:spacing w:line="460" w:lineRule="exact"/>
        <w:ind w:left="787" w:leftChars="134" w:hanging="506" w:hangingChars="181"/>
        <w:rPr>
          <w:rFonts w:ascii="仿宋_GB2312" w:eastAsia="仿宋_GB2312"/>
          <w:sz w:val="28"/>
          <w:szCs w:val="28"/>
        </w:rPr>
      </w:pPr>
    </w:p>
    <w:p>
      <w:pPr>
        <w:spacing w:line="460" w:lineRule="exact"/>
        <w:ind w:left="787" w:leftChars="134" w:hanging="506" w:hangingChars="181"/>
        <w:rPr>
          <w:rFonts w:ascii="仿宋_GB2312" w:eastAsia="仿宋_GB2312"/>
          <w:sz w:val="28"/>
          <w:szCs w:val="28"/>
        </w:rPr>
      </w:pPr>
    </w:p>
    <w:p>
      <w:pPr>
        <w:spacing w:line="460" w:lineRule="exact"/>
        <w:ind w:left="787" w:leftChars="134" w:hanging="506" w:hangingChars="181"/>
        <w:rPr>
          <w:rFonts w:ascii="仿宋_GB2312" w:eastAsia="仿宋_GB2312"/>
          <w:sz w:val="28"/>
          <w:szCs w:val="28"/>
        </w:rPr>
      </w:pPr>
    </w:p>
    <w:p>
      <w:pPr>
        <w:spacing w:line="460" w:lineRule="exact"/>
        <w:ind w:left="787" w:leftChars="134" w:hanging="506" w:hangingChars="181"/>
        <w:rPr>
          <w:rFonts w:ascii="仿宋_GB2312" w:eastAsia="仿宋_GB2312"/>
          <w:sz w:val="28"/>
          <w:szCs w:val="28"/>
        </w:rPr>
      </w:pPr>
    </w:p>
    <w:p>
      <w:pPr>
        <w:spacing w:line="460" w:lineRule="exact"/>
        <w:ind w:left="787" w:leftChars="134" w:hanging="506" w:hangingChars="181"/>
        <w:rPr>
          <w:rFonts w:ascii="仿宋_GB2312" w:eastAsia="仿宋_GB2312"/>
          <w:sz w:val="28"/>
          <w:szCs w:val="28"/>
        </w:rPr>
      </w:pPr>
    </w:p>
    <w:p>
      <w:pPr>
        <w:spacing w:line="460" w:lineRule="exact"/>
        <w:ind w:left="787" w:leftChars="134" w:hanging="506" w:hangingChars="181"/>
        <w:rPr>
          <w:rFonts w:ascii="仿宋_GB2312" w:eastAsia="仿宋_GB2312"/>
          <w:sz w:val="28"/>
          <w:szCs w:val="28"/>
        </w:rPr>
      </w:pPr>
    </w:p>
    <w:p>
      <w:pPr>
        <w:spacing w:line="460" w:lineRule="exact"/>
        <w:ind w:left="787" w:leftChars="134" w:hanging="506" w:hangingChars="181"/>
        <w:rPr>
          <w:rFonts w:ascii="仿宋_GB2312" w:eastAsia="仿宋_GB2312"/>
          <w:sz w:val="28"/>
          <w:szCs w:val="28"/>
        </w:rPr>
      </w:pPr>
    </w:p>
    <w:p>
      <w:pPr>
        <w:spacing w:line="460" w:lineRule="exact"/>
        <w:ind w:left="787" w:leftChars="134" w:hanging="506" w:hangingChars="181"/>
        <w:rPr>
          <w:rFonts w:ascii="仿宋_GB2312" w:eastAsia="仿宋_GB2312"/>
          <w:sz w:val="28"/>
          <w:szCs w:val="28"/>
        </w:rPr>
      </w:pPr>
    </w:p>
    <w:p>
      <w:pPr>
        <w:spacing w:line="460" w:lineRule="exact"/>
        <w:ind w:left="787" w:leftChars="134" w:hanging="506" w:hangingChars="181"/>
        <w:rPr>
          <w:rFonts w:ascii="仿宋_GB2312" w:eastAsia="仿宋_GB2312"/>
          <w:sz w:val="28"/>
          <w:szCs w:val="28"/>
        </w:rPr>
      </w:pPr>
    </w:p>
    <w:p>
      <w:pPr>
        <w:spacing w:line="460" w:lineRule="exact"/>
        <w:ind w:left="787" w:leftChars="134" w:hanging="506" w:hangingChars="181"/>
        <w:rPr>
          <w:rFonts w:ascii="仿宋_GB2312" w:eastAsia="仿宋_GB2312"/>
          <w:sz w:val="28"/>
          <w:szCs w:val="28"/>
        </w:rPr>
      </w:pPr>
    </w:p>
    <w:p>
      <w:pPr>
        <w:spacing w:line="460" w:lineRule="exact"/>
        <w:ind w:left="787" w:leftChars="134" w:hanging="506" w:hangingChars="181"/>
        <w:rPr>
          <w:rFonts w:ascii="仿宋_GB2312" w:eastAsia="仿宋_GB2312"/>
          <w:sz w:val="28"/>
          <w:szCs w:val="28"/>
        </w:rPr>
      </w:pPr>
    </w:p>
    <w:p>
      <w:pPr>
        <w:spacing w:line="460" w:lineRule="exact"/>
        <w:ind w:left="787" w:leftChars="134" w:hanging="506" w:hangingChars="181"/>
        <w:rPr>
          <w:rFonts w:ascii="仿宋_GB2312" w:eastAsia="仿宋_GB2312"/>
          <w:sz w:val="28"/>
          <w:szCs w:val="28"/>
        </w:rPr>
      </w:pPr>
    </w:p>
    <w:p>
      <w:pPr>
        <w:spacing w:line="460" w:lineRule="exact"/>
        <w:ind w:left="787" w:leftChars="134" w:hanging="506" w:hangingChars="181"/>
        <w:rPr>
          <w:rFonts w:ascii="仿宋_GB2312" w:eastAsia="仿宋_GB2312"/>
          <w:sz w:val="28"/>
          <w:szCs w:val="28"/>
        </w:rPr>
      </w:pPr>
    </w:p>
    <w:p>
      <w:pPr>
        <w:spacing w:line="460" w:lineRule="exact"/>
        <w:ind w:left="787" w:leftChars="134" w:hanging="506" w:hangingChars="181"/>
        <w:rPr>
          <w:rFonts w:ascii="仿宋_GB2312" w:eastAsia="仿宋_GB2312"/>
          <w:sz w:val="28"/>
          <w:szCs w:val="28"/>
        </w:rPr>
      </w:pPr>
    </w:p>
    <w:p>
      <w:pPr>
        <w:spacing w:line="460" w:lineRule="exact"/>
        <w:ind w:left="787" w:leftChars="134" w:hanging="506" w:hangingChars="181"/>
        <w:rPr>
          <w:rFonts w:ascii="仿宋_GB2312" w:eastAsia="仿宋_GB2312"/>
          <w:sz w:val="28"/>
          <w:szCs w:val="28"/>
        </w:rPr>
      </w:pPr>
    </w:p>
    <w:p>
      <w:pPr>
        <w:spacing w:line="460" w:lineRule="exact"/>
        <w:ind w:left="787" w:leftChars="134" w:hanging="506" w:hangingChars="181"/>
        <w:rPr>
          <w:rFonts w:ascii="仿宋_GB2312" w:eastAsia="仿宋_GB2312"/>
          <w:sz w:val="28"/>
          <w:szCs w:val="28"/>
        </w:rPr>
      </w:pPr>
    </w:p>
    <w:p>
      <w:pPr>
        <w:tabs>
          <w:tab w:val="left" w:pos="900"/>
        </w:tabs>
        <w:spacing w:line="480" w:lineRule="exact"/>
        <w:ind w:firstLine="280" w:firstLineChars="100"/>
        <w:rPr>
          <w:rFonts w:hint="eastAsia" w:ascii="仿宋" w:hAnsi="仿宋" w:eastAsia="仿宋" w:cs="仿宋"/>
          <w:sz w:val="28"/>
          <w:szCs w:val="28"/>
        </w:rPr>
      </w:pPr>
    </w:p>
    <w:sectPr>
      <w:pgSz w:w="11906" w:h="16838"/>
      <w:pgMar w:top="1440" w:right="1803"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9F13A"/>
    <w:multiLevelType w:val="singleLevel"/>
    <w:tmpl w:val="5939F13A"/>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9"/>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FA56C8A"/>
    <w:rsid w:val="000A7953"/>
    <w:rsid w:val="000C6C40"/>
    <w:rsid w:val="001E603E"/>
    <w:rsid w:val="002B3473"/>
    <w:rsid w:val="0030547A"/>
    <w:rsid w:val="00365CD1"/>
    <w:rsid w:val="003E2290"/>
    <w:rsid w:val="006F10AE"/>
    <w:rsid w:val="00742151"/>
    <w:rsid w:val="007F1358"/>
    <w:rsid w:val="0080279F"/>
    <w:rsid w:val="00A31443"/>
    <w:rsid w:val="00AE1705"/>
    <w:rsid w:val="00B810BB"/>
    <w:rsid w:val="00C31411"/>
    <w:rsid w:val="00CD5102"/>
    <w:rsid w:val="00D50BB2"/>
    <w:rsid w:val="00E608C3"/>
    <w:rsid w:val="00E70F80"/>
    <w:rsid w:val="00EF0619"/>
    <w:rsid w:val="00EF4E3A"/>
    <w:rsid w:val="00F555DD"/>
    <w:rsid w:val="01A95FA0"/>
    <w:rsid w:val="103E3A2E"/>
    <w:rsid w:val="139749A2"/>
    <w:rsid w:val="1BAC63CC"/>
    <w:rsid w:val="1F304D0D"/>
    <w:rsid w:val="26510936"/>
    <w:rsid w:val="26955BEB"/>
    <w:rsid w:val="2B43661F"/>
    <w:rsid w:val="2E327F89"/>
    <w:rsid w:val="2FA56C8A"/>
    <w:rsid w:val="310D161D"/>
    <w:rsid w:val="31E468DD"/>
    <w:rsid w:val="34321356"/>
    <w:rsid w:val="36E00DE0"/>
    <w:rsid w:val="3B816338"/>
    <w:rsid w:val="3D54163D"/>
    <w:rsid w:val="3F4978A9"/>
    <w:rsid w:val="4E5D23B5"/>
    <w:rsid w:val="4E7A676E"/>
    <w:rsid w:val="50254DD1"/>
    <w:rsid w:val="55881AC6"/>
    <w:rsid w:val="5A5B79EE"/>
    <w:rsid w:val="5D706039"/>
    <w:rsid w:val="648A6FF1"/>
    <w:rsid w:val="65FD718F"/>
    <w:rsid w:val="6B60577E"/>
    <w:rsid w:val="721F0765"/>
    <w:rsid w:val="73B71FB2"/>
    <w:rsid w:val="766327AB"/>
    <w:rsid w:val="778E1D73"/>
    <w:rsid w:val="79995F57"/>
    <w:rsid w:val="7A427D0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kern w:val="0"/>
      <w:sz w:val="18"/>
      <w:szCs w:val="18"/>
    </w:rPr>
  </w:style>
  <w:style w:type="paragraph" w:styleId="3">
    <w:name w:val="header"/>
    <w:basedOn w:val="1"/>
    <w:link w:val="10"/>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table" w:styleId="5">
    <w:name w:val="Table Grid"/>
    <w:basedOn w:val="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99"/>
    <w:rPr>
      <w:rFonts w:cs="Times New Roman"/>
      <w:b/>
    </w:rPr>
  </w:style>
  <w:style w:type="character" w:styleId="8">
    <w:name w:val="page number"/>
    <w:basedOn w:val="6"/>
    <w:qFormat/>
    <w:uiPriority w:val="99"/>
    <w:rPr>
      <w:rFonts w:cs="Times New Roman"/>
    </w:rPr>
  </w:style>
  <w:style w:type="character" w:customStyle="1" w:styleId="9">
    <w:name w:val="Footer Char"/>
    <w:basedOn w:val="6"/>
    <w:link w:val="2"/>
    <w:qFormat/>
    <w:locked/>
    <w:uiPriority w:val="99"/>
    <w:rPr>
      <w:rFonts w:ascii="Calibri" w:hAnsi="Calibri" w:cs="Times New Roman"/>
      <w:sz w:val="18"/>
    </w:rPr>
  </w:style>
  <w:style w:type="character" w:customStyle="1" w:styleId="10">
    <w:name w:val="Header Char"/>
    <w:basedOn w:val="6"/>
    <w:link w:val="3"/>
    <w:semiHidden/>
    <w:qFormat/>
    <w:locked/>
    <w:uiPriority w:val="99"/>
    <w:rPr>
      <w:rFonts w:ascii="Calibri" w:hAnsi="Calibri" w:cs="Times New Roman"/>
      <w:sz w:val="18"/>
    </w:rPr>
  </w:style>
  <w:style w:type="paragraph" w:customStyle="1" w:styleId="11">
    <w:name w:val="Normal (Web)1"/>
    <w:basedOn w:val="1"/>
    <w:qFormat/>
    <w:uiPriority w:val="99"/>
    <w:pPr>
      <w:jc w:val="left"/>
    </w:pPr>
    <w:rPr>
      <w:kern w:val="0"/>
      <w:sz w:val="24"/>
    </w:rPr>
  </w:style>
  <w:style w:type="paragraph" w:customStyle="1" w:styleId="12">
    <w:name w:val="正文 New"/>
    <w:qFormat/>
    <w:uiPriority w:val="99"/>
    <w:pPr>
      <w:widowControl w:val="0"/>
      <w:jc w:val="both"/>
    </w:pPr>
    <w:rPr>
      <w:rFonts w:ascii="Calibri" w:hAnsi="Calibri" w:eastAsia="宋体" w:cs="Times New Roman"/>
      <w:kern w:val="2"/>
      <w:sz w:val="21"/>
      <w:szCs w:val="24"/>
      <w:lang w:val="en-US" w:eastAsia="zh-CN" w:bidi="ar-SA"/>
    </w:rPr>
  </w:style>
  <w:style w:type="character" w:customStyle="1" w:styleId="13">
    <w:name w:val="font11"/>
    <w:qFormat/>
    <w:uiPriority w:val="99"/>
    <w:rPr>
      <w:rFonts w:ascii="Times New Roman" w:hAnsi="Times New Roman"/>
      <w:color w:val="000000"/>
      <w:sz w:val="24"/>
      <w:u w:val="none"/>
    </w:rPr>
  </w:style>
  <w:style w:type="character" w:customStyle="1" w:styleId="14">
    <w:name w:val="font01"/>
    <w:qFormat/>
    <w:uiPriority w:val="99"/>
    <w:rPr>
      <w:rFonts w:ascii="宋体" w:hAnsi="宋体" w:eastAsia="宋体"/>
      <w:color w:val="000000"/>
      <w:sz w:val="24"/>
      <w:u w:val="none"/>
    </w:rPr>
  </w:style>
  <w:style w:type="character" w:customStyle="1" w:styleId="15">
    <w:name w:val="font51"/>
    <w:qFormat/>
    <w:uiPriority w:val="99"/>
    <w:rPr>
      <w:rFonts w:ascii="宋体" w:hAnsi="宋体" w:eastAsia="宋体"/>
      <w:color w:val="000000"/>
      <w:sz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19</Pages>
  <Words>1368</Words>
  <Characters>7803</Characters>
  <Lines>0</Lines>
  <Paragraphs>0</Paragraphs>
  <TotalTime>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2017-06-12T07:04:00Z</dcterms:created>
  <dc:creator>Administrator</dc:creator>
  <cp:lastModifiedBy>lenovo</cp:lastModifiedBy>
  <cp:lastPrinted>2017-06-21T00:33:00Z</cp:lastPrinted>
  <dcterms:modified xsi:type="dcterms:W3CDTF">2020-12-31T07:06:10Z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