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临淄区</w:t>
      </w:r>
      <w:r>
        <w:rPr>
          <w:rFonts w:hint="default" w:ascii="Times New Roman" w:hAnsi="Times New Roman" w:eastAsia="方正小标宋简体" w:cs="Times New Roman"/>
          <w:sz w:val="44"/>
          <w:szCs w:val="44"/>
          <w:lang w:val="en-US" w:eastAsia="zh-CN"/>
        </w:rPr>
        <w:t>财政局</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2021年1月1日到12月31日止。</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一、总体情况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主动公开</w:t>
      </w:r>
      <w:r>
        <w:rPr>
          <w:rFonts w:hint="default" w:ascii="Times New Roman" w:hAnsi="Times New Roman" w:eastAsia="楷体_GB2312" w:cs="Times New Roman"/>
          <w:sz w:val="32"/>
          <w:szCs w:val="32"/>
          <w:lang w:val="en-US" w:eastAsia="zh-CN"/>
        </w:rPr>
        <w:t>情况。</w:t>
      </w:r>
      <w:r>
        <w:rPr>
          <w:rFonts w:hint="default" w:ascii="Times New Roman" w:hAnsi="Times New Roman" w:eastAsia="仿宋_GB2312" w:cs="Times New Roman"/>
          <w:sz w:val="32"/>
          <w:szCs w:val="32"/>
          <w:lang w:val="en-US"/>
        </w:rPr>
        <w:t>根据202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工作安排，</w:t>
      </w:r>
      <w:r>
        <w:rPr>
          <w:rFonts w:hint="default" w:ascii="Times New Roman" w:hAnsi="Times New Roman" w:eastAsia="仿宋_GB2312" w:cs="Times New Roman"/>
          <w:sz w:val="32"/>
          <w:szCs w:val="32"/>
          <w:lang w:val="en-US" w:eastAsia="zh-CN"/>
        </w:rPr>
        <w:t>聚焦中心工作、</w:t>
      </w:r>
      <w:r>
        <w:rPr>
          <w:rFonts w:hint="default" w:ascii="Times New Roman" w:hAnsi="Times New Roman" w:eastAsia="仿宋_GB2312" w:cs="Times New Roman"/>
          <w:sz w:val="32"/>
          <w:szCs w:val="32"/>
          <w:lang w:val="en-US"/>
        </w:rPr>
        <w:t>重点</w:t>
      </w:r>
      <w:r>
        <w:rPr>
          <w:rFonts w:hint="default" w:ascii="Times New Roman" w:hAnsi="Times New Roman" w:eastAsia="仿宋_GB2312" w:cs="Times New Roman"/>
          <w:sz w:val="32"/>
          <w:szCs w:val="32"/>
          <w:lang w:val="en-US" w:eastAsia="zh-CN"/>
        </w:rPr>
        <w:t>领域、热点难点</w:t>
      </w:r>
      <w:r>
        <w:rPr>
          <w:rFonts w:hint="default" w:ascii="Times New Roman" w:hAnsi="Times New Roman" w:eastAsia="仿宋_GB2312" w:cs="Times New Roman"/>
          <w:sz w:val="32"/>
          <w:szCs w:val="32"/>
          <w:lang w:val="en-US"/>
        </w:rPr>
        <w:t>作为信息公开重点，在政府</w:t>
      </w:r>
      <w:r>
        <w:rPr>
          <w:rFonts w:hint="default" w:ascii="Times New Roman" w:hAnsi="Times New Roman" w:eastAsia="仿宋_GB2312" w:cs="Times New Roman"/>
          <w:sz w:val="32"/>
          <w:szCs w:val="32"/>
          <w:lang w:val="en-US" w:eastAsia="zh-CN"/>
        </w:rPr>
        <w:t>政务公开平台</w:t>
      </w:r>
      <w:r>
        <w:rPr>
          <w:rFonts w:hint="default" w:ascii="Times New Roman" w:hAnsi="Times New Roman" w:eastAsia="仿宋_GB2312" w:cs="Times New Roman"/>
          <w:sz w:val="32"/>
          <w:szCs w:val="32"/>
          <w:lang w:val="en-US"/>
        </w:rPr>
        <w:t>中主动公开</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信息</w:t>
      </w:r>
      <w:r>
        <w:rPr>
          <w:rFonts w:hint="default" w:ascii="Times New Roman" w:hAnsi="Times New Roman" w:eastAsia="仿宋_GB2312" w:cs="Times New Roman"/>
          <w:sz w:val="32"/>
          <w:szCs w:val="32"/>
          <w:lang w:val="en-US" w:eastAsia="zh-CN"/>
        </w:rPr>
        <w:t>247</w:t>
      </w:r>
      <w:r>
        <w:rPr>
          <w:rFonts w:hint="default" w:ascii="Times New Roman" w:hAnsi="Times New Roman" w:eastAsia="仿宋_GB2312" w:cs="Times New Roman"/>
          <w:sz w:val="32"/>
          <w:szCs w:val="32"/>
          <w:lang w:val="en-US"/>
        </w:rPr>
        <w:t>条，其</w:t>
      </w:r>
      <w:r>
        <w:rPr>
          <w:rFonts w:hint="default" w:ascii="Times New Roman" w:hAnsi="Times New Roman" w:eastAsia="仿宋_GB2312" w:cs="Times New Roman"/>
          <w:sz w:val="32"/>
          <w:szCs w:val="32"/>
          <w:highlight w:val="none"/>
          <w:lang w:val="en-US"/>
        </w:rPr>
        <w:t>中机构</w:t>
      </w:r>
      <w:r>
        <w:rPr>
          <w:rFonts w:hint="default" w:ascii="Times New Roman" w:hAnsi="Times New Roman" w:eastAsia="仿宋_GB2312" w:cs="Times New Roman"/>
          <w:sz w:val="32"/>
          <w:szCs w:val="32"/>
          <w:highlight w:val="none"/>
          <w:lang w:val="en-US" w:eastAsia="zh-CN"/>
        </w:rPr>
        <w:t>职能</w:t>
      </w:r>
      <w:r>
        <w:rPr>
          <w:rFonts w:hint="default" w:ascii="Times New Roman" w:hAnsi="Times New Roman" w:eastAsia="仿宋_GB2312" w:cs="Times New Roman"/>
          <w:sz w:val="32"/>
          <w:szCs w:val="32"/>
          <w:highlight w:val="none"/>
          <w:lang w:val="en-US"/>
        </w:rPr>
        <w:t>类</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rPr>
        <w:t>条、法规文件类</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val="en-US"/>
        </w:rPr>
        <w:t>条、规划计划类1条、</w:t>
      </w:r>
      <w:r>
        <w:rPr>
          <w:rFonts w:hint="default" w:ascii="Times New Roman" w:hAnsi="Times New Roman" w:eastAsia="仿宋_GB2312" w:cs="Times New Roman"/>
          <w:sz w:val="32"/>
          <w:szCs w:val="32"/>
          <w:highlight w:val="none"/>
          <w:lang w:val="en-US" w:eastAsia="zh-CN"/>
        </w:rPr>
        <w:t>部门会议类7条、</w:t>
      </w:r>
      <w:r>
        <w:rPr>
          <w:rFonts w:hint="default" w:ascii="Times New Roman" w:hAnsi="Times New Roman" w:eastAsia="仿宋_GB2312" w:cs="Times New Roman"/>
          <w:sz w:val="32"/>
          <w:szCs w:val="32"/>
          <w:highlight w:val="none"/>
          <w:lang w:val="en-US"/>
        </w:rPr>
        <w:t>财政信息类</w:t>
      </w:r>
      <w:r>
        <w:rPr>
          <w:rFonts w:hint="default" w:ascii="Times New Roman" w:hAnsi="Times New Roman" w:eastAsia="仿宋_GB2312" w:cs="Times New Roman"/>
          <w:sz w:val="32"/>
          <w:szCs w:val="32"/>
          <w:highlight w:val="none"/>
          <w:lang w:val="en-US" w:eastAsia="zh-CN"/>
        </w:rPr>
        <w:t>93</w:t>
      </w:r>
      <w:r>
        <w:rPr>
          <w:rFonts w:hint="default" w:ascii="Times New Roman" w:hAnsi="Times New Roman" w:eastAsia="仿宋_GB2312" w:cs="Times New Roman"/>
          <w:sz w:val="32"/>
          <w:szCs w:val="32"/>
          <w:highlight w:val="none"/>
          <w:lang w:val="en-US"/>
        </w:rPr>
        <w:t>条、</w:t>
      </w:r>
      <w:r>
        <w:rPr>
          <w:rFonts w:hint="default" w:ascii="Times New Roman" w:hAnsi="Times New Roman" w:eastAsia="仿宋_GB2312" w:cs="Times New Roman"/>
          <w:sz w:val="32"/>
          <w:szCs w:val="32"/>
          <w:highlight w:val="none"/>
          <w:lang w:val="en-US" w:eastAsia="zh-CN"/>
        </w:rPr>
        <w:t>业务工作类118</w:t>
      </w:r>
      <w:r>
        <w:rPr>
          <w:rFonts w:hint="default" w:ascii="Times New Roman" w:hAnsi="Times New Roman" w:eastAsia="仿宋_GB2312" w:cs="Times New Roman"/>
          <w:sz w:val="32"/>
          <w:szCs w:val="32"/>
          <w:highlight w:val="none"/>
          <w:lang w:val="en-US"/>
        </w:rPr>
        <w:t>条、</w:t>
      </w:r>
      <w:r>
        <w:rPr>
          <w:rFonts w:hint="default" w:ascii="Times New Roman" w:hAnsi="Times New Roman" w:eastAsia="仿宋_GB2312" w:cs="Times New Roman"/>
          <w:sz w:val="32"/>
          <w:szCs w:val="32"/>
          <w:lang w:val="en-US"/>
        </w:rPr>
        <w:t>报告</w:t>
      </w:r>
      <w:r>
        <w:rPr>
          <w:rFonts w:hint="default" w:ascii="Times New Roman" w:hAnsi="Times New Roman" w:eastAsia="仿宋_GB2312" w:cs="Times New Roman"/>
          <w:sz w:val="32"/>
          <w:szCs w:val="32"/>
          <w:lang w:val="en-US" w:eastAsia="zh-CN"/>
        </w:rPr>
        <w:t>指南</w:t>
      </w:r>
      <w:r>
        <w:rPr>
          <w:rFonts w:hint="default" w:ascii="Times New Roman" w:hAnsi="Times New Roman" w:eastAsia="仿宋_GB2312" w:cs="Times New Roman"/>
          <w:sz w:val="32"/>
          <w:szCs w:val="32"/>
          <w:lang w:val="en-US"/>
        </w:rPr>
        <w:t>类</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rPr>
        <w:t>条。通过电话、信函、政府</w:t>
      </w:r>
      <w:r>
        <w:rPr>
          <w:rFonts w:hint="default" w:ascii="Times New Roman" w:hAnsi="Times New Roman" w:eastAsia="仿宋_GB2312" w:cs="Times New Roman"/>
          <w:sz w:val="32"/>
          <w:szCs w:val="32"/>
          <w:lang w:val="en-US" w:eastAsia="zh-CN"/>
        </w:rPr>
        <w:t>政务公开平台</w:t>
      </w:r>
      <w:r>
        <w:rPr>
          <w:rFonts w:hint="default" w:ascii="Times New Roman" w:hAnsi="Times New Roman" w:eastAsia="仿宋_GB2312" w:cs="Times New Roman"/>
          <w:sz w:val="32"/>
          <w:szCs w:val="32"/>
          <w:lang w:val="en-US"/>
        </w:rPr>
        <w:t>等多渠道受理咨询、投诉</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rPr>
        <w:t>件，均按期办结，无逾期受理情况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3469640" cy="2705100"/>
            <wp:effectExtent l="0" t="0" r="5080" b="7620"/>
            <wp:docPr id="1" name="图片 1" descr="lQLPDhsQRZT0OY_NA1_NBFOwzgdsGz5Kh5EB61U6FgAzAA_1107_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DhsQRZT0OY_NA1_NBFOwzgdsGz5Kh5EB61U6FgAzAA_1107_863"/>
                    <pic:cNvPicPr>
                      <a:picLocks noChangeAspect="1"/>
                    </pic:cNvPicPr>
                  </pic:nvPicPr>
                  <pic:blipFill>
                    <a:blip r:embed="rId5"/>
                    <a:stretch>
                      <a:fillRect/>
                    </a:stretch>
                  </pic:blipFill>
                  <pic:spPr>
                    <a:xfrm>
                      <a:off x="0" y="0"/>
                      <a:ext cx="3469640" cy="2705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财政信息截图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依申请公开</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highlight w:val="none"/>
          <w:lang w:val="en-US" w:eastAsia="zh-CN"/>
        </w:rPr>
        <w:t>本单位持续规范完善依申请公开流程，健全接收、登记、审核、办理、答复、归档等闭环管理机制，严格按照区政府要求，提高答复专业化法治化水平。2021年，本单位共接收办理政府信息公开申请0件。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政府信息管理</w:t>
      </w:r>
      <w:r>
        <w:rPr>
          <w:rFonts w:hint="default" w:ascii="Times New Roman" w:hAnsi="Times New Roman" w:eastAsia="楷体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修订完善《主动公开基本目录》，进一步细化各科室（单位）政务公开工作，明确公开时限和要求，确保政务公开工作制度化、规范化。</w:t>
      </w:r>
      <w:r>
        <w:rPr>
          <w:rFonts w:hint="default" w:ascii="Times New Roman" w:hAnsi="Times New Roman" w:eastAsia="仿宋_GB2312" w:cs="Times New Roman"/>
          <w:sz w:val="32"/>
          <w:szCs w:val="32"/>
          <w:highlight w:val="none"/>
          <w:lang w:val="en-US" w:eastAsia="zh-CN"/>
        </w:rPr>
        <w:t>规范本单位政府信息公开信息的审核发布机制和日常维护管理机制，确保信息准确、及时、安全、有效发布</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drawing>
          <wp:inline distT="0" distB="0" distL="114300" distR="114300">
            <wp:extent cx="3771900" cy="2925445"/>
            <wp:effectExtent l="0" t="0" r="7620" b="635"/>
            <wp:docPr id="2" name="图片 2" descr="D04B4F93-89CD-4f1a-B515-961654F6C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4B4F93-89CD-4f1a-B515-961654F6C84C"/>
                    <pic:cNvPicPr>
                      <a:picLocks noChangeAspect="1"/>
                    </pic:cNvPicPr>
                  </pic:nvPicPr>
                  <pic:blipFill>
                    <a:blip r:embed="rId6"/>
                    <a:stretch>
                      <a:fillRect/>
                    </a:stretch>
                  </pic:blipFill>
                  <pic:spPr>
                    <a:xfrm>
                      <a:off x="0" y="0"/>
                      <a:ext cx="3771900" cy="29254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主动公开基本目录截图</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政府信息公开</w:t>
      </w:r>
      <w:r>
        <w:rPr>
          <w:rFonts w:hint="default" w:ascii="Times New Roman" w:hAnsi="Times New Roman" w:eastAsia="楷体_GB2312" w:cs="Times New Roman"/>
          <w:sz w:val="32"/>
          <w:szCs w:val="32"/>
        </w:rPr>
        <w:t>平台建设</w:t>
      </w:r>
      <w:r>
        <w:rPr>
          <w:rFonts w:hint="default" w:ascii="Times New Roman" w:hAnsi="Times New Roman" w:eastAsia="仿宋_GB2312" w:cs="Times New Roman"/>
          <w:color w:val="auto"/>
          <w:sz w:val="32"/>
          <w:szCs w:val="32"/>
          <w:lang w:val="en-US" w:eastAsia="zh-CN"/>
        </w:rPr>
        <w:t>。借助政府网站互动管理系统，加强“临淄财政”微信公众号政民互动建设，打造全方位、立体化的互动交流模式，及时回应群众诉求。</w:t>
      </w:r>
      <w:r>
        <w:rPr>
          <w:rFonts w:hint="default" w:ascii="Times New Roman" w:hAnsi="Times New Roman" w:eastAsia="仿宋_GB2312" w:cs="Times New Roman"/>
          <w:sz w:val="32"/>
          <w:szCs w:val="32"/>
          <w:lang w:val="en-US" w:eastAsia="zh-CN"/>
        </w:rPr>
        <w:t>成立区财政局</w:t>
      </w:r>
      <w:r>
        <w:rPr>
          <w:rFonts w:hint="default" w:ascii="Times New Roman" w:hAnsi="Times New Roman" w:eastAsia="仿宋_GB2312" w:cs="Times New Roman"/>
          <w:sz w:val="32"/>
          <w:szCs w:val="32"/>
        </w:rPr>
        <w:t>宣传</w:t>
      </w:r>
      <w:r>
        <w:rPr>
          <w:rFonts w:hint="default" w:ascii="Times New Roman" w:hAnsi="Times New Roman" w:eastAsia="仿宋_GB2312" w:cs="Times New Roman"/>
          <w:sz w:val="32"/>
          <w:szCs w:val="32"/>
          <w:lang w:val="en-US" w:eastAsia="zh-CN"/>
        </w:rPr>
        <w:t>小分队，</w:t>
      </w:r>
      <w:r>
        <w:rPr>
          <w:rFonts w:hint="default" w:ascii="Times New Roman" w:hAnsi="Times New Roman" w:eastAsia="仿宋_GB2312" w:cs="Times New Roman"/>
          <w:sz w:val="32"/>
          <w:szCs w:val="32"/>
        </w:rPr>
        <w:t>积极开展惠民政策宣传和财政宣传手册发放工作。在</w:t>
      </w:r>
      <w:r>
        <w:rPr>
          <w:rFonts w:hint="default" w:ascii="Times New Roman" w:hAnsi="Times New Roman" w:eastAsia="仿宋_GB2312" w:cs="Times New Roman"/>
          <w:sz w:val="32"/>
          <w:szCs w:val="32"/>
          <w:lang w:val="en-US" w:eastAsia="zh-CN"/>
        </w:rPr>
        <w:t>机关</w:t>
      </w:r>
      <w:r>
        <w:rPr>
          <w:rFonts w:hint="default" w:ascii="Times New Roman" w:hAnsi="Times New Roman" w:eastAsia="仿宋_GB2312" w:cs="Times New Roman"/>
          <w:sz w:val="32"/>
          <w:szCs w:val="32"/>
        </w:rPr>
        <w:t>大厅内设有群众来访登记本</w:t>
      </w:r>
      <w:r>
        <w:rPr>
          <w:rFonts w:hint="default" w:ascii="Times New Roman" w:hAnsi="Times New Roman" w:eastAsia="仿宋_GB2312" w:cs="Times New Roman"/>
          <w:sz w:val="32"/>
          <w:szCs w:val="32"/>
          <w:lang w:val="en-US" w:eastAsia="zh-CN"/>
        </w:rPr>
        <w:t>和意见箱</w:t>
      </w:r>
      <w:r>
        <w:rPr>
          <w:rFonts w:hint="default" w:ascii="Times New Roman" w:hAnsi="Times New Roman" w:eastAsia="仿宋_GB2312" w:cs="Times New Roman"/>
          <w:sz w:val="32"/>
          <w:szCs w:val="32"/>
        </w:rPr>
        <w:t>，收集群众意见并对群众意见进行整理登记，有效地拓宽了群众监督渠道。</w:t>
      </w:r>
      <w:r>
        <w:rPr>
          <w:rFonts w:hint="default" w:ascii="Times New Roman" w:hAnsi="Times New Roman" w:eastAsia="仿宋_GB2312" w:cs="Times New Roman"/>
          <w:sz w:val="32"/>
          <w:szCs w:val="32"/>
          <w:highlight w:val="none"/>
          <w:lang w:val="en-US" w:eastAsia="zh-CN"/>
        </w:rPr>
        <w:t>利用新媒体主动推送信息，完善“临淄财政”公众号宣传平台，共推送信息378条，切实加强政策宣讲力度，确保相关政策和资金落实到位、管理到位。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5267960" cy="4486275"/>
            <wp:effectExtent l="0" t="0" r="5080" b="9525"/>
            <wp:docPr id="3" name="图片 3" descr="Screenshot_2022-01-17-15-12-32-21_e39d2c7de19156b0683cd93e8735f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2-01-17-15-12-32-21_e39d2c7de19156b0683cd93e8735f348"/>
                    <pic:cNvPicPr>
                      <a:picLocks noChangeAspect="1"/>
                    </pic:cNvPicPr>
                  </pic:nvPicPr>
                  <pic:blipFill>
                    <a:blip r:embed="rId7"/>
                    <a:stretch>
                      <a:fillRect/>
                    </a:stretch>
                  </pic:blipFill>
                  <pic:spPr>
                    <a:xfrm>
                      <a:off x="0" y="0"/>
                      <a:ext cx="5267960" cy="44862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“临淄财政”公众号</w:t>
      </w:r>
      <w:r>
        <w:rPr>
          <w:rFonts w:hint="eastAsia" w:ascii="Times New Roman" w:hAnsi="Times New Roman" w:eastAsia="仿宋_GB2312" w:cs="Times New Roman"/>
          <w:sz w:val="28"/>
          <w:szCs w:val="28"/>
          <w:highlight w:val="none"/>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五</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监督保障</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定《区财政局2021年度政务公开工作实施方案》和《区财政局2021年政务公开培训计划》，举办政务公开工作培训班，及时传达学习上级关于政务信息公开工作要点和财政领域政务公开有关指引等文件精神，进一步明确要求、压实责任，提高政府信息公开工作效率。在年底科室综合考核中，将政府信息公开作为重要考核指标，不断建立健全财政信息公开工作长效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drawing>
          <wp:inline distT="0" distB="0" distL="114300" distR="114300">
            <wp:extent cx="5273040" cy="4003040"/>
            <wp:effectExtent l="0" t="0" r="0" b="5080"/>
            <wp:docPr id="5" name="图片 5" descr="8B64B3D5-B123-4438-B630-06F4EC89C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B64B3D5-B123-4438-B630-06F4EC89CD32"/>
                    <pic:cNvPicPr>
                      <a:picLocks noChangeAspect="1"/>
                    </pic:cNvPicPr>
                  </pic:nvPicPr>
                  <pic:blipFill>
                    <a:blip r:embed="rId8"/>
                    <a:stretch>
                      <a:fillRect/>
                    </a:stretch>
                  </pic:blipFill>
                  <pic:spPr>
                    <a:xfrm>
                      <a:off x="0" y="0"/>
                      <a:ext cx="5273040" cy="40030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HYPERLINK "http://www.linzi.gov.cn/gongkai/site_lzqczj/channel_5fc6ff259d0dc2d564a36a97/" \t "http://www.linzi.gov.cn/gongkai/site_lzqczj/channel_5fc6ff259d0dc2d564a36a97/_blank" </w:instrText>
      </w:r>
      <w:r>
        <w:rPr>
          <w:rFonts w:hint="default" w:ascii="Times New Roman" w:hAnsi="Times New Roman" w:eastAsia="仿宋_GB2312" w:cs="Times New Roman"/>
          <w:color w:val="auto"/>
          <w:sz w:val="28"/>
          <w:szCs w:val="28"/>
          <w:lang w:val="en-US" w:eastAsia="zh-CN"/>
        </w:rPr>
        <w:fldChar w:fldCharType="separate"/>
      </w:r>
      <w:r>
        <w:rPr>
          <w:rFonts w:hint="eastAsia" w:ascii="Times New Roman" w:hAnsi="Times New Roman" w:eastAsia="仿宋_GB2312" w:cs="Times New Roman"/>
          <w:color w:val="auto"/>
          <w:sz w:val="28"/>
          <w:szCs w:val="28"/>
          <w:lang w:val="en-US" w:eastAsia="zh-CN"/>
        </w:rPr>
        <w:t>政务公开保障机制</w:t>
      </w:r>
      <w:r>
        <w:rPr>
          <w:rFonts w:hint="eastAsia" w:ascii="Times New Roman" w:hAnsi="Times New Roman" w:eastAsia="仿宋_GB2312" w:cs="Times New Roman"/>
          <w:color w:val="auto"/>
          <w:sz w:val="28"/>
          <w:szCs w:val="28"/>
          <w:lang w:val="en-US" w:eastAsia="zh-CN"/>
        </w:rPr>
        <w:fldChar w:fldCharType="end"/>
      </w:r>
      <w:r>
        <w:rPr>
          <w:rFonts w:hint="eastAsia" w:ascii="Times New Roman" w:hAnsi="Times New Roman" w:eastAsia="仿宋_GB2312" w:cs="Times New Roman"/>
          <w:color w:val="auto"/>
          <w:sz w:val="28"/>
          <w:szCs w:val="28"/>
          <w:lang w:val="en-US" w:eastAsia="zh-CN"/>
        </w:rPr>
        <w:t>栏目截图</w:t>
      </w:r>
    </w:p>
    <w:p>
      <w:pPr>
        <w:keepNext w:val="0"/>
        <w:keepLines w:val="0"/>
        <w:pageBreakBefore w:val="0"/>
        <w:widowControl w:val="0"/>
        <w:kinsoku/>
        <w:wordWrap/>
        <w:overflowPunct/>
        <w:topLinePunct w:val="0"/>
        <w:autoSpaceDE/>
        <w:autoSpaceDN/>
        <w:bidi w:val="0"/>
        <w:adjustRightInd/>
        <w:snapToGrid/>
        <w:spacing w:line="560" w:lineRule="exact"/>
        <w:ind w:left="0" w:right="0"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宋体" w:cs="Times New Roman"/>
          <w:kern w:val="0"/>
          <w:szCs w:val="21"/>
        </w:rPr>
      </w:pPr>
    </w:p>
    <w:tbl>
      <w:tblPr>
        <w:tblStyle w:val="12"/>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keepNext w:val="0"/>
              <w:keepLines w:val="0"/>
              <w:pageBreakBefore w:val="0"/>
              <w:widowControl w:val="0"/>
              <w:tabs>
                <w:tab w:val="left" w:pos="1048"/>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（一）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keepNext w:val="0"/>
              <w:keepLines w:val="0"/>
              <w:pageBreakBefore w:val="0"/>
              <w:widowControl w:val="0"/>
              <w:tabs>
                <w:tab w:val="left" w:pos="1049"/>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（五）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keepNext w:val="0"/>
              <w:keepLines w:val="0"/>
              <w:pageBreakBefore w:val="0"/>
              <w:widowControl w:val="0"/>
              <w:tabs>
                <w:tab w:val="left" w:pos="1059"/>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（六）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keepNext w:val="0"/>
              <w:keepLines w:val="0"/>
              <w:pageBreakBefore w:val="0"/>
              <w:widowControl w:val="0"/>
              <w:tabs>
                <w:tab w:val="left" w:pos="1068"/>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本年收费金额  （单位 ：万元）</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685"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55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4159"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lang w:val="en-US" w:eastAsia="zh-CN"/>
              </w:rPr>
              <w:t>0</w:t>
            </w:r>
          </w:p>
        </w:tc>
        <w:tc>
          <w:tcPr>
            <w:tcW w:w="66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2"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6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2"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6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1.申请人无正当理由逾期不补正、行政机关不再处理其政府信息公开申请</w:t>
            </w:r>
          </w:p>
        </w:tc>
        <w:tc>
          <w:tcPr>
            <w:tcW w:w="554"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2"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6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 要求缴纳费用、行政机关不再处理其政府信息公开申请</w:t>
            </w:r>
          </w:p>
        </w:tc>
        <w:tc>
          <w:tcPr>
            <w:tcW w:w="554"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2"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6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1525"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2634" w:type="dxa"/>
          </w:tcPr>
          <w:p>
            <w:pPr>
              <w:keepNext w:val="0"/>
              <w:keepLines w:val="0"/>
              <w:pageBreakBefore w:val="0"/>
              <w:widowControl w:val="0"/>
              <w:kinsoku/>
              <w:wordWrap/>
              <w:overflowPunct/>
              <w:topLinePunct w:val="0"/>
              <w:autoSpaceDE/>
              <w:autoSpaceDN/>
              <w:bidi w:val="0"/>
              <w:adjustRightInd/>
              <w:snapToGrid/>
              <w:spacing w:line="560" w:lineRule="exact"/>
              <w:ind w:left="0" w:right="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554"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2"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6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tc>
        <w:tc>
          <w:tcPr>
            <w:tcW w:w="415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2"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6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r>
              <w:rPr>
                <w:rFonts w:hint="default" w:ascii="Times New Roman" w:hAnsi="Times New Roman" w:cs="Times New Roman"/>
              </w:rPr>
              <w:t>四、结转下年度继续办理</w:t>
            </w:r>
          </w:p>
        </w:tc>
        <w:tc>
          <w:tcPr>
            <w:tcW w:w="554"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2"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3"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9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65" w:type="dxa"/>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18"/>
                <w:szCs w:val="18"/>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18"/>
                <w:szCs w:val="18"/>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 w:val="18"/>
                <w:szCs w:val="18"/>
              </w:rPr>
            </w:pPr>
          </w:p>
        </w:tc>
        <w:tc>
          <w:tcPr>
            <w:tcW w:w="70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p>
        </w:tc>
        <w:tc>
          <w:tcPr>
            <w:tcW w:w="42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sz w:val="32"/>
          <w:szCs w:val="32"/>
          <w:lang w:val="en-US" w:eastAsia="zh-CN"/>
        </w:rPr>
        <w:t>（一）存在问题。</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是政府信息公开工作制度有待进一步完善；二是在公开内容的规范性、时效性上有待增强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三是重点领域信息公开范围有待进一步扩大。</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lang w:val="en-US" w:eastAsia="zh-CN"/>
        </w:rPr>
        <w:t>（二）改进情况。</w:t>
      </w:r>
      <w:r>
        <w:rPr>
          <w:rFonts w:hint="default" w:ascii="Times New Roman" w:hAnsi="Times New Roman" w:eastAsia="仿宋_GB2312" w:cs="Times New Roman"/>
          <w:color w:val="000000"/>
          <w:sz w:val="32"/>
          <w:szCs w:val="32"/>
        </w:rPr>
        <w:t>加强政府信息公开工作，确保社会公众及时了解财政工作和贯彻落实任务情况，自觉接受公众监督。一是加强</w:t>
      </w:r>
      <w:r>
        <w:rPr>
          <w:rFonts w:hint="default" w:ascii="Times New Roman" w:hAnsi="Times New Roman" w:eastAsia="仿宋_GB2312" w:cs="Times New Roman"/>
          <w:color w:val="000000"/>
          <w:sz w:val="32"/>
          <w:szCs w:val="32"/>
          <w:lang w:val="en-US" w:eastAsia="zh-CN"/>
        </w:rPr>
        <w:t>信息公开培训</w:t>
      </w:r>
      <w:r>
        <w:rPr>
          <w:rFonts w:hint="default" w:ascii="Times New Roman" w:hAnsi="Times New Roman" w:eastAsia="仿宋_GB2312" w:cs="Times New Roman"/>
          <w:color w:val="000000"/>
          <w:sz w:val="32"/>
          <w:szCs w:val="32"/>
        </w:rPr>
        <w:t>，提高工作人员信息公开工作的业务水平；二是继续完善政府信息公开各项制度，促进政府信息公开工作的规范化、制度化；三是进一步扩大政府信息公开的内容，力求保证信息的完整性和准确性。</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一</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收取信息处理费情况</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2021年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无</w:t>
      </w:r>
      <w:r>
        <w:rPr>
          <w:rFonts w:hint="default" w:ascii="Times New Roman" w:hAnsi="Times New Roman" w:eastAsia="仿宋_GB2312" w:cs="Times New Roman"/>
          <w:color w:val="000000"/>
          <w:sz w:val="32"/>
          <w:szCs w:val="32"/>
        </w:rPr>
        <w:t>收取信息处理费情况</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二</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人大代表建议和政协提案办理结果情况</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sz w:val="32"/>
          <w:szCs w:val="32"/>
          <w:lang w:val="en-US"/>
        </w:rPr>
        <w:t>办理</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人大代表建议和</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政协委员提案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rPr>
        <w:t>件，其中</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人大代表建议</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rPr>
        <w:t>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政协委员提案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rPr>
        <w:t>件，代表委员对</w:t>
      </w:r>
      <w:r>
        <w:rPr>
          <w:rFonts w:hint="default" w:ascii="Times New Roman" w:hAnsi="Times New Roman" w:eastAsia="仿宋_GB2312" w:cs="Times New Roman"/>
          <w:sz w:val="32"/>
          <w:szCs w:val="32"/>
          <w:lang w:val="en-US" w:eastAsia="zh-CN"/>
        </w:rPr>
        <w:t>区财政局</w:t>
      </w:r>
      <w:r>
        <w:rPr>
          <w:rFonts w:hint="default" w:ascii="Times New Roman" w:hAnsi="Times New Roman" w:eastAsia="仿宋_GB2312" w:cs="Times New Roman"/>
          <w:sz w:val="32"/>
          <w:szCs w:val="32"/>
          <w:lang w:val="en-US"/>
        </w:rPr>
        <w:t>办理态度满意率100%。</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三</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年度政务公开工作创新情况</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sz w:val="32"/>
          <w:szCs w:val="32"/>
          <w:lang w:val="en-US" w:eastAsia="zh-CN"/>
        </w:rPr>
        <w:t>2021年，政务公开工作无创新举措</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lang w:val="en-US" w:eastAsia="zh-CN"/>
        </w:rPr>
      </w:pPr>
      <w:bookmarkStart w:id="0" w:name="_GoBack"/>
      <w:r>
        <w:rPr>
          <w:rFonts w:hint="eastAsia" w:ascii="Times New Roman" w:hAnsi="Times New Roman" w:eastAsia="楷体_GB2312" w:cs="Times New Roman"/>
          <w:color w:val="000000"/>
          <w:sz w:val="32"/>
          <w:szCs w:val="32"/>
          <w:lang w:val="en-US" w:eastAsia="zh-CN"/>
        </w:rPr>
        <w:t>（四）年度工作要点落实情况。2021年，</w:t>
      </w:r>
      <w:r>
        <w:rPr>
          <w:rFonts w:hint="eastAsia" w:ascii="Times New Roman" w:hAnsi="Times New Roman" w:eastAsia="仿宋_GB2312" w:cs="Times New Roman"/>
          <w:sz w:val="32"/>
          <w:szCs w:val="32"/>
          <w:lang w:val="en-US" w:eastAsia="zh-CN"/>
        </w:rPr>
        <w:t>区财政局</w:t>
      </w:r>
      <w:r>
        <w:rPr>
          <w:rFonts w:hint="default" w:ascii="Times New Roman" w:hAnsi="Times New Roman" w:eastAsia="仿宋_GB2312" w:cs="Times New Roman"/>
          <w:sz w:val="32"/>
          <w:szCs w:val="32"/>
          <w:lang w:val="en-US" w:eastAsia="zh-CN"/>
        </w:rPr>
        <w:t>高度重视政务公开工作，严格按照</w:t>
      </w:r>
      <w:r>
        <w:rPr>
          <w:rFonts w:hint="eastAsia" w:ascii="Times New Roman" w:hAnsi="Times New Roman" w:eastAsia="仿宋_GB2312" w:cs="Times New Roman"/>
          <w:sz w:val="32"/>
          <w:szCs w:val="32"/>
          <w:lang w:val="en-US" w:eastAsia="zh-CN"/>
        </w:rPr>
        <w:t>上级制定的</w:t>
      </w:r>
      <w:r>
        <w:rPr>
          <w:rFonts w:hint="default" w:ascii="Times New Roman" w:hAnsi="Times New Roman" w:eastAsia="仿宋_GB2312" w:cs="Times New Roman"/>
          <w:sz w:val="32"/>
          <w:szCs w:val="32"/>
          <w:lang w:val="en-US" w:eastAsia="zh-CN"/>
        </w:rPr>
        <w:t>政务公开工作要点，紧紧围绕稳增长、促改革、调结构、惠民生、防风险和</w:t>
      </w:r>
      <w:r>
        <w:rPr>
          <w:rFonts w:hint="eastAsia" w:ascii="Times New Roman" w:hAnsi="Times New Roman" w:eastAsia="仿宋_GB2312" w:cs="Times New Roman"/>
          <w:sz w:val="32"/>
          <w:szCs w:val="32"/>
          <w:lang w:val="en-US" w:eastAsia="zh-CN"/>
        </w:rPr>
        <w:t>区委、区政府</w:t>
      </w:r>
      <w:r>
        <w:rPr>
          <w:rFonts w:hint="default" w:ascii="Times New Roman" w:hAnsi="Times New Roman" w:eastAsia="仿宋_GB2312" w:cs="Times New Roman"/>
          <w:sz w:val="32"/>
          <w:szCs w:val="32"/>
          <w:lang w:val="en-US" w:eastAsia="zh-CN"/>
        </w:rPr>
        <w:t>重大决策部署及公众关切的事项，全面推进决策、执行、管理、服务、结果公开，加强解读回应，扩大公众参与率，以深化公开促政府职能转变，以优化服务促政府效能提升，切实维护好政府形象和公信力，不断</w:t>
      </w:r>
      <w:r>
        <w:rPr>
          <w:rFonts w:hint="eastAsia" w:ascii="Times New Roman" w:hAnsi="Times New Roman" w:eastAsia="仿宋_GB2312" w:cs="Times New Roman"/>
          <w:sz w:val="32"/>
          <w:szCs w:val="32"/>
          <w:lang w:val="en-US" w:eastAsia="zh-CN"/>
        </w:rPr>
        <w:t>推动财政事业高质量发展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bookmarkEnd w:id="0"/>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5120" w:firstLineChars="1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临淄区财政局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15CBC"/>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16E6289"/>
    <w:rsid w:val="09C253C4"/>
    <w:rsid w:val="15BB209F"/>
    <w:rsid w:val="18E35B95"/>
    <w:rsid w:val="1BA23AE5"/>
    <w:rsid w:val="1D3958CF"/>
    <w:rsid w:val="1DE22842"/>
    <w:rsid w:val="1F066139"/>
    <w:rsid w:val="209717B3"/>
    <w:rsid w:val="21705363"/>
    <w:rsid w:val="25DB3DEA"/>
    <w:rsid w:val="31104BF6"/>
    <w:rsid w:val="32582CF8"/>
    <w:rsid w:val="34A17A33"/>
    <w:rsid w:val="391361DB"/>
    <w:rsid w:val="3DA37D71"/>
    <w:rsid w:val="49C452A4"/>
    <w:rsid w:val="4DE93206"/>
    <w:rsid w:val="52B51631"/>
    <w:rsid w:val="54D924F1"/>
    <w:rsid w:val="587358E6"/>
    <w:rsid w:val="594828CF"/>
    <w:rsid w:val="60455993"/>
    <w:rsid w:val="627D7A8D"/>
    <w:rsid w:val="68B67017"/>
    <w:rsid w:val="6E7B6E4B"/>
    <w:rsid w:val="75446979"/>
    <w:rsid w:val="7B395B87"/>
    <w:rsid w:val="7F737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3"/>
    <w:qFormat/>
    <w:uiPriority w:val="99"/>
    <w:rPr>
      <w:kern w:val="2"/>
      <w:sz w:val="18"/>
      <w:szCs w:val="18"/>
    </w:rPr>
  </w:style>
  <w:style w:type="character" w:customStyle="1" w:styleId="10">
    <w:name w:val="页脚 字符"/>
    <w:basedOn w:val="7"/>
    <w:link w:val="2"/>
    <w:qFormat/>
    <w:uiPriority w:val="99"/>
    <w:rPr>
      <w:kern w:val="2"/>
      <w:sz w:val="18"/>
      <w:szCs w:val="18"/>
    </w:rPr>
  </w:style>
  <w:style w:type="paragraph" w:customStyle="1" w:styleId="11">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2">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218</Words>
  <Characters>1243</Characters>
  <Lines>10</Lines>
  <Paragraphs>2</Paragraphs>
  <TotalTime>20</TotalTime>
  <ScaleCrop>false</ScaleCrop>
  <LinksUpToDate>false</LinksUpToDate>
  <CharactersWithSpaces>1459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王烨！！</cp:lastModifiedBy>
  <cp:lastPrinted>2022-01-17T07:26:00Z</cp:lastPrinted>
  <dcterms:modified xsi:type="dcterms:W3CDTF">2022-01-25T08:53:38Z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FD6BC739D11A4AC9A5926E47056CC23A</vt:lpwstr>
  </property>
</Properties>
</file>