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2022年度区级预算绩效管理结果报告</w:t>
      </w: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p>
    <w:p>
      <w:pPr>
        <w:spacing w:line="220" w:lineRule="atLeast"/>
        <w:jc w:val="center"/>
        <w:rPr>
          <w:rFonts w:ascii="方正小标宋简体" w:eastAsia="方正小标宋简体"/>
          <w:sz w:val="44"/>
          <w:szCs w:val="44"/>
        </w:rPr>
      </w:pPr>
      <w:r>
        <w:rPr>
          <w:rFonts w:hint="eastAsia" w:ascii="方正小标宋简体" w:eastAsia="方正小标宋简体"/>
          <w:sz w:val="44"/>
          <w:szCs w:val="44"/>
        </w:rPr>
        <w:t>临淄区财政局</w:t>
      </w:r>
      <w:r>
        <w:rPr>
          <w:rFonts w:hint="eastAsia" w:ascii="方正小标宋简体" w:eastAsia="方正小标宋简体"/>
          <w:sz w:val="44"/>
          <w:szCs w:val="44"/>
          <w:lang w:val="en-US" w:eastAsia="zh-CN"/>
        </w:rPr>
        <w:t>二〇二三</w:t>
      </w:r>
      <w:r>
        <w:rPr>
          <w:rFonts w:hint="eastAsia" w:ascii="方正小标宋简体" w:eastAsia="方正小标宋简体"/>
          <w:sz w:val="44"/>
          <w:szCs w:val="44"/>
        </w:rPr>
        <w:t>年十月</w:t>
      </w:r>
    </w:p>
    <w:p>
      <w:pPr>
        <w:spacing w:line="220" w:lineRule="atLeast"/>
        <w:rPr>
          <w:rFonts w:ascii="仿宋_GB2312" w:eastAsia="仿宋_GB2312"/>
          <w:sz w:val="32"/>
          <w:szCs w:val="32"/>
        </w:rPr>
      </w:pPr>
    </w:p>
    <w:p>
      <w:pPr>
        <w:spacing w:line="220" w:lineRule="atLeast"/>
        <w:rPr>
          <w:rFonts w:ascii="仿宋_GB2312" w:eastAsia="仿宋_GB2312"/>
          <w:sz w:val="32"/>
          <w:szCs w:val="32"/>
        </w:rPr>
      </w:pPr>
    </w:p>
    <w:p>
      <w:pPr>
        <w:spacing w:line="220" w:lineRule="atLeast"/>
        <w:jc w:val="center"/>
        <w:rPr>
          <w:rFonts w:ascii="方正小标宋简体" w:hAnsi="黑体" w:eastAsia="方正小标宋简体"/>
          <w:sz w:val="44"/>
          <w:szCs w:val="44"/>
        </w:rPr>
      </w:pPr>
      <w:r>
        <w:rPr>
          <w:rFonts w:hint="eastAsia" w:ascii="方正小标宋简体" w:hAnsi="黑体" w:eastAsia="方正小标宋简体"/>
          <w:sz w:val="44"/>
          <w:szCs w:val="44"/>
        </w:rPr>
        <w:t>编写说明</w:t>
      </w:r>
    </w:p>
    <w:p>
      <w:pPr>
        <w:snapToGrid/>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2022年，区财政部门和预算部门单位按照全面实施预算绩效管理的部署要求，围绕重点领域和重要环节，聚焦创新提升，全面推进“全方位、全过程、全覆盖”预算绩效管理体系建立。</w:t>
      </w:r>
    </w:p>
    <w:p>
      <w:pPr>
        <w:snapToGrid/>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按照《预算法》《中共中央国务院关于全面实施预算绩效管理的意见》等法律法规和相关规定，根据财政部、省财政厅统一部署，结合我区实际，区财政局选择了5个区级预算项目绩效自评表、3个区级预算重点项目绩效评价报告、2个部门单位的部门整体绩效评价报告，提交区人大参阅。</w:t>
      </w:r>
    </w:p>
    <w:p>
      <w:pPr>
        <w:snapToGrid/>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本次提报的5个区级预算项目绩效自评表、3个区级预算重点项目绩效评价报告，涵盖了教育、农业、社保等公共服务性强、社会关注度高的多个重点领域。从评价结果来看，被评价项目绩效目标基本明确，决策依据充分，资金分配合理，项目管理比较规范，项目绩效情况总体良好，基本达到了预期效果。但部分项目一定程度上存在预算绩效管理需要进一步规范、预算编制精细程度有待进一步提升、项目（政策）管理机制需要进一步健全等问题。</w:t>
      </w:r>
    </w:p>
    <w:p>
      <w:pPr>
        <w:snapToGrid/>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本次提交的部门整体绩效评价报告涉及部门为：临淄区退役军人事务局、临淄区交通局。部门整体绩效评价报告内容反映整体职责目标完成情况及预算执行情况。从评价结果来看，部门整体绩效评价指标权重设置合理，评价效果良好。</w:t>
      </w:r>
    </w:p>
    <w:p>
      <w:pPr>
        <w:snapToGrid/>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下一步，我们将围绕全面实施预算绩效管理的目标要求，不断强化预算绩效管理结果导向，抓实事前绩效评估，将事前绩效评估结果作为区级预算安排的必备条件；抓实绩效运行监控，提高财政资金绩效运行质量和效率；抓实预算绩效管理结果应用，增强预算绩效管理刚性约束。同时，结合我区预算绩效管理实际，不断提升部门、单位整体预算绩效水平和核心业务实施成效。</w:t>
      </w: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jc w:val="center"/>
        <w:rPr>
          <w:rFonts w:hint="eastAsia" w:ascii="黑体" w:hAnsi="黑体" w:eastAsia="黑体"/>
          <w:sz w:val="44"/>
          <w:szCs w:val="44"/>
        </w:rPr>
      </w:pPr>
    </w:p>
    <w:p>
      <w:pPr>
        <w:snapToGrid/>
        <w:spacing w:after="0" w:line="560" w:lineRule="exact"/>
        <w:jc w:val="center"/>
        <w:rPr>
          <w:rFonts w:hint="eastAsia" w:ascii="黑体" w:hAnsi="黑体" w:eastAsia="黑体"/>
          <w:sz w:val="44"/>
          <w:szCs w:val="44"/>
        </w:rPr>
      </w:pPr>
    </w:p>
    <w:p>
      <w:pPr>
        <w:snapToGrid/>
        <w:spacing w:after="0" w:line="560" w:lineRule="exact"/>
        <w:jc w:val="center"/>
        <w:rPr>
          <w:rFonts w:hint="eastAsia" w:ascii="黑体" w:hAnsi="黑体" w:eastAsia="黑体"/>
          <w:sz w:val="44"/>
          <w:szCs w:val="44"/>
        </w:rPr>
      </w:pPr>
    </w:p>
    <w:p>
      <w:pPr>
        <w:snapToGrid/>
        <w:spacing w:after="0" w:line="560" w:lineRule="exact"/>
        <w:jc w:val="center"/>
        <w:rPr>
          <w:rFonts w:hint="eastAsia" w:ascii="黑体" w:hAnsi="黑体" w:eastAsia="黑体"/>
          <w:sz w:val="44"/>
          <w:szCs w:val="44"/>
        </w:rPr>
      </w:pPr>
    </w:p>
    <w:p>
      <w:pPr>
        <w:snapToGrid/>
        <w:spacing w:after="0" w:line="560" w:lineRule="exact"/>
        <w:jc w:val="center"/>
        <w:rPr>
          <w:rFonts w:hint="eastAsia" w:ascii="黑体" w:hAnsi="黑体" w:eastAsia="黑体"/>
          <w:sz w:val="44"/>
          <w:szCs w:val="44"/>
        </w:rPr>
      </w:pPr>
    </w:p>
    <w:p>
      <w:pPr>
        <w:snapToGrid/>
        <w:spacing w:after="0" w:line="560" w:lineRule="exact"/>
        <w:jc w:val="center"/>
        <w:rPr>
          <w:rFonts w:ascii="黑体" w:hAnsi="黑体" w:eastAsia="黑体"/>
          <w:sz w:val="44"/>
          <w:szCs w:val="44"/>
        </w:rPr>
      </w:pPr>
      <w:r>
        <w:rPr>
          <w:rFonts w:hint="eastAsia" w:ascii="黑体" w:hAnsi="黑体" w:eastAsia="黑体"/>
          <w:sz w:val="44"/>
          <w:szCs w:val="44"/>
        </w:rPr>
        <w:t>目录</w:t>
      </w:r>
    </w:p>
    <w:p>
      <w:pPr>
        <w:snapToGrid/>
        <w:spacing w:after="0" w:line="560" w:lineRule="exact"/>
        <w:jc w:val="center"/>
        <w:rPr>
          <w:rFonts w:ascii="黑体" w:hAnsi="黑体" w:eastAsia="黑体"/>
          <w:sz w:val="44"/>
          <w:szCs w:val="44"/>
        </w:rPr>
      </w:pPr>
    </w:p>
    <w:p>
      <w:pPr>
        <w:snapToGrid/>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第一部分  区级预算部分项目绩效自评表</w:t>
      </w:r>
    </w:p>
    <w:p>
      <w:pPr>
        <w:pStyle w:val="28"/>
        <w:adjustRightInd w:val="0"/>
        <w:snapToGrid/>
        <w:spacing w:line="560" w:lineRule="exact"/>
        <w:ind w:firstLine="640"/>
        <w:jc w:val="left"/>
        <w:rPr>
          <w:rFonts w:ascii="宋体" w:hAnsi="宋体" w:cs="宋体"/>
          <w:b w:val="0"/>
          <w:kern w:val="0"/>
          <w:sz w:val="32"/>
          <w:szCs w:val="32"/>
        </w:rPr>
      </w:pPr>
      <w:r>
        <w:rPr>
          <w:rFonts w:hint="eastAsia" w:ascii="宋体" w:hAnsi="宋体" w:cs="宋体"/>
          <w:b w:val="0"/>
          <w:kern w:val="0"/>
          <w:sz w:val="32"/>
          <w:szCs w:val="32"/>
        </w:rPr>
        <w:t>1、临淄区2022年度民师退休待遇项目自评表</w:t>
      </w:r>
    </w:p>
    <w:p>
      <w:pPr>
        <w:pStyle w:val="28"/>
        <w:adjustRightInd w:val="0"/>
        <w:snapToGrid/>
        <w:spacing w:line="560" w:lineRule="exact"/>
        <w:ind w:firstLine="640"/>
        <w:jc w:val="left"/>
        <w:rPr>
          <w:rFonts w:ascii="宋体" w:hAnsi="宋体" w:cs="宋体"/>
          <w:b w:val="0"/>
          <w:kern w:val="0"/>
          <w:sz w:val="32"/>
          <w:szCs w:val="32"/>
        </w:rPr>
      </w:pPr>
      <w:r>
        <w:rPr>
          <w:rFonts w:hint="eastAsia" w:ascii="宋体" w:hAnsi="宋体" w:cs="宋体"/>
          <w:b w:val="0"/>
          <w:kern w:val="0"/>
          <w:sz w:val="32"/>
          <w:szCs w:val="32"/>
        </w:rPr>
        <w:t>2、临淄区2022年度基层医疗卫生机构补助项目自评表</w:t>
      </w:r>
    </w:p>
    <w:p>
      <w:pPr>
        <w:pStyle w:val="28"/>
        <w:adjustRightInd w:val="0"/>
        <w:snapToGrid/>
        <w:spacing w:line="560" w:lineRule="exact"/>
        <w:ind w:firstLine="640"/>
        <w:jc w:val="left"/>
        <w:rPr>
          <w:rFonts w:ascii="宋体" w:hAnsi="宋体" w:cs="宋体"/>
          <w:b w:val="0"/>
          <w:kern w:val="0"/>
          <w:sz w:val="32"/>
          <w:szCs w:val="32"/>
        </w:rPr>
      </w:pPr>
      <w:r>
        <w:rPr>
          <w:rFonts w:hint="eastAsia" w:ascii="宋体" w:hAnsi="宋体" w:cs="宋体"/>
          <w:b w:val="0"/>
          <w:kern w:val="0"/>
          <w:sz w:val="32"/>
          <w:szCs w:val="32"/>
        </w:rPr>
        <w:t>3、临淄区2022年度经济困难老年人和孤困儿童补助项目自评表</w:t>
      </w:r>
    </w:p>
    <w:p>
      <w:pPr>
        <w:pStyle w:val="28"/>
        <w:adjustRightInd w:val="0"/>
        <w:snapToGrid/>
        <w:spacing w:line="560" w:lineRule="exact"/>
        <w:ind w:firstLine="640"/>
        <w:jc w:val="left"/>
        <w:rPr>
          <w:rFonts w:ascii="宋体" w:hAnsi="宋体" w:cs="宋体"/>
          <w:b w:val="0"/>
          <w:kern w:val="0"/>
          <w:sz w:val="32"/>
          <w:szCs w:val="32"/>
        </w:rPr>
      </w:pPr>
      <w:r>
        <w:rPr>
          <w:rFonts w:hint="eastAsia" w:ascii="宋体" w:hAnsi="宋体" w:cs="宋体"/>
          <w:b w:val="0"/>
          <w:kern w:val="0"/>
          <w:sz w:val="32"/>
          <w:szCs w:val="32"/>
        </w:rPr>
        <w:t>4、临淄区2022年度农业保险配套项目自评表</w:t>
      </w:r>
    </w:p>
    <w:p>
      <w:pPr>
        <w:pStyle w:val="28"/>
        <w:adjustRightInd w:val="0"/>
        <w:snapToGrid/>
        <w:spacing w:line="560" w:lineRule="exact"/>
        <w:ind w:firstLine="640"/>
        <w:jc w:val="left"/>
        <w:rPr>
          <w:rFonts w:ascii="宋体" w:hAnsi="宋体" w:cs="宋体"/>
          <w:b w:val="0"/>
          <w:kern w:val="0"/>
          <w:sz w:val="32"/>
          <w:szCs w:val="32"/>
        </w:rPr>
      </w:pPr>
      <w:r>
        <w:rPr>
          <w:rFonts w:hint="eastAsia" w:ascii="宋体" w:hAnsi="宋体" w:cs="宋体"/>
          <w:b w:val="0"/>
          <w:kern w:val="0"/>
          <w:sz w:val="32"/>
          <w:szCs w:val="32"/>
        </w:rPr>
        <w:t>5、临淄区2022年度创业大赛、职业技能大赛项目自评表</w:t>
      </w:r>
    </w:p>
    <w:p>
      <w:pPr>
        <w:snapToGrid/>
        <w:spacing w:after="0" w:line="560" w:lineRule="exact"/>
        <w:jc w:val="both"/>
        <w:rPr>
          <w:rFonts w:ascii="仿宋_GB2312" w:eastAsia="仿宋_GB2312"/>
          <w:sz w:val="32"/>
          <w:szCs w:val="32"/>
        </w:rPr>
      </w:pPr>
    </w:p>
    <w:p>
      <w:pPr>
        <w:snapToGrid/>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第二部分  区级预算重点项目绩效评价报告</w:t>
      </w:r>
    </w:p>
    <w:p>
      <w:pPr>
        <w:pStyle w:val="19"/>
        <w:adjustRightInd/>
        <w:snapToGrid/>
        <w:spacing w:line="560" w:lineRule="exact"/>
        <w:rPr>
          <w:kern w:val="0"/>
          <w:sz w:val="32"/>
          <w:szCs w:val="32"/>
        </w:rPr>
      </w:pPr>
      <w:r>
        <w:rPr>
          <w:rFonts w:hint="eastAsia"/>
          <w:kern w:val="0"/>
          <w:sz w:val="32"/>
          <w:szCs w:val="32"/>
        </w:rPr>
        <w:t>1、临淄区社会养老保险区级政府补贴资金项目绩效评价报告</w:t>
      </w:r>
    </w:p>
    <w:p>
      <w:pPr>
        <w:pStyle w:val="28"/>
        <w:adjustRightInd w:val="0"/>
        <w:snapToGrid/>
        <w:spacing w:line="560" w:lineRule="exact"/>
        <w:ind w:firstLine="640"/>
        <w:jc w:val="left"/>
        <w:rPr>
          <w:rFonts w:ascii="宋体" w:hAnsi="宋体" w:cs="宋体"/>
          <w:b w:val="0"/>
          <w:kern w:val="0"/>
          <w:sz w:val="32"/>
          <w:szCs w:val="32"/>
        </w:rPr>
      </w:pPr>
      <w:r>
        <w:rPr>
          <w:rFonts w:hint="eastAsia" w:ascii="宋体" w:hAnsi="宋体" w:cs="宋体"/>
          <w:b w:val="0"/>
          <w:kern w:val="0"/>
          <w:sz w:val="32"/>
          <w:szCs w:val="32"/>
        </w:rPr>
        <w:t>2、临淄区污水处理项目绩效评价报告</w:t>
      </w:r>
    </w:p>
    <w:p>
      <w:pPr>
        <w:snapToGrid/>
        <w:spacing w:after="0" w:line="560" w:lineRule="exact"/>
        <w:ind w:firstLine="640" w:firstLineChars="200"/>
        <w:rPr>
          <w:rFonts w:ascii="宋体" w:hAnsi="宋体" w:eastAsia="宋体" w:cs="宋体"/>
          <w:sz w:val="32"/>
          <w:szCs w:val="32"/>
        </w:rPr>
      </w:pPr>
      <w:r>
        <w:rPr>
          <w:rFonts w:hint="eastAsia" w:ascii="宋体" w:hAnsi="宋体" w:eastAsia="宋体" w:cs="宋体"/>
          <w:sz w:val="32"/>
          <w:szCs w:val="32"/>
        </w:rPr>
        <w:t>3、临淄区惠民消费购车补贴项目绩效评价报告</w:t>
      </w:r>
    </w:p>
    <w:p>
      <w:pPr>
        <w:snapToGrid/>
        <w:spacing w:after="0" w:line="560" w:lineRule="exact"/>
        <w:jc w:val="both"/>
        <w:rPr>
          <w:rFonts w:ascii="宋体" w:hAnsi="宋体" w:eastAsia="宋体" w:cs="宋体"/>
          <w:sz w:val="32"/>
          <w:szCs w:val="32"/>
        </w:rPr>
      </w:pPr>
    </w:p>
    <w:p>
      <w:pPr>
        <w:snapToGrid/>
        <w:spacing w:after="0" w:line="560" w:lineRule="exact"/>
        <w:ind w:firstLine="640" w:firstLineChars="200"/>
        <w:jc w:val="both"/>
        <w:rPr>
          <w:rFonts w:ascii="黑体" w:hAnsi="黑体" w:eastAsia="黑体"/>
          <w:sz w:val="32"/>
          <w:szCs w:val="32"/>
        </w:rPr>
      </w:pPr>
      <w:r>
        <w:rPr>
          <w:rFonts w:hint="eastAsia" w:ascii="黑体" w:hAnsi="黑体" w:eastAsia="黑体"/>
          <w:sz w:val="32"/>
          <w:szCs w:val="32"/>
        </w:rPr>
        <w:t>第三部分  部分部门整体绩效管理资料</w:t>
      </w:r>
    </w:p>
    <w:p>
      <w:pPr>
        <w:snapToGrid/>
        <w:spacing w:after="0" w:line="560" w:lineRule="exact"/>
        <w:ind w:firstLine="640" w:firstLineChars="200"/>
        <w:jc w:val="both"/>
        <w:rPr>
          <w:rFonts w:ascii="宋体" w:hAnsi="宋体" w:eastAsia="宋体" w:cs="宋体"/>
          <w:sz w:val="32"/>
          <w:szCs w:val="32"/>
        </w:rPr>
      </w:pPr>
      <w:r>
        <w:rPr>
          <w:rFonts w:hint="eastAsia" w:ascii="宋体" w:hAnsi="宋体" w:eastAsia="宋体" w:cs="宋体"/>
          <w:sz w:val="32"/>
          <w:szCs w:val="32"/>
        </w:rPr>
        <w:t>1、2022年度临淄区退役军人事务局部门整体绩效评价报告</w:t>
      </w:r>
    </w:p>
    <w:p>
      <w:pPr>
        <w:snapToGrid/>
        <w:spacing w:after="0" w:line="560" w:lineRule="exact"/>
        <w:ind w:firstLine="640" w:firstLineChars="200"/>
        <w:jc w:val="both"/>
        <w:rPr>
          <w:rFonts w:ascii="宋体" w:hAnsi="宋体" w:eastAsia="宋体" w:cs="宋体"/>
          <w:sz w:val="32"/>
          <w:szCs w:val="32"/>
        </w:rPr>
      </w:pPr>
      <w:r>
        <w:rPr>
          <w:rFonts w:hint="eastAsia" w:ascii="宋体" w:hAnsi="宋体" w:eastAsia="宋体" w:cs="宋体"/>
          <w:sz w:val="32"/>
          <w:szCs w:val="32"/>
        </w:rPr>
        <w:t>2、2022年度临淄区交通局部门整体绩效评价报告</w:t>
      </w:r>
    </w:p>
    <w:p>
      <w:pPr>
        <w:snapToGrid/>
        <w:spacing w:after="0" w:line="560" w:lineRule="exact"/>
        <w:jc w:val="both"/>
        <w:rPr>
          <w:rFonts w:ascii="宋体" w:hAnsi="宋体" w:eastAsia="宋体" w:cs="宋体"/>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黑体" w:hAnsi="黑体" w:eastAsia="黑体"/>
          <w:sz w:val="32"/>
          <w:szCs w:val="32"/>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第一部分 区级预算部分项目绩效自评表</w:t>
      </w: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rPr>
          <w:rFonts w:ascii="方正小标宋简体" w:hAnsi="黑体" w:eastAsia="方正小标宋简体"/>
          <w:sz w:val="44"/>
          <w:szCs w:val="44"/>
        </w:rPr>
      </w:pPr>
    </w:p>
    <w:p>
      <w:pPr>
        <w:jc w:val="center"/>
        <w:rPr>
          <w:sz w:val="36"/>
          <w:szCs w:val="36"/>
        </w:rPr>
      </w:pPr>
      <w:r>
        <w:rPr>
          <w:rFonts w:hint="eastAsia"/>
          <w:sz w:val="36"/>
          <w:szCs w:val="36"/>
        </w:rPr>
        <w:t>项目支出绩效自评表</w:t>
      </w:r>
    </w:p>
    <w:p>
      <w:pPr>
        <w:jc w:val="center"/>
      </w:pPr>
      <w:r>
        <w:rPr>
          <w:rFonts w:hint="eastAsia"/>
        </w:rPr>
        <w:t>（2022年度）</w:t>
      </w:r>
    </w:p>
    <w:tbl>
      <w:tblPr>
        <w:tblStyle w:val="8"/>
        <w:tblW w:w="9654" w:type="dxa"/>
        <w:tblInd w:w="91" w:type="dxa"/>
        <w:tblLayout w:type="fixed"/>
        <w:tblCellMar>
          <w:top w:w="15" w:type="dxa"/>
          <w:left w:w="108" w:type="dxa"/>
          <w:bottom w:w="15" w:type="dxa"/>
          <w:right w:w="108" w:type="dxa"/>
        </w:tblCellMar>
      </w:tblPr>
      <w:tblGrid>
        <w:gridCol w:w="421"/>
        <w:gridCol w:w="963"/>
        <w:gridCol w:w="137"/>
        <w:gridCol w:w="1247"/>
        <w:gridCol w:w="403"/>
        <w:gridCol w:w="1163"/>
        <w:gridCol w:w="350"/>
        <w:gridCol w:w="887"/>
        <w:gridCol w:w="888"/>
        <w:gridCol w:w="275"/>
        <w:gridCol w:w="558"/>
        <w:gridCol w:w="267"/>
        <w:gridCol w:w="653"/>
        <w:gridCol w:w="634"/>
        <w:gridCol w:w="808"/>
      </w:tblGrid>
      <w:tr>
        <w:tblPrEx>
          <w:tblCellMar>
            <w:top w:w="15" w:type="dxa"/>
            <w:left w:w="108" w:type="dxa"/>
            <w:bottom w:w="15" w:type="dxa"/>
            <w:right w:w="108" w:type="dxa"/>
          </w:tblCellMar>
        </w:tblPrEx>
        <w:trPr>
          <w:trHeight w:val="425" w:hRule="atLeast"/>
        </w:trPr>
        <w:tc>
          <w:tcPr>
            <w:tcW w:w="152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项目名称</w:t>
            </w:r>
          </w:p>
        </w:tc>
        <w:tc>
          <w:tcPr>
            <w:tcW w:w="8133" w:type="dxa"/>
            <w:gridSpan w:val="12"/>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宋体"/>
                <w:sz w:val="18"/>
                <w:szCs w:val="18"/>
              </w:rPr>
            </w:pPr>
            <w:r>
              <w:rPr>
                <w:rFonts w:hint="eastAsia" w:ascii="宋体" w:hAnsi="宋体" w:cs="宋体"/>
                <w:sz w:val="18"/>
                <w:szCs w:val="18"/>
              </w:rPr>
              <w:t>2022年民师退休待遇</w:t>
            </w:r>
          </w:p>
        </w:tc>
      </w:tr>
      <w:tr>
        <w:tblPrEx>
          <w:tblCellMar>
            <w:top w:w="15" w:type="dxa"/>
            <w:left w:w="108" w:type="dxa"/>
            <w:bottom w:w="15" w:type="dxa"/>
            <w:right w:w="108" w:type="dxa"/>
          </w:tblCellMar>
        </w:tblPrEx>
        <w:trPr>
          <w:trHeight w:val="425" w:hRule="atLeast"/>
        </w:trPr>
        <w:tc>
          <w:tcPr>
            <w:tcW w:w="1521"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主管部门及代码</w:t>
            </w:r>
          </w:p>
        </w:tc>
        <w:tc>
          <w:tcPr>
            <w:tcW w:w="4050"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宋体"/>
                <w:sz w:val="18"/>
                <w:szCs w:val="18"/>
              </w:rPr>
            </w:pPr>
            <w:r>
              <w:rPr>
                <w:rFonts w:hint="eastAsia" w:ascii="宋体" w:hAnsi="宋体" w:cs="宋体"/>
                <w:sz w:val="18"/>
                <w:szCs w:val="18"/>
              </w:rPr>
              <w:t>118001 淄博市临淄区教育和体育局</w:t>
            </w:r>
          </w:p>
        </w:tc>
        <w:tc>
          <w:tcPr>
            <w:tcW w:w="116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实施单位</w:t>
            </w:r>
          </w:p>
        </w:tc>
        <w:tc>
          <w:tcPr>
            <w:tcW w:w="2920"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hAnsi="宋体" w:cs="宋体"/>
                <w:sz w:val="18"/>
                <w:szCs w:val="18"/>
              </w:rPr>
            </w:pPr>
            <w:r>
              <w:rPr>
                <w:rFonts w:hint="eastAsia" w:ascii="宋体" w:hAnsi="宋体" w:cs="宋体"/>
                <w:sz w:val="18"/>
                <w:szCs w:val="18"/>
              </w:rPr>
              <w:t>118001淄博市临淄区教育和体育局</w:t>
            </w:r>
          </w:p>
        </w:tc>
      </w:tr>
      <w:tr>
        <w:tblPrEx>
          <w:tblCellMar>
            <w:top w:w="15" w:type="dxa"/>
            <w:left w:w="108" w:type="dxa"/>
            <w:bottom w:w="15" w:type="dxa"/>
            <w:right w:w="108" w:type="dxa"/>
          </w:tblCellMar>
        </w:tblPrEx>
        <w:trPr>
          <w:trHeight w:val="425" w:hRule="atLeast"/>
        </w:trPr>
        <w:tc>
          <w:tcPr>
            <w:tcW w:w="1521" w:type="dxa"/>
            <w:gridSpan w:val="3"/>
            <w:vMerge w:val="restart"/>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项目资金</w:t>
            </w:r>
          </w:p>
          <w:p>
            <w:pPr>
              <w:spacing w:line="300" w:lineRule="exact"/>
              <w:jc w:val="center"/>
              <w:rPr>
                <w:rFonts w:ascii="宋体" w:hAnsi="宋体" w:cs="宋体"/>
                <w:sz w:val="18"/>
                <w:szCs w:val="18"/>
              </w:rPr>
            </w:pPr>
            <w:r>
              <w:rPr>
                <w:rFonts w:hint="eastAsia" w:ascii="宋体" w:hAnsi="宋体" w:cs="宋体"/>
                <w:sz w:val="18"/>
                <w:szCs w:val="18"/>
              </w:rPr>
              <w:t>（万元）</w:t>
            </w:r>
          </w:p>
        </w:tc>
        <w:tc>
          <w:tcPr>
            <w:tcW w:w="1650" w:type="dxa"/>
            <w:gridSpan w:val="2"/>
            <w:tcBorders>
              <w:top w:val="single" w:color="000000" w:sz="4" w:space="0"/>
              <w:left w:val="single" w:color="000000" w:sz="4" w:space="0"/>
              <w:right w:val="single" w:color="000000" w:sz="4" w:space="0"/>
            </w:tcBorders>
            <w:vAlign w:val="center"/>
          </w:tcPr>
          <w:p>
            <w:pPr>
              <w:spacing w:line="300" w:lineRule="exact"/>
              <w:rPr>
                <w:rFonts w:ascii="宋体" w:hAnsi="宋体" w:cs="宋体"/>
                <w:sz w:val="18"/>
                <w:szCs w:val="18"/>
              </w:rPr>
            </w:pPr>
          </w:p>
        </w:tc>
        <w:tc>
          <w:tcPr>
            <w:tcW w:w="1163"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年初预算数</w:t>
            </w:r>
          </w:p>
        </w:tc>
        <w:tc>
          <w:tcPr>
            <w:tcW w:w="123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全年预算数</w:t>
            </w:r>
          </w:p>
        </w:tc>
        <w:tc>
          <w:tcPr>
            <w:tcW w:w="1163"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全年执行数</w:t>
            </w:r>
          </w:p>
        </w:tc>
        <w:tc>
          <w:tcPr>
            <w:tcW w:w="825"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分值</w:t>
            </w:r>
          </w:p>
        </w:tc>
        <w:tc>
          <w:tcPr>
            <w:tcW w:w="128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执行率</w:t>
            </w:r>
          </w:p>
        </w:tc>
        <w:tc>
          <w:tcPr>
            <w:tcW w:w="808"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得分</w:t>
            </w:r>
          </w:p>
        </w:tc>
      </w:tr>
      <w:tr>
        <w:tblPrEx>
          <w:tblCellMar>
            <w:top w:w="15" w:type="dxa"/>
            <w:left w:w="108" w:type="dxa"/>
            <w:bottom w:w="15" w:type="dxa"/>
            <w:right w:w="108" w:type="dxa"/>
          </w:tblCellMar>
        </w:tblPrEx>
        <w:trPr>
          <w:trHeight w:val="425" w:hRule="atLeast"/>
        </w:trPr>
        <w:tc>
          <w:tcPr>
            <w:tcW w:w="1521" w:type="dxa"/>
            <w:gridSpan w:val="3"/>
            <w:vMerge w:val="continue"/>
            <w:tcBorders>
              <w:left w:val="single" w:color="000000" w:sz="4" w:space="0"/>
              <w:right w:val="single" w:color="000000" w:sz="4" w:space="0"/>
            </w:tcBorders>
            <w:vAlign w:val="center"/>
          </w:tcPr>
          <w:p>
            <w:pPr>
              <w:spacing w:line="300" w:lineRule="exact"/>
              <w:rPr>
                <w:rFonts w:ascii="宋体" w:hAnsi="宋体" w:cs="宋体"/>
                <w:sz w:val="18"/>
                <w:szCs w:val="18"/>
              </w:rPr>
            </w:pPr>
          </w:p>
        </w:tc>
        <w:tc>
          <w:tcPr>
            <w:tcW w:w="1650" w:type="dxa"/>
            <w:gridSpan w:val="2"/>
            <w:tcBorders>
              <w:top w:val="single" w:color="000000" w:sz="4" w:space="0"/>
              <w:left w:val="single" w:color="000000" w:sz="4" w:space="0"/>
              <w:right w:val="single" w:color="000000" w:sz="4" w:space="0"/>
            </w:tcBorders>
            <w:vAlign w:val="center"/>
          </w:tcPr>
          <w:p>
            <w:pPr>
              <w:spacing w:line="300" w:lineRule="exact"/>
              <w:rPr>
                <w:rFonts w:ascii="宋体" w:hAnsi="宋体" w:cs="宋体"/>
                <w:sz w:val="18"/>
                <w:szCs w:val="18"/>
              </w:rPr>
            </w:pPr>
            <w:r>
              <w:rPr>
                <w:rFonts w:hint="eastAsia" w:ascii="宋体" w:hAnsi="宋体" w:cs="宋体"/>
                <w:sz w:val="18"/>
                <w:szCs w:val="18"/>
              </w:rPr>
              <w:t>年度资金总额</w:t>
            </w:r>
          </w:p>
        </w:tc>
        <w:tc>
          <w:tcPr>
            <w:tcW w:w="1163"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515.03</w:t>
            </w:r>
          </w:p>
        </w:tc>
        <w:tc>
          <w:tcPr>
            <w:tcW w:w="123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515.03</w:t>
            </w:r>
          </w:p>
        </w:tc>
        <w:tc>
          <w:tcPr>
            <w:tcW w:w="1163"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474.73</w:t>
            </w:r>
          </w:p>
        </w:tc>
        <w:tc>
          <w:tcPr>
            <w:tcW w:w="825"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28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92.18%</w:t>
            </w:r>
          </w:p>
        </w:tc>
        <w:tc>
          <w:tcPr>
            <w:tcW w:w="808"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9.21分</w:t>
            </w:r>
          </w:p>
        </w:tc>
      </w:tr>
      <w:tr>
        <w:tblPrEx>
          <w:tblCellMar>
            <w:top w:w="15" w:type="dxa"/>
            <w:left w:w="108" w:type="dxa"/>
            <w:bottom w:w="15" w:type="dxa"/>
            <w:right w:w="108" w:type="dxa"/>
          </w:tblCellMar>
        </w:tblPrEx>
        <w:trPr>
          <w:trHeight w:val="425" w:hRule="atLeast"/>
        </w:trPr>
        <w:tc>
          <w:tcPr>
            <w:tcW w:w="1521" w:type="dxa"/>
            <w:gridSpan w:val="3"/>
            <w:vMerge w:val="continue"/>
            <w:tcBorders>
              <w:left w:val="single" w:color="000000" w:sz="4" w:space="0"/>
              <w:right w:val="single" w:color="000000" w:sz="4" w:space="0"/>
            </w:tcBorders>
            <w:vAlign w:val="center"/>
          </w:tcPr>
          <w:p>
            <w:pPr>
              <w:spacing w:line="300" w:lineRule="exact"/>
              <w:rPr>
                <w:rFonts w:ascii="宋体" w:hAnsi="宋体" w:cs="宋体"/>
                <w:sz w:val="18"/>
                <w:szCs w:val="18"/>
              </w:rPr>
            </w:pPr>
          </w:p>
        </w:tc>
        <w:tc>
          <w:tcPr>
            <w:tcW w:w="1650" w:type="dxa"/>
            <w:gridSpan w:val="2"/>
            <w:tcBorders>
              <w:top w:val="single" w:color="000000" w:sz="4" w:space="0"/>
              <w:left w:val="single" w:color="000000" w:sz="4" w:space="0"/>
              <w:right w:val="single" w:color="000000" w:sz="4" w:space="0"/>
            </w:tcBorders>
            <w:vAlign w:val="center"/>
          </w:tcPr>
          <w:p>
            <w:pPr>
              <w:spacing w:line="300" w:lineRule="exact"/>
              <w:rPr>
                <w:rFonts w:ascii="宋体" w:hAnsi="宋体" w:cs="宋体"/>
                <w:sz w:val="18"/>
                <w:szCs w:val="18"/>
              </w:rPr>
            </w:pPr>
            <w:r>
              <w:rPr>
                <w:rFonts w:hint="eastAsia" w:ascii="宋体" w:hAnsi="宋体" w:cs="宋体"/>
                <w:sz w:val="18"/>
                <w:szCs w:val="18"/>
              </w:rPr>
              <w:t>其中：财政拨款</w:t>
            </w:r>
          </w:p>
        </w:tc>
        <w:tc>
          <w:tcPr>
            <w:tcW w:w="1163"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515.03</w:t>
            </w:r>
          </w:p>
        </w:tc>
        <w:tc>
          <w:tcPr>
            <w:tcW w:w="123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515.03</w:t>
            </w:r>
          </w:p>
        </w:tc>
        <w:tc>
          <w:tcPr>
            <w:tcW w:w="1163"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474.73</w:t>
            </w:r>
          </w:p>
        </w:tc>
        <w:tc>
          <w:tcPr>
            <w:tcW w:w="825"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p>
        </w:tc>
        <w:tc>
          <w:tcPr>
            <w:tcW w:w="128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92.18%</w:t>
            </w:r>
          </w:p>
        </w:tc>
        <w:tc>
          <w:tcPr>
            <w:tcW w:w="808"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p>
        </w:tc>
      </w:tr>
      <w:tr>
        <w:tblPrEx>
          <w:tblCellMar>
            <w:top w:w="15" w:type="dxa"/>
            <w:left w:w="108" w:type="dxa"/>
            <w:bottom w:w="15" w:type="dxa"/>
            <w:right w:w="108" w:type="dxa"/>
          </w:tblCellMar>
        </w:tblPrEx>
        <w:trPr>
          <w:trHeight w:val="425" w:hRule="atLeast"/>
        </w:trPr>
        <w:tc>
          <w:tcPr>
            <w:tcW w:w="1521" w:type="dxa"/>
            <w:gridSpan w:val="3"/>
            <w:vMerge w:val="continue"/>
            <w:tcBorders>
              <w:left w:val="single" w:color="000000" w:sz="4" w:space="0"/>
              <w:right w:val="single" w:color="000000" w:sz="4" w:space="0"/>
            </w:tcBorders>
            <w:vAlign w:val="center"/>
          </w:tcPr>
          <w:p>
            <w:pPr>
              <w:spacing w:line="300" w:lineRule="exact"/>
              <w:rPr>
                <w:rFonts w:ascii="宋体" w:hAnsi="宋体" w:cs="宋体"/>
                <w:sz w:val="18"/>
                <w:szCs w:val="18"/>
              </w:rPr>
            </w:pPr>
          </w:p>
        </w:tc>
        <w:tc>
          <w:tcPr>
            <w:tcW w:w="1650" w:type="dxa"/>
            <w:gridSpan w:val="2"/>
            <w:tcBorders>
              <w:top w:val="single" w:color="000000" w:sz="4" w:space="0"/>
              <w:left w:val="single" w:color="000000" w:sz="4" w:space="0"/>
              <w:right w:val="single" w:color="000000" w:sz="4" w:space="0"/>
            </w:tcBorders>
            <w:vAlign w:val="center"/>
          </w:tcPr>
          <w:p>
            <w:pPr>
              <w:spacing w:line="300" w:lineRule="exact"/>
              <w:rPr>
                <w:rFonts w:ascii="宋体" w:hAnsi="宋体" w:cs="宋体"/>
                <w:sz w:val="18"/>
                <w:szCs w:val="18"/>
              </w:rPr>
            </w:pPr>
            <w:r>
              <w:rPr>
                <w:rFonts w:hint="eastAsia" w:ascii="宋体" w:hAnsi="宋体" w:cs="宋体"/>
                <w:sz w:val="18"/>
                <w:szCs w:val="18"/>
              </w:rPr>
              <w:t>上年结转资金</w:t>
            </w:r>
          </w:p>
        </w:tc>
        <w:tc>
          <w:tcPr>
            <w:tcW w:w="1163"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3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163"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25"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8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08"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r>
      <w:tr>
        <w:tblPrEx>
          <w:tblCellMar>
            <w:top w:w="15" w:type="dxa"/>
            <w:left w:w="108" w:type="dxa"/>
            <w:bottom w:w="15" w:type="dxa"/>
            <w:right w:w="108" w:type="dxa"/>
          </w:tblCellMar>
        </w:tblPrEx>
        <w:trPr>
          <w:trHeight w:val="425" w:hRule="atLeast"/>
        </w:trPr>
        <w:tc>
          <w:tcPr>
            <w:tcW w:w="1521" w:type="dxa"/>
            <w:gridSpan w:val="3"/>
            <w:vMerge w:val="continue"/>
            <w:tcBorders>
              <w:left w:val="single" w:color="000000" w:sz="4" w:space="0"/>
              <w:bottom w:val="single" w:color="000000" w:sz="4" w:space="0"/>
              <w:right w:val="single" w:color="000000" w:sz="4" w:space="0"/>
            </w:tcBorders>
            <w:vAlign w:val="center"/>
          </w:tcPr>
          <w:p>
            <w:pPr>
              <w:spacing w:line="300" w:lineRule="exact"/>
              <w:rPr>
                <w:rFonts w:ascii="宋体" w:hAnsi="宋体" w:cs="宋体"/>
                <w:sz w:val="18"/>
                <w:szCs w:val="18"/>
              </w:rPr>
            </w:pPr>
          </w:p>
        </w:tc>
        <w:tc>
          <w:tcPr>
            <w:tcW w:w="1650" w:type="dxa"/>
            <w:gridSpan w:val="2"/>
            <w:tcBorders>
              <w:top w:val="single" w:color="000000" w:sz="4" w:space="0"/>
              <w:left w:val="single" w:color="000000" w:sz="4" w:space="0"/>
              <w:right w:val="single" w:color="000000" w:sz="4" w:space="0"/>
            </w:tcBorders>
            <w:vAlign w:val="center"/>
          </w:tcPr>
          <w:p>
            <w:pPr>
              <w:spacing w:line="300" w:lineRule="exact"/>
              <w:rPr>
                <w:rFonts w:ascii="宋体" w:hAnsi="宋体" w:cs="宋体"/>
                <w:sz w:val="18"/>
                <w:szCs w:val="18"/>
              </w:rPr>
            </w:pPr>
            <w:r>
              <w:rPr>
                <w:rFonts w:hint="eastAsia" w:ascii="宋体" w:hAnsi="宋体" w:cs="宋体"/>
                <w:sz w:val="18"/>
                <w:szCs w:val="18"/>
              </w:rPr>
              <w:t>其他资金</w:t>
            </w:r>
          </w:p>
        </w:tc>
        <w:tc>
          <w:tcPr>
            <w:tcW w:w="1163"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3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163"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25"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87" w:type="dxa"/>
            <w:gridSpan w:val="2"/>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08" w:type="dxa"/>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r>
      <w:tr>
        <w:tblPrEx>
          <w:tblCellMar>
            <w:top w:w="15" w:type="dxa"/>
            <w:left w:w="108" w:type="dxa"/>
            <w:bottom w:w="15" w:type="dxa"/>
            <w:right w:w="108" w:type="dxa"/>
          </w:tblCellMar>
        </w:tblPrEx>
        <w:trPr>
          <w:trHeight w:val="425" w:hRule="atLeast"/>
        </w:trPr>
        <w:tc>
          <w:tcPr>
            <w:tcW w:w="9654" w:type="dxa"/>
            <w:gridSpan w:val="1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项目绩效年度目标</w:t>
            </w:r>
          </w:p>
        </w:tc>
      </w:tr>
      <w:tr>
        <w:tblPrEx>
          <w:tblCellMar>
            <w:top w:w="15" w:type="dxa"/>
            <w:left w:w="108" w:type="dxa"/>
            <w:bottom w:w="15" w:type="dxa"/>
            <w:right w:w="108" w:type="dxa"/>
          </w:tblCellMar>
        </w:tblPrEx>
        <w:trPr>
          <w:trHeight w:val="425" w:hRule="atLeast"/>
        </w:trPr>
        <w:tc>
          <w:tcPr>
            <w:tcW w:w="421" w:type="dxa"/>
            <w:vMerge w:val="restart"/>
            <w:tcBorders>
              <w:top w:val="single" w:color="000000" w:sz="4" w:space="0"/>
              <w:left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年度总体目标</w:t>
            </w:r>
          </w:p>
        </w:tc>
        <w:tc>
          <w:tcPr>
            <w:tcW w:w="5150"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预期目标</w:t>
            </w:r>
          </w:p>
        </w:tc>
        <w:tc>
          <w:tcPr>
            <w:tcW w:w="4083"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实际完成情况</w:t>
            </w:r>
          </w:p>
        </w:tc>
      </w:tr>
      <w:tr>
        <w:tblPrEx>
          <w:tblCellMar>
            <w:top w:w="15" w:type="dxa"/>
            <w:left w:w="108" w:type="dxa"/>
            <w:bottom w:w="15" w:type="dxa"/>
            <w:right w:w="108" w:type="dxa"/>
          </w:tblCellMar>
        </w:tblPrEx>
        <w:trPr>
          <w:trHeight w:val="540" w:hRule="atLeast"/>
        </w:trPr>
        <w:tc>
          <w:tcPr>
            <w:tcW w:w="421" w:type="dxa"/>
            <w:vMerge w:val="continue"/>
            <w:tcBorders>
              <w:left w:val="single" w:color="000000" w:sz="4" w:space="0"/>
              <w:bottom w:val="single" w:color="auto" w:sz="4" w:space="0"/>
              <w:right w:val="single" w:color="000000" w:sz="4" w:space="0"/>
            </w:tcBorders>
          </w:tcPr>
          <w:p>
            <w:pPr>
              <w:spacing w:line="300" w:lineRule="exact"/>
              <w:rPr>
                <w:rFonts w:ascii="宋体" w:hAnsi="宋体" w:cs="宋体"/>
                <w:sz w:val="18"/>
                <w:szCs w:val="18"/>
              </w:rPr>
            </w:pPr>
          </w:p>
        </w:tc>
        <w:tc>
          <w:tcPr>
            <w:tcW w:w="5150" w:type="dxa"/>
            <w:gridSpan w:val="7"/>
            <w:tcBorders>
              <w:top w:val="single" w:color="000000" w:sz="4" w:space="0"/>
              <w:left w:val="single" w:color="000000" w:sz="4" w:space="0"/>
              <w:bottom w:val="single" w:color="000000" w:sz="4" w:space="0"/>
              <w:right w:val="single" w:color="000000" w:sz="4" w:space="0"/>
            </w:tcBorders>
          </w:tcPr>
          <w:p>
            <w:pPr>
              <w:spacing w:line="300" w:lineRule="exact"/>
              <w:jc w:val="both"/>
              <w:rPr>
                <w:rFonts w:ascii="宋体" w:hAnsi="宋体" w:cs="宋体"/>
                <w:sz w:val="18"/>
                <w:szCs w:val="18"/>
              </w:rPr>
            </w:pPr>
            <w:r>
              <w:rPr>
                <w:rFonts w:hint="eastAsia" w:ascii="宋体" w:hAnsi="宋体" w:cs="宋体"/>
                <w:sz w:val="18"/>
                <w:szCs w:val="18"/>
              </w:rPr>
              <w:t>《淄博市人民政府会议纪要【2009】第65号》，第一项：同一区县退休民办教师要享受转正民办教师退休后的相应待遇。转正民办教师退休待遇按照政策调整时，退休民办教师待遇也要调整。退休民办教师医疗保障问题要按照相关政策尽快解决。退休民办教师去世后，享受与转正民办教师去世后的同等优抚待遇。</w:t>
            </w:r>
          </w:p>
          <w:p>
            <w:pPr>
              <w:spacing w:line="300" w:lineRule="exact"/>
              <w:rPr>
                <w:rFonts w:ascii="宋体" w:hAnsi="宋体" w:cs="宋体"/>
                <w:sz w:val="18"/>
                <w:szCs w:val="18"/>
              </w:rPr>
            </w:pPr>
          </w:p>
        </w:tc>
        <w:tc>
          <w:tcPr>
            <w:tcW w:w="4083" w:type="dxa"/>
            <w:gridSpan w:val="7"/>
            <w:tcBorders>
              <w:top w:val="single" w:color="000000" w:sz="4" w:space="0"/>
              <w:left w:val="single" w:color="000000" w:sz="4" w:space="0"/>
              <w:bottom w:val="single" w:color="000000" w:sz="4" w:space="0"/>
              <w:right w:val="single" w:color="000000" w:sz="4" w:space="0"/>
            </w:tcBorders>
          </w:tcPr>
          <w:p>
            <w:pPr>
              <w:spacing w:line="300" w:lineRule="exact"/>
              <w:jc w:val="both"/>
              <w:rPr>
                <w:rFonts w:ascii="宋体" w:hAnsi="宋体" w:cs="宋体"/>
                <w:sz w:val="18"/>
                <w:szCs w:val="18"/>
              </w:rPr>
            </w:pPr>
            <w:r>
              <w:rPr>
                <w:rFonts w:hint="eastAsia" w:ascii="宋体" w:hAnsi="宋体" w:cs="宋体"/>
                <w:sz w:val="18"/>
                <w:szCs w:val="18"/>
              </w:rPr>
              <w:t>截至2022年底本项目共服务民办退休民师60人，支付资金474.73万元，有效保障了退休民办教师的待遇，为民办退休教师提供了生活、医疗等方面的保障。</w:t>
            </w:r>
          </w:p>
        </w:tc>
      </w:tr>
      <w:tr>
        <w:tblPrEx>
          <w:tblCellMar>
            <w:top w:w="15" w:type="dxa"/>
            <w:left w:w="108" w:type="dxa"/>
            <w:bottom w:w="15" w:type="dxa"/>
            <w:right w:w="108" w:type="dxa"/>
          </w:tblCellMar>
        </w:tblPrEx>
        <w:trPr>
          <w:trHeight w:val="425" w:hRule="atLeast"/>
        </w:trPr>
        <w:tc>
          <w:tcPr>
            <w:tcW w:w="421"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年度绩效</w:t>
            </w:r>
          </w:p>
          <w:p>
            <w:pPr>
              <w:spacing w:line="300" w:lineRule="exact"/>
              <w:jc w:val="center"/>
              <w:rPr>
                <w:rFonts w:ascii="宋体" w:hAnsi="宋体" w:cs="宋体"/>
                <w:sz w:val="18"/>
                <w:szCs w:val="18"/>
              </w:rPr>
            </w:pPr>
            <w:r>
              <w:rPr>
                <w:rFonts w:hint="eastAsia" w:ascii="宋体" w:hAnsi="宋体" w:cs="宋体"/>
                <w:sz w:val="18"/>
                <w:szCs w:val="18"/>
              </w:rPr>
              <w:t>指标（90分）</w:t>
            </w:r>
          </w:p>
        </w:tc>
        <w:tc>
          <w:tcPr>
            <w:tcW w:w="963" w:type="dxa"/>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一级指标</w:t>
            </w:r>
          </w:p>
        </w:tc>
        <w:tc>
          <w:tcPr>
            <w:tcW w:w="1384"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二级指标</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cs="宋体"/>
                <w:sz w:val="18"/>
                <w:szCs w:val="18"/>
              </w:rPr>
            </w:pPr>
            <w:r>
              <w:rPr>
                <w:rFonts w:hint="eastAsia" w:ascii="宋体" w:hAnsi="宋体" w:cs="宋体"/>
                <w:sz w:val="18"/>
                <w:szCs w:val="18"/>
              </w:rPr>
              <w:t>三级指标</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hAnsi="宋体" w:cs="宋体"/>
                <w:sz w:val="18"/>
                <w:szCs w:val="18"/>
              </w:rPr>
            </w:pPr>
            <w:r>
              <w:rPr>
                <w:rFonts w:hint="eastAsia" w:ascii="宋体" w:hAnsi="宋体" w:cs="宋体"/>
                <w:sz w:val="18"/>
                <w:szCs w:val="18"/>
              </w:rPr>
              <w:t>年度指标值</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实际完成值</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分值</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得分</w:t>
            </w:r>
          </w:p>
        </w:tc>
        <w:tc>
          <w:tcPr>
            <w:tcW w:w="144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偏差原因分析及改进措施</w:t>
            </w:r>
          </w:p>
        </w:tc>
      </w:tr>
      <w:tr>
        <w:tblPrEx>
          <w:tblCellMar>
            <w:top w:w="15" w:type="dxa"/>
            <w:left w:w="108" w:type="dxa"/>
            <w:bottom w:w="15" w:type="dxa"/>
            <w:right w:w="108" w:type="dxa"/>
          </w:tblCellMar>
        </w:tblPrEx>
        <w:trPr>
          <w:trHeight w:val="425" w:hRule="atLeast"/>
        </w:trPr>
        <w:tc>
          <w:tcPr>
            <w:tcW w:w="421" w:type="dxa"/>
            <w:vMerge w:val="continue"/>
            <w:tcBorders>
              <w:left w:val="single" w:color="auto" w:sz="4" w:space="0"/>
              <w:right w:val="single" w:color="auto" w:sz="4" w:space="0"/>
            </w:tcBorders>
          </w:tcPr>
          <w:p>
            <w:pPr>
              <w:spacing w:line="300" w:lineRule="exact"/>
              <w:rPr>
                <w:rFonts w:ascii="宋体" w:hAnsi="宋体" w:cs="宋体"/>
                <w:sz w:val="18"/>
                <w:szCs w:val="18"/>
              </w:rPr>
            </w:pPr>
          </w:p>
        </w:tc>
        <w:tc>
          <w:tcPr>
            <w:tcW w:w="963" w:type="dxa"/>
            <w:tcBorders>
              <w:top w:val="single" w:color="000000" w:sz="4" w:space="0"/>
              <w:left w:val="single" w:color="auto" w:sz="4" w:space="0"/>
              <w:bottom w:val="single" w:color="000000" w:sz="4" w:space="0"/>
              <w:right w:val="single" w:color="000000" w:sz="4" w:space="0"/>
            </w:tcBorders>
          </w:tcPr>
          <w:p>
            <w:pPr>
              <w:spacing w:line="300" w:lineRule="exact"/>
              <w:rPr>
                <w:rFonts w:ascii="宋体" w:hAnsi="宋体" w:cs="宋体"/>
                <w:sz w:val="18"/>
                <w:szCs w:val="18"/>
              </w:rPr>
            </w:pPr>
            <w:r>
              <w:rPr>
                <w:rFonts w:hint="eastAsia" w:ascii="宋体" w:hAnsi="宋体" w:cs="宋体"/>
                <w:sz w:val="18"/>
                <w:szCs w:val="18"/>
              </w:rPr>
              <w:t>项目产出（50分）</w:t>
            </w:r>
          </w:p>
        </w:tc>
        <w:tc>
          <w:tcPr>
            <w:tcW w:w="1384"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数量指标</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民师退休待遇发放次数</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12次</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12次</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44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sz w:val="18"/>
                <w:szCs w:val="18"/>
              </w:rPr>
            </w:pPr>
          </w:p>
        </w:tc>
      </w:tr>
      <w:tr>
        <w:tblPrEx>
          <w:tblCellMar>
            <w:top w:w="15" w:type="dxa"/>
            <w:left w:w="108" w:type="dxa"/>
            <w:bottom w:w="15" w:type="dxa"/>
            <w:right w:w="108" w:type="dxa"/>
          </w:tblCellMar>
        </w:tblPrEx>
        <w:trPr>
          <w:trHeight w:val="425" w:hRule="atLeast"/>
        </w:trPr>
        <w:tc>
          <w:tcPr>
            <w:tcW w:w="421" w:type="dxa"/>
            <w:vMerge w:val="continue"/>
            <w:tcBorders>
              <w:left w:val="single" w:color="auto" w:sz="4" w:space="0"/>
              <w:right w:val="single" w:color="auto" w:sz="4" w:space="0"/>
            </w:tcBorders>
          </w:tcPr>
          <w:p>
            <w:pPr>
              <w:spacing w:line="300" w:lineRule="exact"/>
              <w:rPr>
                <w:rFonts w:ascii="宋体" w:hAnsi="宋体" w:cs="宋体"/>
                <w:sz w:val="18"/>
                <w:szCs w:val="18"/>
              </w:rPr>
            </w:pPr>
          </w:p>
        </w:tc>
        <w:tc>
          <w:tcPr>
            <w:tcW w:w="963" w:type="dxa"/>
            <w:tcBorders>
              <w:top w:val="single" w:color="000000" w:sz="4" w:space="0"/>
              <w:left w:val="single" w:color="auto" w:sz="4" w:space="0"/>
              <w:bottom w:val="single" w:color="000000" w:sz="4" w:space="0"/>
              <w:right w:val="single" w:color="000000" w:sz="4" w:space="0"/>
            </w:tcBorders>
          </w:tcPr>
          <w:p>
            <w:pPr>
              <w:spacing w:line="300" w:lineRule="exact"/>
              <w:rPr>
                <w:rFonts w:ascii="宋体" w:hAnsi="宋体" w:cs="宋体"/>
                <w:sz w:val="18"/>
                <w:szCs w:val="18"/>
              </w:rPr>
            </w:pPr>
          </w:p>
        </w:tc>
        <w:tc>
          <w:tcPr>
            <w:tcW w:w="1384"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数量指标</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民办退休教师人数</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60人</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60人</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44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sz w:val="18"/>
                <w:szCs w:val="18"/>
              </w:rPr>
            </w:pPr>
          </w:p>
        </w:tc>
      </w:tr>
      <w:tr>
        <w:tblPrEx>
          <w:tblCellMar>
            <w:top w:w="15" w:type="dxa"/>
            <w:left w:w="108" w:type="dxa"/>
            <w:bottom w:w="15" w:type="dxa"/>
            <w:right w:w="108" w:type="dxa"/>
          </w:tblCellMar>
        </w:tblPrEx>
        <w:trPr>
          <w:trHeight w:val="425" w:hRule="atLeast"/>
        </w:trPr>
        <w:tc>
          <w:tcPr>
            <w:tcW w:w="421" w:type="dxa"/>
            <w:vMerge w:val="continue"/>
            <w:tcBorders>
              <w:left w:val="single" w:color="auto" w:sz="4" w:space="0"/>
              <w:right w:val="single" w:color="auto" w:sz="4" w:space="0"/>
            </w:tcBorders>
          </w:tcPr>
          <w:p>
            <w:pPr>
              <w:spacing w:line="300" w:lineRule="exact"/>
              <w:rPr>
                <w:rFonts w:ascii="宋体" w:hAnsi="宋体" w:cs="宋体"/>
                <w:sz w:val="18"/>
                <w:szCs w:val="18"/>
              </w:rPr>
            </w:pPr>
          </w:p>
        </w:tc>
        <w:tc>
          <w:tcPr>
            <w:tcW w:w="963" w:type="dxa"/>
            <w:tcBorders>
              <w:top w:val="single" w:color="000000" w:sz="4" w:space="0"/>
              <w:left w:val="single" w:color="auto" w:sz="4" w:space="0"/>
              <w:bottom w:val="single" w:color="000000" w:sz="4" w:space="0"/>
              <w:right w:val="single" w:color="000000" w:sz="4" w:space="0"/>
            </w:tcBorders>
          </w:tcPr>
          <w:p>
            <w:pPr>
              <w:spacing w:line="300" w:lineRule="exact"/>
              <w:rPr>
                <w:rFonts w:ascii="宋体" w:hAnsi="宋体" w:cs="宋体"/>
                <w:sz w:val="18"/>
                <w:szCs w:val="18"/>
              </w:rPr>
            </w:pPr>
          </w:p>
        </w:tc>
        <w:tc>
          <w:tcPr>
            <w:tcW w:w="1384"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质量指标</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资金支付合法合规</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合法合规</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合法合规</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44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sz w:val="18"/>
                <w:szCs w:val="18"/>
              </w:rPr>
            </w:pPr>
          </w:p>
        </w:tc>
      </w:tr>
      <w:tr>
        <w:tblPrEx>
          <w:tblCellMar>
            <w:top w:w="15" w:type="dxa"/>
            <w:left w:w="108" w:type="dxa"/>
            <w:bottom w:w="15" w:type="dxa"/>
            <w:right w:w="108" w:type="dxa"/>
          </w:tblCellMar>
        </w:tblPrEx>
        <w:trPr>
          <w:trHeight w:val="425" w:hRule="atLeast"/>
        </w:trPr>
        <w:tc>
          <w:tcPr>
            <w:tcW w:w="421" w:type="dxa"/>
            <w:vMerge w:val="continue"/>
            <w:tcBorders>
              <w:left w:val="single" w:color="auto" w:sz="4" w:space="0"/>
              <w:right w:val="single" w:color="auto" w:sz="4" w:space="0"/>
            </w:tcBorders>
          </w:tcPr>
          <w:p>
            <w:pPr>
              <w:spacing w:line="300" w:lineRule="exact"/>
              <w:rPr>
                <w:rFonts w:ascii="宋体" w:hAnsi="宋体" w:cs="宋体"/>
                <w:sz w:val="18"/>
                <w:szCs w:val="18"/>
              </w:rPr>
            </w:pPr>
          </w:p>
        </w:tc>
        <w:tc>
          <w:tcPr>
            <w:tcW w:w="963" w:type="dxa"/>
            <w:tcBorders>
              <w:top w:val="single" w:color="000000" w:sz="4" w:space="0"/>
              <w:left w:val="single" w:color="auto" w:sz="4" w:space="0"/>
              <w:bottom w:val="single" w:color="000000" w:sz="4" w:space="0"/>
              <w:right w:val="single" w:color="000000" w:sz="4" w:space="0"/>
            </w:tcBorders>
          </w:tcPr>
          <w:p>
            <w:pPr>
              <w:spacing w:line="300" w:lineRule="exact"/>
              <w:rPr>
                <w:rFonts w:ascii="宋体" w:hAnsi="宋体" w:cs="宋体"/>
                <w:sz w:val="18"/>
                <w:szCs w:val="18"/>
              </w:rPr>
            </w:pPr>
          </w:p>
        </w:tc>
        <w:tc>
          <w:tcPr>
            <w:tcW w:w="1384" w:type="dxa"/>
            <w:gridSpan w:val="2"/>
            <w:tcBorders>
              <w:top w:val="single" w:color="000000" w:sz="4" w:space="0"/>
              <w:left w:val="single" w:color="auto" w:sz="4" w:space="0"/>
              <w:bottom w:val="single" w:color="000000" w:sz="4" w:space="0"/>
              <w:right w:val="single" w:color="000000" w:sz="4" w:space="0"/>
            </w:tcBorders>
          </w:tcPr>
          <w:p>
            <w:pPr>
              <w:spacing w:line="300" w:lineRule="exact"/>
              <w:jc w:val="center"/>
              <w:rPr>
                <w:rFonts w:ascii="宋体" w:hAnsi="宋体" w:cs="宋体"/>
                <w:sz w:val="18"/>
                <w:szCs w:val="18"/>
              </w:rPr>
            </w:pPr>
            <w:r>
              <w:rPr>
                <w:rFonts w:ascii="宋体" w:hAnsi="宋体" w:cs="宋体"/>
                <w:sz w:val="18"/>
                <w:szCs w:val="18"/>
              </w:rPr>
              <w:t>时效指标</w:t>
            </w:r>
          </w:p>
        </w:tc>
        <w:tc>
          <w:tcPr>
            <w:tcW w:w="1916" w:type="dxa"/>
            <w:gridSpan w:val="3"/>
            <w:tcBorders>
              <w:top w:val="single" w:color="000000" w:sz="4" w:space="0"/>
              <w:left w:val="single" w:color="000000" w:sz="4" w:space="0"/>
              <w:bottom w:val="single" w:color="000000" w:sz="4" w:space="0"/>
              <w:right w:val="single" w:color="000000" w:sz="4" w:space="0"/>
            </w:tcBorders>
          </w:tcPr>
          <w:p>
            <w:pPr>
              <w:spacing w:line="300" w:lineRule="exact"/>
              <w:jc w:val="center"/>
              <w:rPr>
                <w:rFonts w:ascii="宋体" w:hAnsi="宋体" w:cs="宋体"/>
                <w:sz w:val="18"/>
                <w:szCs w:val="18"/>
              </w:rPr>
            </w:pPr>
            <w:r>
              <w:rPr>
                <w:rFonts w:ascii="宋体" w:hAnsi="宋体" w:cs="宋体"/>
                <w:sz w:val="18"/>
                <w:szCs w:val="18"/>
              </w:rPr>
              <w:t>项目完成时间</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12月</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12个月</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44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sz w:val="18"/>
                <w:szCs w:val="18"/>
              </w:rPr>
            </w:pPr>
          </w:p>
        </w:tc>
      </w:tr>
      <w:tr>
        <w:tblPrEx>
          <w:tblCellMar>
            <w:top w:w="15" w:type="dxa"/>
            <w:left w:w="108" w:type="dxa"/>
            <w:bottom w:w="15" w:type="dxa"/>
            <w:right w:w="108" w:type="dxa"/>
          </w:tblCellMar>
        </w:tblPrEx>
        <w:trPr>
          <w:trHeight w:val="425" w:hRule="atLeast"/>
        </w:trPr>
        <w:tc>
          <w:tcPr>
            <w:tcW w:w="421" w:type="dxa"/>
            <w:vMerge w:val="continue"/>
            <w:tcBorders>
              <w:left w:val="single" w:color="auto" w:sz="4" w:space="0"/>
              <w:right w:val="single" w:color="auto" w:sz="4" w:space="0"/>
            </w:tcBorders>
          </w:tcPr>
          <w:p>
            <w:pPr>
              <w:spacing w:line="300" w:lineRule="exact"/>
              <w:rPr>
                <w:rFonts w:ascii="宋体" w:hAnsi="宋体" w:cs="宋体"/>
                <w:sz w:val="18"/>
                <w:szCs w:val="18"/>
              </w:rPr>
            </w:pPr>
          </w:p>
        </w:tc>
        <w:tc>
          <w:tcPr>
            <w:tcW w:w="963" w:type="dxa"/>
            <w:tcBorders>
              <w:top w:val="single" w:color="000000" w:sz="4" w:space="0"/>
              <w:left w:val="single" w:color="auto" w:sz="4" w:space="0"/>
              <w:bottom w:val="single" w:color="000000" w:sz="4" w:space="0"/>
              <w:right w:val="single" w:color="000000" w:sz="4" w:space="0"/>
            </w:tcBorders>
          </w:tcPr>
          <w:p>
            <w:pPr>
              <w:spacing w:line="300" w:lineRule="exact"/>
              <w:rPr>
                <w:rFonts w:ascii="宋体" w:hAnsi="宋体" w:cs="宋体"/>
                <w:sz w:val="18"/>
                <w:szCs w:val="18"/>
              </w:rPr>
            </w:pPr>
          </w:p>
        </w:tc>
        <w:tc>
          <w:tcPr>
            <w:tcW w:w="1384" w:type="dxa"/>
            <w:gridSpan w:val="2"/>
            <w:tcBorders>
              <w:top w:val="single" w:color="000000" w:sz="4" w:space="0"/>
              <w:left w:val="single" w:color="auto" w:sz="4" w:space="0"/>
              <w:bottom w:val="single" w:color="000000" w:sz="4" w:space="0"/>
              <w:right w:val="single" w:color="000000" w:sz="4" w:space="0"/>
            </w:tcBorders>
          </w:tcPr>
          <w:p>
            <w:pPr>
              <w:spacing w:line="300" w:lineRule="exact"/>
              <w:jc w:val="center"/>
              <w:rPr>
                <w:rFonts w:ascii="宋体" w:hAnsi="宋体" w:cs="宋体"/>
                <w:sz w:val="18"/>
                <w:szCs w:val="18"/>
              </w:rPr>
            </w:pPr>
            <w:r>
              <w:rPr>
                <w:rFonts w:ascii="宋体" w:hAnsi="宋体" w:cs="宋体"/>
                <w:sz w:val="18"/>
                <w:szCs w:val="18"/>
              </w:rPr>
              <w:t>成本指标</w:t>
            </w:r>
          </w:p>
        </w:tc>
        <w:tc>
          <w:tcPr>
            <w:tcW w:w="1916" w:type="dxa"/>
            <w:gridSpan w:val="3"/>
            <w:tcBorders>
              <w:top w:val="single" w:color="000000" w:sz="4" w:space="0"/>
              <w:left w:val="single" w:color="000000" w:sz="4" w:space="0"/>
              <w:bottom w:val="single" w:color="000000" w:sz="4" w:space="0"/>
              <w:right w:val="single" w:color="000000" w:sz="4" w:space="0"/>
            </w:tcBorders>
          </w:tcPr>
          <w:p>
            <w:pPr>
              <w:spacing w:line="300" w:lineRule="exact"/>
              <w:jc w:val="center"/>
              <w:rPr>
                <w:rFonts w:ascii="宋体" w:hAnsi="宋体" w:cs="宋体"/>
                <w:sz w:val="18"/>
                <w:szCs w:val="18"/>
              </w:rPr>
            </w:pPr>
            <w:r>
              <w:rPr>
                <w:rFonts w:ascii="宋体" w:hAnsi="宋体" w:cs="宋体"/>
                <w:sz w:val="18"/>
                <w:szCs w:val="18"/>
              </w:rPr>
              <w:t>项目的成本金额</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20万元</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20万元</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44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sz w:val="18"/>
                <w:szCs w:val="18"/>
              </w:rPr>
            </w:pPr>
          </w:p>
        </w:tc>
      </w:tr>
      <w:tr>
        <w:tblPrEx>
          <w:tblCellMar>
            <w:top w:w="15" w:type="dxa"/>
            <w:left w:w="108" w:type="dxa"/>
            <w:bottom w:w="15" w:type="dxa"/>
            <w:right w:w="108" w:type="dxa"/>
          </w:tblCellMar>
        </w:tblPrEx>
        <w:trPr>
          <w:trHeight w:val="425" w:hRule="atLeast"/>
        </w:trPr>
        <w:tc>
          <w:tcPr>
            <w:tcW w:w="421" w:type="dxa"/>
            <w:vMerge w:val="continue"/>
            <w:tcBorders>
              <w:left w:val="single" w:color="auto" w:sz="4" w:space="0"/>
              <w:right w:val="single" w:color="auto" w:sz="4" w:space="0"/>
            </w:tcBorders>
          </w:tcPr>
          <w:p>
            <w:pPr>
              <w:spacing w:line="300" w:lineRule="exact"/>
              <w:rPr>
                <w:rFonts w:ascii="宋体" w:hAnsi="宋体" w:cs="宋体"/>
                <w:sz w:val="18"/>
                <w:szCs w:val="18"/>
              </w:rPr>
            </w:pPr>
          </w:p>
        </w:tc>
        <w:tc>
          <w:tcPr>
            <w:tcW w:w="963" w:type="dxa"/>
            <w:tcBorders>
              <w:top w:val="single" w:color="000000" w:sz="4" w:space="0"/>
              <w:left w:val="single" w:color="auto" w:sz="4" w:space="0"/>
              <w:bottom w:val="single" w:color="000000" w:sz="4" w:space="0"/>
              <w:right w:val="single" w:color="000000" w:sz="4" w:space="0"/>
            </w:tcBorders>
          </w:tcPr>
          <w:p>
            <w:pPr>
              <w:spacing w:line="300" w:lineRule="exact"/>
              <w:rPr>
                <w:rFonts w:ascii="宋体" w:hAnsi="宋体" w:cs="宋体"/>
                <w:sz w:val="18"/>
                <w:szCs w:val="18"/>
              </w:rPr>
            </w:pPr>
            <w:r>
              <w:rPr>
                <w:rFonts w:hint="eastAsia" w:ascii="宋体" w:hAnsi="宋体" w:cs="宋体"/>
                <w:sz w:val="18"/>
                <w:szCs w:val="18"/>
              </w:rPr>
              <w:t>项目效益（30分）</w:t>
            </w:r>
          </w:p>
        </w:tc>
        <w:tc>
          <w:tcPr>
            <w:tcW w:w="1384"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社会效益指标</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维护退休民师生活稳定</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维护</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维护</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15分</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15分</w:t>
            </w:r>
          </w:p>
        </w:tc>
        <w:tc>
          <w:tcPr>
            <w:tcW w:w="144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sz w:val="18"/>
                <w:szCs w:val="18"/>
              </w:rPr>
            </w:pPr>
          </w:p>
        </w:tc>
      </w:tr>
      <w:tr>
        <w:tblPrEx>
          <w:tblCellMar>
            <w:top w:w="15" w:type="dxa"/>
            <w:left w:w="108" w:type="dxa"/>
            <w:bottom w:w="15" w:type="dxa"/>
            <w:right w:w="108" w:type="dxa"/>
          </w:tblCellMar>
        </w:tblPrEx>
        <w:trPr>
          <w:trHeight w:val="425" w:hRule="atLeast"/>
        </w:trPr>
        <w:tc>
          <w:tcPr>
            <w:tcW w:w="421" w:type="dxa"/>
            <w:vMerge w:val="continue"/>
            <w:tcBorders>
              <w:left w:val="single" w:color="auto" w:sz="4" w:space="0"/>
              <w:right w:val="single" w:color="auto" w:sz="4" w:space="0"/>
            </w:tcBorders>
          </w:tcPr>
          <w:p>
            <w:pPr>
              <w:spacing w:line="300" w:lineRule="exact"/>
              <w:rPr>
                <w:rFonts w:ascii="宋体" w:hAnsi="宋体" w:cs="宋体"/>
                <w:sz w:val="18"/>
                <w:szCs w:val="18"/>
              </w:rPr>
            </w:pPr>
          </w:p>
        </w:tc>
        <w:tc>
          <w:tcPr>
            <w:tcW w:w="963" w:type="dxa"/>
            <w:tcBorders>
              <w:top w:val="single" w:color="000000" w:sz="4" w:space="0"/>
              <w:left w:val="single" w:color="auto" w:sz="4" w:space="0"/>
              <w:bottom w:val="single" w:color="000000" w:sz="4" w:space="0"/>
              <w:right w:val="single" w:color="000000" w:sz="4" w:space="0"/>
            </w:tcBorders>
          </w:tcPr>
          <w:p>
            <w:pPr>
              <w:spacing w:line="300" w:lineRule="exact"/>
              <w:rPr>
                <w:rFonts w:ascii="宋体" w:hAnsi="宋体" w:cs="宋体"/>
                <w:sz w:val="18"/>
                <w:szCs w:val="18"/>
              </w:rPr>
            </w:pPr>
          </w:p>
        </w:tc>
        <w:tc>
          <w:tcPr>
            <w:tcW w:w="1384"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社会效益指标</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保障退休民师心理健康</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保障</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保障</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15分</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15分</w:t>
            </w:r>
          </w:p>
        </w:tc>
        <w:tc>
          <w:tcPr>
            <w:tcW w:w="144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sz w:val="18"/>
                <w:szCs w:val="18"/>
              </w:rPr>
            </w:pPr>
          </w:p>
        </w:tc>
      </w:tr>
      <w:tr>
        <w:tblPrEx>
          <w:tblCellMar>
            <w:top w:w="15" w:type="dxa"/>
            <w:left w:w="108" w:type="dxa"/>
            <w:bottom w:w="15" w:type="dxa"/>
            <w:right w:w="108" w:type="dxa"/>
          </w:tblCellMar>
        </w:tblPrEx>
        <w:trPr>
          <w:trHeight w:val="425" w:hRule="atLeast"/>
        </w:trPr>
        <w:tc>
          <w:tcPr>
            <w:tcW w:w="421" w:type="dxa"/>
            <w:vMerge w:val="continue"/>
            <w:tcBorders>
              <w:left w:val="single" w:color="auto" w:sz="4" w:space="0"/>
              <w:right w:val="single" w:color="auto" w:sz="4" w:space="0"/>
            </w:tcBorders>
          </w:tcPr>
          <w:p>
            <w:pPr>
              <w:spacing w:line="300" w:lineRule="exact"/>
              <w:rPr>
                <w:rFonts w:ascii="宋体" w:hAnsi="宋体" w:cs="宋体"/>
                <w:sz w:val="18"/>
                <w:szCs w:val="18"/>
              </w:rPr>
            </w:pPr>
          </w:p>
        </w:tc>
        <w:tc>
          <w:tcPr>
            <w:tcW w:w="963" w:type="dxa"/>
            <w:tcBorders>
              <w:top w:val="single" w:color="000000" w:sz="4" w:space="0"/>
              <w:left w:val="single" w:color="auto" w:sz="4" w:space="0"/>
              <w:bottom w:val="single" w:color="000000" w:sz="4" w:space="0"/>
              <w:right w:val="single" w:color="000000" w:sz="4" w:space="0"/>
            </w:tcBorders>
          </w:tcPr>
          <w:p>
            <w:pPr>
              <w:spacing w:line="300" w:lineRule="exact"/>
              <w:rPr>
                <w:rFonts w:ascii="宋体" w:hAnsi="宋体" w:cs="宋体"/>
                <w:sz w:val="18"/>
                <w:szCs w:val="18"/>
              </w:rPr>
            </w:pPr>
            <w:r>
              <w:rPr>
                <w:rFonts w:hint="eastAsia" w:ascii="宋体" w:hAnsi="宋体" w:cs="宋体"/>
                <w:sz w:val="18"/>
                <w:szCs w:val="18"/>
              </w:rPr>
              <w:t>满意度指标（10分）</w:t>
            </w:r>
          </w:p>
        </w:tc>
        <w:tc>
          <w:tcPr>
            <w:tcW w:w="1384"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服务对象满意度指标</w:t>
            </w:r>
          </w:p>
        </w:tc>
        <w:tc>
          <w:tcPr>
            <w:tcW w:w="1916"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退休民师满意度</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90%</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8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44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sz w:val="18"/>
                <w:szCs w:val="18"/>
              </w:rPr>
            </w:pPr>
          </w:p>
        </w:tc>
      </w:tr>
      <w:tr>
        <w:tblPrEx>
          <w:tblCellMar>
            <w:top w:w="15" w:type="dxa"/>
            <w:left w:w="108" w:type="dxa"/>
            <w:bottom w:w="15" w:type="dxa"/>
            <w:right w:w="108" w:type="dxa"/>
          </w:tblCellMar>
        </w:tblPrEx>
        <w:trPr>
          <w:trHeight w:val="425" w:hRule="atLeast"/>
        </w:trPr>
        <w:tc>
          <w:tcPr>
            <w:tcW w:w="6459" w:type="dxa"/>
            <w:gridSpan w:val="9"/>
            <w:tcBorders>
              <w:top w:val="single" w:color="auto" w:sz="4" w:space="0"/>
              <w:left w:val="single" w:color="000000" w:sz="4" w:space="0"/>
              <w:bottom w:val="single" w:color="auto" w:sz="4" w:space="0"/>
              <w:right w:val="single" w:color="000000" w:sz="4" w:space="0"/>
            </w:tcBorders>
          </w:tcPr>
          <w:p>
            <w:pPr>
              <w:spacing w:line="300" w:lineRule="exact"/>
              <w:jc w:val="center"/>
              <w:rPr>
                <w:rFonts w:ascii="宋体" w:hAnsi="宋体" w:cs="宋体"/>
                <w:sz w:val="18"/>
                <w:szCs w:val="18"/>
              </w:rPr>
            </w:pPr>
            <w:r>
              <w:rPr>
                <w:rFonts w:hint="eastAsia" w:ascii="宋体" w:hAnsi="宋体" w:cs="宋体"/>
                <w:sz w:val="18"/>
                <w:szCs w:val="18"/>
              </w:rPr>
              <w:t>总分</w:t>
            </w:r>
          </w:p>
        </w:tc>
        <w:tc>
          <w:tcPr>
            <w:tcW w:w="833" w:type="dxa"/>
            <w:gridSpan w:val="2"/>
            <w:tcBorders>
              <w:top w:val="single" w:color="000000" w:sz="4" w:space="0"/>
              <w:left w:val="single" w:color="000000" w:sz="4" w:space="0"/>
              <w:bottom w:val="single" w:color="000000" w:sz="4" w:space="0"/>
              <w:right w:val="single" w:color="000000" w:sz="4" w:space="0"/>
            </w:tcBorders>
          </w:tcPr>
          <w:p>
            <w:pPr>
              <w:spacing w:line="300" w:lineRule="exact"/>
              <w:jc w:val="center"/>
              <w:rPr>
                <w:rFonts w:ascii="宋体" w:hAnsi="宋体" w:cs="宋体"/>
                <w:sz w:val="18"/>
                <w:szCs w:val="18"/>
              </w:rPr>
            </w:pPr>
            <w:r>
              <w:rPr>
                <w:rFonts w:hint="eastAsia" w:ascii="宋体" w:hAnsi="宋体" w:cs="宋体"/>
                <w:sz w:val="18"/>
                <w:szCs w:val="18"/>
              </w:rPr>
              <w:t>100分</w:t>
            </w:r>
          </w:p>
        </w:tc>
        <w:tc>
          <w:tcPr>
            <w:tcW w:w="920" w:type="dxa"/>
            <w:gridSpan w:val="2"/>
            <w:tcBorders>
              <w:top w:val="single" w:color="000000" w:sz="4" w:space="0"/>
              <w:left w:val="single" w:color="000000" w:sz="4" w:space="0"/>
              <w:bottom w:val="single" w:color="000000" w:sz="4" w:space="0"/>
              <w:right w:val="single" w:color="000000" w:sz="4" w:space="0"/>
            </w:tcBorders>
          </w:tcPr>
          <w:p>
            <w:pPr>
              <w:spacing w:line="300" w:lineRule="exact"/>
              <w:jc w:val="center"/>
              <w:rPr>
                <w:rFonts w:ascii="宋体" w:hAnsi="宋体" w:cs="宋体"/>
                <w:sz w:val="18"/>
                <w:szCs w:val="18"/>
              </w:rPr>
            </w:pPr>
            <w:r>
              <w:rPr>
                <w:rFonts w:hint="eastAsia" w:ascii="宋体" w:hAnsi="宋体" w:cs="宋体"/>
                <w:sz w:val="18"/>
                <w:szCs w:val="18"/>
              </w:rPr>
              <w:t>99.21分</w:t>
            </w:r>
          </w:p>
        </w:tc>
        <w:tc>
          <w:tcPr>
            <w:tcW w:w="1442" w:type="dxa"/>
            <w:gridSpan w:val="2"/>
            <w:tcBorders>
              <w:top w:val="single" w:color="000000" w:sz="4" w:space="0"/>
              <w:left w:val="single" w:color="000000" w:sz="4" w:space="0"/>
              <w:bottom w:val="single" w:color="000000" w:sz="4" w:space="0"/>
              <w:right w:val="single" w:color="000000" w:sz="4" w:space="0"/>
            </w:tcBorders>
          </w:tcPr>
          <w:p>
            <w:pPr>
              <w:spacing w:line="300" w:lineRule="exact"/>
              <w:rPr>
                <w:rFonts w:ascii="宋体" w:hAnsi="宋体" w:cs="宋体"/>
                <w:sz w:val="18"/>
                <w:szCs w:val="18"/>
              </w:rPr>
            </w:pPr>
          </w:p>
        </w:tc>
      </w:tr>
    </w:tbl>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项目支出绩效自评表</w:t>
      </w:r>
    </w:p>
    <w:p>
      <w:pPr>
        <w:jc w:val="center"/>
      </w:pPr>
      <w:r>
        <w:rPr>
          <w:rFonts w:hint="eastAsia"/>
          <w:sz w:val="20"/>
          <w:szCs w:val="20"/>
        </w:rPr>
        <w:t>（2022年度）</w:t>
      </w:r>
    </w:p>
    <w:tbl>
      <w:tblPr>
        <w:tblStyle w:val="8"/>
        <w:tblW w:w="9473" w:type="dxa"/>
        <w:tblInd w:w="272" w:type="dxa"/>
        <w:tblLayout w:type="fixed"/>
        <w:tblCellMar>
          <w:top w:w="15" w:type="dxa"/>
          <w:left w:w="108" w:type="dxa"/>
          <w:bottom w:w="15" w:type="dxa"/>
          <w:right w:w="108" w:type="dxa"/>
        </w:tblCellMar>
      </w:tblPr>
      <w:tblGrid>
        <w:gridCol w:w="578"/>
        <w:gridCol w:w="762"/>
        <w:gridCol w:w="1247"/>
        <w:gridCol w:w="403"/>
        <w:gridCol w:w="1163"/>
        <w:gridCol w:w="350"/>
        <w:gridCol w:w="950"/>
        <w:gridCol w:w="825"/>
        <w:gridCol w:w="275"/>
        <w:gridCol w:w="487"/>
        <w:gridCol w:w="338"/>
        <w:gridCol w:w="519"/>
        <w:gridCol w:w="768"/>
        <w:gridCol w:w="808"/>
      </w:tblGrid>
      <w:tr>
        <w:tblPrEx>
          <w:tblCellMar>
            <w:top w:w="15" w:type="dxa"/>
            <w:left w:w="108" w:type="dxa"/>
            <w:bottom w:w="15" w:type="dxa"/>
            <w:right w:w="108" w:type="dxa"/>
          </w:tblCellMar>
        </w:tblPrEx>
        <w:trPr>
          <w:trHeight w:val="425" w:hRule="atLeast"/>
        </w:trPr>
        <w:tc>
          <w:tcPr>
            <w:tcW w:w="134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项目名称</w:t>
            </w:r>
          </w:p>
        </w:tc>
        <w:tc>
          <w:tcPr>
            <w:tcW w:w="8133"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基层医疗卫生机构补助经费（含中医）</w:t>
            </w:r>
          </w:p>
        </w:tc>
      </w:tr>
      <w:tr>
        <w:tblPrEx>
          <w:tblCellMar>
            <w:top w:w="15" w:type="dxa"/>
            <w:left w:w="108" w:type="dxa"/>
            <w:bottom w:w="15" w:type="dxa"/>
            <w:right w:w="108" w:type="dxa"/>
          </w:tblCellMar>
        </w:tblPrEx>
        <w:trPr>
          <w:trHeight w:val="425" w:hRule="atLeast"/>
        </w:trPr>
        <w:tc>
          <w:tcPr>
            <w:tcW w:w="134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主管部门及代码</w:t>
            </w:r>
          </w:p>
        </w:tc>
        <w:tc>
          <w:tcPr>
            <w:tcW w:w="4113"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[407]淄博市临淄区卫生健康局</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实施单位</w:t>
            </w:r>
          </w:p>
        </w:tc>
        <w:tc>
          <w:tcPr>
            <w:tcW w:w="2920"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[407001]淄博市临淄区卫生健康局</w:t>
            </w:r>
          </w:p>
        </w:tc>
      </w:tr>
      <w:tr>
        <w:tblPrEx>
          <w:tblCellMar>
            <w:top w:w="15" w:type="dxa"/>
            <w:left w:w="108" w:type="dxa"/>
            <w:bottom w:w="15" w:type="dxa"/>
            <w:right w:w="108" w:type="dxa"/>
          </w:tblCellMar>
        </w:tblPrEx>
        <w:trPr>
          <w:trHeight w:val="425" w:hRule="atLeast"/>
        </w:trPr>
        <w:tc>
          <w:tcPr>
            <w:tcW w:w="1340"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项目资金</w:t>
            </w:r>
          </w:p>
          <w:p>
            <w:pPr>
              <w:spacing w:line="300" w:lineRule="exact"/>
              <w:rPr>
                <w:rFonts w:hint="eastAsia" w:ascii="微软雅黑" w:hAnsi="微软雅黑" w:eastAsia="微软雅黑" w:cs="微软雅黑"/>
                <w:sz w:val="20"/>
                <w:szCs w:val="20"/>
              </w:rPr>
            </w:pPr>
            <w:r>
              <w:rPr>
                <w:rFonts w:hint="eastAsia" w:ascii="微软雅黑" w:hAnsi="微软雅黑" w:eastAsia="微软雅黑" w:cs="微软雅黑"/>
                <w:sz w:val="18"/>
                <w:szCs w:val="18"/>
              </w:rPr>
              <w:t>（万元）</w:t>
            </w:r>
          </w:p>
        </w:tc>
        <w:tc>
          <w:tcPr>
            <w:tcW w:w="16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20"/>
                <w:szCs w:val="20"/>
              </w:rPr>
            </w:pPr>
          </w:p>
        </w:tc>
        <w:tc>
          <w:tcPr>
            <w:tcW w:w="11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年初预算数</w:t>
            </w:r>
          </w:p>
        </w:tc>
        <w:tc>
          <w:tcPr>
            <w:tcW w:w="13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全年预算数</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全年执行数</w:t>
            </w:r>
          </w:p>
        </w:tc>
        <w:tc>
          <w:tcPr>
            <w:tcW w:w="8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分值</w:t>
            </w:r>
          </w:p>
        </w:tc>
        <w:tc>
          <w:tcPr>
            <w:tcW w:w="12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执行率</w:t>
            </w:r>
          </w:p>
        </w:tc>
        <w:tc>
          <w:tcPr>
            <w:tcW w:w="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得分</w:t>
            </w:r>
          </w:p>
        </w:tc>
      </w:tr>
      <w:tr>
        <w:tblPrEx>
          <w:tblCellMar>
            <w:top w:w="15" w:type="dxa"/>
            <w:left w:w="108" w:type="dxa"/>
            <w:bottom w:w="15" w:type="dxa"/>
            <w:right w:w="108" w:type="dxa"/>
          </w:tblCellMar>
        </w:tblPrEx>
        <w:trPr>
          <w:trHeight w:val="425" w:hRule="atLeast"/>
        </w:trPr>
        <w:tc>
          <w:tcPr>
            <w:tcW w:w="134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20"/>
                <w:szCs w:val="20"/>
              </w:rPr>
            </w:pPr>
          </w:p>
        </w:tc>
        <w:tc>
          <w:tcPr>
            <w:tcW w:w="16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年度资金总额</w:t>
            </w:r>
          </w:p>
        </w:tc>
        <w:tc>
          <w:tcPr>
            <w:tcW w:w="11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6800</w:t>
            </w:r>
          </w:p>
        </w:tc>
        <w:tc>
          <w:tcPr>
            <w:tcW w:w="13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8631.94</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8202.84</w:t>
            </w:r>
          </w:p>
        </w:tc>
        <w:tc>
          <w:tcPr>
            <w:tcW w:w="8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10分</w:t>
            </w:r>
          </w:p>
        </w:tc>
        <w:tc>
          <w:tcPr>
            <w:tcW w:w="12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95.03%</w:t>
            </w:r>
          </w:p>
        </w:tc>
        <w:tc>
          <w:tcPr>
            <w:tcW w:w="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9.5分</w:t>
            </w:r>
          </w:p>
        </w:tc>
      </w:tr>
      <w:tr>
        <w:tblPrEx>
          <w:tblCellMar>
            <w:top w:w="15" w:type="dxa"/>
            <w:left w:w="108" w:type="dxa"/>
            <w:bottom w:w="15" w:type="dxa"/>
            <w:right w:w="108" w:type="dxa"/>
          </w:tblCellMar>
        </w:tblPrEx>
        <w:trPr>
          <w:trHeight w:val="425" w:hRule="atLeast"/>
        </w:trPr>
        <w:tc>
          <w:tcPr>
            <w:tcW w:w="134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20"/>
                <w:szCs w:val="20"/>
              </w:rPr>
            </w:pPr>
          </w:p>
        </w:tc>
        <w:tc>
          <w:tcPr>
            <w:tcW w:w="16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其中：财政拨款</w:t>
            </w:r>
          </w:p>
        </w:tc>
        <w:tc>
          <w:tcPr>
            <w:tcW w:w="11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6800</w:t>
            </w:r>
          </w:p>
        </w:tc>
        <w:tc>
          <w:tcPr>
            <w:tcW w:w="13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8631.94</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8202.84</w:t>
            </w:r>
          </w:p>
        </w:tc>
        <w:tc>
          <w:tcPr>
            <w:tcW w:w="8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w:t>
            </w:r>
          </w:p>
        </w:tc>
        <w:tc>
          <w:tcPr>
            <w:tcW w:w="12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95.03%</w:t>
            </w:r>
          </w:p>
        </w:tc>
        <w:tc>
          <w:tcPr>
            <w:tcW w:w="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18"/>
                <w:szCs w:val="18"/>
              </w:rPr>
            </w:pPr>
            <w:r>
              <w:rPr>
                <w:rFonts w:hint="eastAsia" w:ascii="宋体" w:hAnsi="宋体" w:eastAsia="宋体" w:cs="宋体"/>
                <w:sz w:val="18"/>
                <w:szCs w:val="18"/>
              </w:rPr>
              <w:t>-</w:t>
            </w:r>
          </w:p>
        </w:tc>
      </w:tr>
      <w:tr>
        <w:tblPrEx>
          <w:tblCellMar>
            <w:top w:w="15" w:type="dxa"/>
            <w:left w:w="108" w:type="dxa"/>
            <w:bottom w:w="15" w:type="dxa"/>
            <w:right w:w="108" w:type="dxa"/>
          </w:tblCellMar>
        </w:tblPrEx>
        <w:trPr>
          <w:trHeight w:val="425" w:hRule="atLeast"/>
        </w:trPr>
        <w:tc>
          <w:tcPr>
            <w:tcW w:w="134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20"/>
                <w:szCs w:val="20"/>
              </w:rPr>
            </w:pPr>
          </w:p>
        </w:tc>
        <w:tc>
          <w:tcPr>
            <w:tcW w:w="16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上年结转资金</w:t>
            </w:r>
          </w:p>
        </w:tc>
        <w:tc>
          <w:tcPr>
            <w:tcW w:w="11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13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8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12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r>
      <w:tr>
        <w:tblPrEx>
          <w:tblCellMar>
            <w:top w:w="15" w:type="dxa"/>
            <w:left w:w="108" w:type="dxa"/>
            <w:bottom w:w="15" w:type="dxa"/>
            <w:right w:w="108" w:type="dxa"/>
          </w:tblCellMar>
        </w:tblPrEx>
        <w:trPr>
          <w:trHeight w:val="425" w:hRule="atLeast"/>
        </w:trPr>
        <w:tc>
          <w:tcPr>
            <w:tcW w:w="134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20"/>
                <w:szCs w:val="20"/>
              </w:rPr>
            </w:pPr>
          </w:p>
        </w:tc>
        <w:tc>
          <w:tcPr>
            <w:tcW w:w="16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其他资金</w:t>
            </w:r>
          </w:p>
        </w:tc>
        <w:tc>
          <w:tcPr>
            <w:tcW w:w="11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13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110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82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128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c>
          <w:tcPr>
            <w:tcW w:w="8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w:t>
            </w:r>
          </w:p>
        </w:tc>
      </w:tr>
      <w:tr>
        <w:tblPrEx>
          <w:tblCellMar>
            <w:top w:w="15" w:type="dxa"/>
            <w:left w:w="108" w:type="dxa"/>
            <w:bottom w:w="15" w:type="dxa"/>
            <w:right w:w="108" w:type="dxa"/>
          </w:tblCellMar>
        </w:tblPrEx>
        <w:trPr>
          <w:trHeight w:val="425" w:hRule="atLeast"/>
        </w:trPr>
        <w:tc>
          <w:tcPr>
            <w:tcW w:w="9473" w:type="dxa"/>
            <w:gridSpan w:val="1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20"/>
                <w:szCs w:val="20"/>
              </w:rPr>
            </w:pPr>
            <w:r>
              <w:rPr>
                <w:rFonts w:hint="eastAsia" w:ascii="宋体" w:hAnsi="宋体" w:eastAsia="宋体" w:cs="宋体"/>
                <w:sz w:val="20"/>
                <w:szCs w:val="20"/>
              </w:rPr>
              <w:t>项目绩效年度目标</w:t>
            </w:r>
          </w:p>
        </w:tc>
      </w:tr>
      <w:tr>
        <w:tblPrEx>
          <w:tblCellMar>
            <w:top w:w="15" w:type="dxa"/>
            <w:left w:w="108" w:type="dxa"/>
            <w:bottom w:w="15" w:type="dxa"/>
            <w:right w:w="108" w:type="dxa"/>
          </w:tblCellMar>
        </w:tblPrEx>
        <w:trPr>
          <w:trHeight w:val="425" w:hRule="atLeast"/>
        </w:trPr>
        <w:tc>
          <w:tcPr>
            <w:tcW w:w="57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20"/>
                <w:szCs w:val="20"/>
              </w:rPr>
            </w:pPr>
            <w:r>
              <w:rPr>
                <w:rFonts w:hint="eastAsia" w:ascii="宋体" w:hAnsi="宋体" w:eastAsia="宋体" w:cs="宋体"/>
                <w:sz w:val="20"/>
                <w:szCs w:val="20"/>
              </w:rPr>
              <w:t>年度总体目标</w:t>
            </w:r>
          </w:p>
        </w:tc>
        <w:tc>
          <w:tcPr>
            <w:tcW w:w="487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20"/>
                <w:szCs w:val="20"/>
              </w:rPr>
            </w:pPr>
            <w:r>
              <w:rPr>
                <w:rFonts w:hint="eastAsia" w:ascii="宋体" w:hAnsi="宋体" w:eastAsia="宋体" w:cs="宋体"/>
                <w:sz w:val="20"/>
                <w:szCs w:val="20"/>
              </w:rPr>
              <w:t>预期目标</w:t>
            </w:r>
          </w:p>
        </w:tc>
        <w:tc>
          <w:tcPr>
            <w:tcW w:w="4020"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20"/>
                <w:szCs w:val="20"/>
              </w:rPr>
            </w:pPr>
            <w:r>
              <w:rPr>
                <w:rFonts w:hint="eastAsia" w:ascii="宋体" w:hAnsi="宋体" w:eastAsia="宋体" w:cs="宋体"/>
                <w:sz w:val="20"/>
                <w:szCs w:val="20"/>
              </w:rPr>
              <w:t>实际完成情况</w:t>
            </w:r>
          </w:p>
        </w:tc>
      </w:tr>
      <w:tr>
        <w:tblPrEx>
          <w:tblCellMar>
            <w:top w:w="15" w:type="dxa"/>
            <w:left w:w="108" w:type="dxa"/>
            <w:bottom w:w="15" w:type="dxa"/>
            <w:right w:w="108" w:type="dxa"/>
          </w:tblCellMar>
        </w:tblPrEx>
        <w:trPr>
          <w:trHeight w:val="2744"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spacing w:line="300" w:lineRule="exact"/>
              <w:rPr>
                <w:rFonts w:ascii="宋体" w:hAnsi="宋体" w:cs="宋体"/>
                <w:sz w:val="20"/>
                <w:szCs w:val="20"/>
              </w:rPr>
            </w:pPr>
          </w:p>
        </w:tc>
        <w:tc>
          <w:tcPr>
            <w:tcW w:w="4875" w:type="dxa"/>
            <w:gridSpan w:val="6"/>
            <w:tcBorders>
              <w:top w:val="single" w:color="000000" w:sz="8" w:space="0"/>
              <w:left w:val="single" w:color="000000" w:sz="8" w:space="0"/>
              <w:bottom w:val="single" w:color="000000" w:sz="8" w:space="0"/>
              <w:right w:val="single" w:color="000000" w:sz="8" w:space="0"/>
            </w:tcBorders>
            <w:shd w:val="clear" w:color="auto" w:fill="FFFFFF"/>
          </w:tcPr>
          <w:p>
            <w:pPr>
              <w:widowControl w:val="0"/>
              <w:numPr>
                <w:ilvl w:val="0"/>
                <w:numId w:val="1"/>
              </w:numPr>
              <w:adjustRightInd/>
              <w:snapToGrid/>
              <w:spacing w:after="0"/>
              <w:rPr>
                <w:rFonts w:ascii="宋体" w:hAnsi="宋体" w:cs="宋体"/>
                <w:sz w:val="20"/>
                <w:szCs w:val="20"/>
              </w:rPr>
            </w:pPr>
            <w:r>
              <w:rPr>
                <w:rFonts w:hint="eastAsia" w:ascii="宋体" w:hAnsi="宋体" w:eastAsia="宋体" w:cs="宋体"/>
                <w:sz w:val="20"/>
                <w:szCs w:val="20"/>
              </w:rPr>
              <w:t>保障卫生院正常运转，为辖区居民提供预防保健、基本医疗、健康教育、康复等综合性服务。</w:t>
            </w:r>
          </w:p>
          <w:p>
            <w:pPr>
              <w:widowControl w:val="0"/>
              <w:numPr>
                <w:ilvl w:val="0"/>
                <w:numId w:val="1"/>
              </w:numPr>
              <w:adjustRightInd/>
              <w:snapToGrid/>
              <w:spacing w:after="0"/>
              <w:rPr>
                <w:rFonts w:ascii="宋体" w:hAnsi="宋体" w:cs="宋体"/>
                <w:sz w:val="20"/>
                <w:szCs w:val="20"/>
              </w:rPr>
            </w:pPr>
            <w:r>
              <w:rPr>
                <w:rFonts w:hint="eastAsia" w:ascii="宋体" w:hAnsi="宋体" w:eastAsia="宋体" w:cs="宋体"/>
                <w:sz w:val="20"/>
                <w:szCs w:val="20"/>
              </w:rPr>
              <w:t>及时拨付妇幼保健服务中心在职人员、离退休人员经费，加强妇幼健康服务体系建设。</w:t>
            </w:r>
          </w:p>
          <w:p>
            <w:pPr>
              <w:spacing w:line="300" w:lineRule="exact"/>
              <w:rPr>
                <w:rFonts w:ascii="宋体" w:hAnsi="宋体" w:cs="宋体"/>
                <w:sz w:val="20"/>
                <w:szCs w:val="20"/>
              </w:rPr>
            </w:pPr>
            <w:r>
              <w:rPr>
                <w:rFonts w:hint="eastAsia" w:ascii="宋体" w:hAnsi="宋体" w:eastAsia="宋体" w:cs="宋体"/>
                <w:sz w:val="20"/>
                <w:szCs w:val="20"/>
              </w:rPr>
              <w:t>3.卫生健康系统离休人员经费支出，保障好卫生健康离休干部待遇落实。</w:t>
            </w:r>
          </w:p>
        </w:tc>
        <w:tc>
          <w:tcPr>
            <w:tcW w:w="4020" w:type="dxa"/>
            <w:gridSpan w:val="7"/>
            <w:tcBorders>
              <w:top w:val="single" w:color="000000" w:sz="8" w:space="0"/>
              <w:left w:val="single" w:color="000000" w:sz="8" w:space="0"/>
              <w:bottom w:val="single" w:color="000000" w:sz="8" w:space="0"/>
              <w:right w:val="single" w:color="000000" w:sz="8" w:space="0"/>
            </w:tcBorders>
            <w:shd w:val="clear" w:color="auto" w:fill="FFFFFF"/>
          </w:tcPr>
          <w:p>
            <w:pPr>
              <w:widowControl w:val="0"/>
              <w:numPr>
                <w:ilvl w:val="0"/>
                <w:numId w:val="2"/>
              </w:numPr>
              <w:adjustRightInd/>
              <w:snapToGrid/>
              <w:spacing w:after="0"/>
              <w:rPr>
                <w:rFonts w:ascii="宋体" w:hAnsi="宋体" w:cs="宋体"/>
                <w:sz w:val="20"/>
                <w:szCs w:val="20"/>
              </w:rPr>
            </w:pPr>
            <w:r>
              <w:rPr>
                <w:rFonts w:hint="eastAsia" w:ascii="宋体" w:hAnsi="宋体" w:eastAsia="宋体" w:cs="宋体"/>
                <w:sz w:val="20"/>
                <w:szCs w:val="20"/>
              </w:rPr>
              <w:t>保障卫生院正常运转，为辖区居民提供预防保健、基本医疗、健康教育、康复等综合性服务。</w:t>
            </w:r>
          </w:p>
          <w:p>
            <w:pPr>
              <w:widowControl w:val="0"/>
              <w:numPr>
                <w:ilvl w:val="0"/>
                <w:numId w:val="2"/>
              </w:numPr>
              <w:adjustRightInd/>
              <w:snapToGrid/>
              <w:spacing w:after="0"/>
              <w:rPr>
                <w:rFonts w:ascii="宋体" w:hAnsi="宋体" w:cs="宋体"/>
                <w:sz w:val="20"/>
                <w:szCs w:val="20"/>
              </w:rPr>
            </w:pPr>
            <w:r>
              <w:rPr>
                <w:rFonts w:hint="eastAsia" w:ascii="宋体" w:hAnsi="宋体" w:eastAsia="宋体" w:cs="宋体"/>
                <w:sz w:val="20"/>
                <w:szCs w:val="20"/>
              </w:rPr>
              <w:t>及时拨付妇幼保健服务中心在职人员、离退休人员经费，加强妇幼健康服务体系建设。</w:t>
            </w:r>
          </w:p>
          <w:p>
            <w:pPr>
              <w:spacing w:line="300" w:lineRule="exact"/>
              <w:rPr>
                <w:rFonts w:ascii="宋体" w:hAnsi="宋体" w:cs="宋体"/>
                <w:sz w:val="20"/>
                <w:szCs w:val="20"/>
              </w:rPr>
            </w:pPr>
            <w:r>
              <w:rPr>
                <w:rFonts w:hint="eastAsia" w:ascii="宋体" w:hAnsi="宋体" w:eastAsia="宋体" w:cs="宋体"/>
                <w:sz w:val="20"/>
                <w:szCs w:val="20"/>
              </w:rPr>
              <w:t>3.卫生健康系统离休人员经费支出，保障好卫生健康离休干部待遇落实。</w:t>
            </w:r>
          </w:p>
        </w:tc>
      </w:tr>
      <w:tr>
        <w:tblPrEx>
          <w:tblCellMar>
            <w:top w:w="15" w:type="dxa"/>
            <w:left w:w="108" w:type="dxa"/>
            <w:bottom w:w="15" w:type="dxa"/>
            <w:right w:w="108" w:type="dxa"/>
          </w:tblCellMar>
        </w:tblPrEx>
        <w:trPr>
          <w:trHeight w:val="425" w:hRule="atLeast"/>
        </w:trPr>
        <w:tc>
          <w:tcPr>
            <w:tcW w:w="57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年度绩效</w:t>
            </w:r>
          </w:p>
          <w:p>
            <w:pPr>
              <w:spacing w:line="300" w:lineRule="exact"/>
              <w:rPr>
                <w:rFonts w:ascii="宋体" w:hAnsi="宋体" w:cs="宋体"/>
                <w:sz w:val="20"/>
                <w:szCs w:val="20"/>
              </w:rPr>
            </w:pPr>
            <w:r>
              <w:rPr>
                <w:rFonts w:hint="eastAsia" w:ascii="宋体" w:hAnsi="宋体" w:eastAsia="宋体" w:cs="宋体"/>
                <w:sz w:val="20"/>
                <w:szCs w:val="20"/>
              </w:rPr>
              <w:t>指标（90分）</w:t>
            </w: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一级指标</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二级指标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三级指标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widowControl/>
              <w:spacing w:before="128" w:line="213" w:lineRule="exact"/>
              <w:ind w:right="53"/>
              <w:rPr>
                <w:rFonts w:hint="default" w:cs="宋体"/>
                <w:sz w:val="20"/>
                <w:szCs w:val="20"/>
              </w:rPr>
            </w:pPr>
            <w:r>
              <w:rPr>
                <w:rFonts w:cs="宋体"/>
                <w:sz w:val="20"/>
                <w:szCs w:val="20"/>
              </w:rPr>
              <w:t>年度指标值</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实际完成值</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分值</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得分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偏差原因分析及改进措施</w:t>
            </w:r>
          </w:p>
        </w:tc>
      </w:tr>
      <w:tr>
        <w:tblPrEx>
          <w:tblCellMar>
            <w:top w:w="15" w:type="dxa"/>
            <w:left w:w="108" w:type="dxa"/>
            <w:bottom w:w="15" w:type="dxa"/>
            <w:right w:w="108" w:type="dxa"/>
          </w:tblCellMar>
        </w:tblPrEx>
        <w:trPr>
          <w:trHeight w:val="660"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项目产出（50分）</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数量指标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卫生系统离休人员数</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≤5人</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5人</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r>
        <w:tblPrEx>
          <w:tblCellMar>
            <w:top w:w="15" w:type="dxa"/>
            <w:left w:w="108" w:type="dxa"/>
            <w:bottom w:w="15" w:type="dxa"/>
            <w:right w:w="108" w:type="dxa"/>
          </w:tblCellMar>
        </w:tblPrEx>
        <w:trPr>
          <w:trHeight w:val="425"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数量指标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卫生院在编在职人数</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≥490人</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490人</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r>
        <w:tblPrEx>
          <w:tblCellMar>
            <w:top w:w="15" w:type="dxa"/>
            <w:left w:w="108" w:type="dxa"/>
            <w:bottom w:w="15" w:type="dxa"/>
            <w:right w:w="108" w:type="dxa"/>
          </w:tblCellMar>
        </w:tblPrEx>
        <w:trPr>
          <w:trHeight w:val="425"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数量指标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卫生院退休人数</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≥190人</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ind w:left="200" w:hanging="180" w:hangingChars="10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196人</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r>
        <w:tblPrEx>
          <w:tblCellMar>
            <w:top w:w="15" w:type="dxa"/>
            <w:left w:w="108" w:type="dxa"/>
            <w:bottom w:w="15" w:type="dxa"/>
            <w:right w:w="108" w:type="dxa"/>
          </w:tblCellMar>
        </w:tblPrEx>
        <w:trPr>
          <w:trHeight w:val="559"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质量指标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资金发放合格率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=100%</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r>
        <w:tblPrEx>
          <w:tblCellMar>
            <w:top w:w="15" w:type="dxa"/>
            <w:left w:w="108" w:type="dxa"/>
            <w:bottom w:w="15" w:type="dxa"/>
            <w:right w:w="108" w:type="dxa"/>
          </w:tblCellMar>
        </w:tblPrEx>
        <w:trPr>
          <w:trHeight w:val="608"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时效指标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经费及时拨付率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≥90%</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r>
        <w:tblPrEx>
          <w:tblCellMar>
            <w:top w:w="15" w:type="dxa"/>
            <w:left w:w="108" w:type="dxa"/>
            <w:bottom w:w="15" w:type="dxa"/>
            <w:right w:w="108" w:type="dxa"/>
          </w:tblCellMar>
        </w:tblPrEx>
        <w:trPr>
          <w:trHeight w:val="1485"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成本指标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项目成本费用</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≤6800万元</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8202.84万元</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 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宋体" w:hAnsi="宋体" w:cs="宋体"/>
                <w:sz w:val="20"/>
                <w:szCs w:val="20"/>
              </w:rPr>
            </w:pPr>
            <w:r>
              <w:rPr>
                <w:rFonts w:hint="eastAsia" w:ascii="微软雅黑" w:hAnsi="微软雅黑" w:eastAsia="微软雅黑" w:cs="微软雅黑"/>
                <w:sz w:val="18"/>
                <w:szCs w:val="18"/>
              </w:rPr>
              <w:t>年度内在职人员根据通知增发绩效工资补贴，财政对本项目追加预算支出</w:t>
            </w:r>
          </w:p>
        </w:tc>
      </w:tr>
      <w:tr>
        <w:tblPrEx>
          <w:tblCellMar>
            <w:top w:w="15" w:type="dxa"/>
            <w:left w:w="108" w:type="dxa"/>
            <w:bottom w:w="15" w:type="dxa"/>
            <w:right w:w="108" w:type="dxa"/>
          </w:tblCellMar>
        </w:tblPrEx>
        <w:trPr>
          <w:trHeight w:val="425"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项目效益（30分）</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社会效益指标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保障卫健系统离休干部待遇落实</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保障</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保障</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r>
        <w:tblPrEx>
          <w:tblCellMar>
            <w:top w:w="15" w:type="dxa"/>
            <w:left w:w="108" w:type="dxa"/>
            <w:bottom w:w="15" w:type="dxa"/>
            <w:right w:w="108" w:type="dxa"/>
          </w:tblCellMar>
        </w:tblPrEx>
        <w:trPr>
          <w:trHeight w:val="425"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社会效益指标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基层医疗卫生机构服务能力显著提升</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显著</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显著</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r>
        <w:tblPrEx>
          <w:tblCellMar>
            <w:top w:w="15" w:type="dxa"/>
            <w:left w:w="108" w:type="dxa"/>
            <w:bottom w:w="15" w:type="dxa"/>
            <w:right w:w="108" w:type="dxa"/>
          </w:tblCellMar>
        </w:tblPrEx>
        <w:trPr>
          <w:trHeight w:val="425"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可持续影响指标</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国家基本药物制度在基层持续实施</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显著</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显著</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r>
        <w:tblPrEx>
          <w:tblCellMar>
            <w:top w:w="15" w:type="dxa"/>
            <w:left w:w="108" w:type="dxa"/>
            <w:bottom w:w="15" w:type="dxa"/>
            <w:right w:w="108" w:type="dxa"/>
          </w:tblCellMar>
        </w:tblPrEx>
        <w:trPr>
          <w:trHeight w:val="425" w:hRule="atLeast"/>
        </w:trPr>
        <w:tc>
          <w:tcPr>
            <w:tcW w:w="57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c>
          <w:tcPr>
            <w:tcW w:w="7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r>
              <w:rPr>
                <w:rFonts w:hint="eastAsia" w:ascii="宋体" w:hAnsi="宋体" w:eastAsia="宋体" w:cs="宋体"/>
                <w:sz w:val="20"/>
                <w:szCs w:val="20"/>
              </w:rPr>
              <w:t>满意度指标（10分）</w:t>
            </w:r>
          </w:p>
        </w:tc>
        <w:tc>
          <w:tcPr>
            <w:tcW w:w="12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社会公众或服务对象满意度</w:t>
            </w:r>
          </w:p>
        </w:tc>
        <w:tc>
          <w:tcPr>
            <w:tcW w:w="1916"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基层医疗卫生机构职工满意度</w:t>
            </w:r>
          </w:p>
        </w:tc>
        <w:tc>
          <w:tcPr>
            <w:tcW w:w="9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≥90%</w:t>
            </w:r>
          </w:p>
        </w:tc>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kern w:val="2"/>
                <w:sz w:val="18"/>
                <w:szCs w:val="18"/>
              </w:rPr>
              <w:t>96%</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r>
        <w:tblPrEx>
          <w:tblCellMar>
            <w:top w:w="15" w:type="dxa"/>
            <w:left w:w="108" w:type="dxa"/>
            <w:bottom w:w="15" w:type="dxa"/>
            <w:right w:w="108" w:type="dxa"/>
          </w:tblCellMar>
        </w:tblPrEx>
        <w:trPr>
          <w:trHeight w:val="425" w:hRule="atLeast"/>
        </w:trPr>
        <w:tc>
          <w:tcPr>
            <w:tcW w:w="627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总分</w:t>
            </w:r>
          </w:p>
        </w:tc>
        <w:tc>
          <w:tcPr>
            <w:tcW w:w="76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100分</w:t>
            </w:r>
          </w:p>
        </w:tc>
        <w:tc>
          <w:tcPr>
            <w:tcW w:w="85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98.5分</w:t>
            </w:r>
          </w:p>
        </w:tc>
        <w:tc>
          <w:tcPr>
            <w:tcW w:w="157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宋体" w:hAnsi="宋体" w:cs="宋体"/>
                <w:sz w:val="20"/>
                <w:szCs w:val="20"/>
              </w:rPr>
            </w:pPr>
          </w:p>
        </w:tc>
      </w:tr>
    </w:tbl>
    <w:p>
      <w:pPr>
        <w:rPr>
          <w:rFonts w:ascii="宋体" w:hAnsi="宋体" w:cs="宋体"/>
          <w:sz w:val="20"/>
          <w:szCs w:val="20"/>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项目支出绩效自评表</w:t>
      </w:r>
    </w:p>
    <w:p>
      <w:pPr>
        <w:spacing w:line="300" w:lineRule="exact"/>
        <w:jc w:val="center"/>
        <w:rPr>
          <w:rFonts w:ascii="宋体" w:hAnsi="宋体" w:eastAsia="宋体" w:cs="宋体"/>
          <w:sz w:val="18"/>
          <w:szCs w:val="18"/>
        </w:rPr>
      </w:pPr>
      <w:r>
        <w:rPr>
          <w:rFonts w:hint="eastAsia" w:ascii="宋体" w:hAnsi="宋体" w:eastAsia="宋体" w:cs="宋体"/>
          <w:sz w:val="18"/>
          <w:szCs w:val="18"/>
        </w:rPr>
        <w:t>（2022年度）</w:t>
      </w:r>
    </w:p>
    <w:tbl>
      <w:tblPr>
        <w:tblStyle w:val="8"/>
        <w:tblW w:w="9654"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421"/>
        <w:gridCol w:w="1014"/>
        <w:gridCol w:w="86"/>
        <w:gridCol w:w="1025"/>
        <w:gridCol w:w="625"/>
        <w:gridCol w:w="1163"/>
        <w:gridCol w:w="350"/>
        <w:gridCol w:w="887"/>
        <w:gridCol w:w="888"/>
        <w:gridCol w:w="275"/>
        <w:gridCol w:w="412"/>
        <w:gridCol w:w="413"/>
        <w:gridCol w:w="350"/>
        <w:gridCol w:w="937"/>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项目名称</w:t>
            </w:r>
          </w:p>
        </w:tc>
        <w:tc>
          <w:tcPr>
            <w:tcW w:w="8133" w:type="dxa"/>
            <w:gridSpan w:val="12"/>
            <w:vAlign w:val="center"/>
          </w:tcPr>
          <w:p>
            <w:pPr>
              <w:spacing w:line="300" w:lineRule="exact"/>
              <w:jc w:val="left"/>
              <w:rPr>
                <w:rFonts w:ascii="宋体" w:hAnsi="宋体" w:cs="宋体"/>
                <w:sz w:val="18"/>
                <w:szCs w:val="18"/>
              </w:rPr>
            </w:pPr>
            <w:r>
              <w:rPr>
                <w:rFonts w:hint="eastAsia" w:ascii="宋体" w:hAnsi="宋体" w:cs="宋体"/>
                <w:sz w:val="18"/>
                <w:szCs w:val="18"/>
              </w:rPr>
              <w:t>经济困难老年人补贴及孤困儿童基本生活费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主管部门及代码</w:t>
            </w:r>
          </w:p>
        </w:tc>
        <w:tc>
          <w:tcPr>
            <w:tcW w:w="4050" w:type="dxa"/>
            <w:gridSpan w:val="5"/>
            <w:vAlign w:val="center"/>
          </w:tcPr>
          <w:p>
            <w:pPr>
              <w:spacing w:line="30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[403]淄博市临淄区民政局</w:t>
            </w:r>
          </w:p>
        </w:tc>
        <w:tc>
          <w:tcPr>
            <w:tcW w:w="11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实施单位</w:t>
            </w:r>
          </w:p>
        </w:tc>
        <w:tc>
          <w:tcPr>
            <w:tcW w:w="2920" w:type="dxa"/>
            <w:gridSpan w:val="5"/>
            <w:vAlign w:val="center"/>
          </w:tcPr>
          <w:p>
            <w:pPr>
              <w:spacing w:line="30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[403001]淄博市临淄区民政局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项目资金</w:t>
            </w:r>
          </w:p>
          <w:p>
            <w:pPr>
              <w:spacing w:line="300" w:lineRule="exact"/>
              <w:jc w:val="center"/>
              <w:rPr>
                <w:rFonts w:ascii="宋体" w:hAnsi="宋体" w:cs="宋体"/>
                <w:sz w:val="18"/>
                <w:szCs w:val="18"/>
              </w:rPr>
            </w:pPr>
            <w:r>
              <w:rPr>
                <w:rFonts w:hint="eastAsia" w:ascii="宋体" w:hAnsi="宋体" w:cs="宋体"/>
                <w:sz w:val="18"/>
                <w:szCs w:val="18"/>
              </w:rPr>
              <w:t>（万元）</w:t>
            </w:r>
          </w:p>
        </w:tc>
        <w:tc>
          <w:tcPr>
            <w:tcW w:w="1650" w:type="dxa"/>
            <w:gridSpan w:val="2"/>
            <w:vAlign w:val="center"/>
          </w:tcPr>
          <w:p>
            <w:pPr>
              <w:spacing w:line="300" w:lineRule="exact"/>
              <w:jc w:val="center"/>
              <w:rPr>
                <w:rFonts w:ascii="宋体" w:hAnsi="宋体" w:cs="宋体"/>
                <w:sz w:val="18"/>
                <w:szCs w:val="18"/>
              </w:rPr>
            </w:pPr>
          </w:p>
        </w:tc>
        <w:tc>
          <w:tcPr>
            <w:tcW w:w="1163" w:type="dxa"/>
            <w:vAlign w:val="center"/>
          </w:tcPr>
          <w:p>
            <w:pPr>
              <w:spacing w:line="300" w:lineRule="exact"/>
              <w:jc w:val="center"/>
              <w:rPr>
                <w:rFonts w:ascii="宋体" w:hAnsi="宋体" w:cs="宋体"/>
                <w:sz w:val="18"/>
                <w:szCs w:val="18"/>
              </w:rPr>
            </w:pPr>
            <w:r>
              <w:rPr>
                <w:rFonts w:hint="eastAsia" w:ascii="宋体" w:hAnsi="宋体" w:cs="宋体"/>
                <w:sz w:val="18"/>
                <w:szCs w:val="18"/>
              </w:rPr>
              <w:t>年初预算数</w:t>
            </w:r>
          </w:p>
        </w:tc>
        <w:tc>
          <w:tcPr>
            <w:tcW w:w="123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全年预算数</w:t>
            </w:r>
          </w:p>
        </w:tc>
        <w:tc>
          <w:tcPr>
            <w:tcW w:w="1163"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全年执行数</w:t>
            </w:r>
          </w:p>
        </w:tc>
        <w:tc>
          <w:tcPr>
            <w:tcW w:w="825"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分值</w:t>
            </w:r>
          </w:p>
        </w:tc>
        <w:tc>
          <w:tcPr>
            <w:tcW w:w="12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执行率</w:t>
            </w:r>
          </w:p>
        </w:tc>
        <w:tc>
          <w:tcPr>
            <w:tcW w:w="808" w:type="dxa"/>
            <w:vAlign w:val="center"/>
          </w:tcPr>
          <w:p>
            <w:pPr>
              <w:spacing w:line="300" w:lineRule="exact"/>
              <w:jc w:val="center"/>
              <w:rPr>
                <w:rFonts w:ascii="宋体" w:hAnsi="宋体" w:cs="宋体"/>
                <w:sz w:val="18"/>
                <w:szCs w:val="18"/>
              </w:rPr>
            </w:pPr>
            <w:r>
              <w:rPr>
                <w:rFonts w:hint="eastAsia" w:ascii="宋体" w:hAnsi="宋体" w:cs="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continue"/>
            <w:vAlign w:val="center"/>
          </w:tcPr>
          <w:p>
            <w:pPr>
              <w:spacing w:line="300" w:lineRule="exact"/>
              <w:jc w:val="center"/>
              <w:rPr>
                <w:rFonts w:ascii="宋体" w:hAnsi="宋体" w:cs="宋体"/>
                <w:sz w:val="18"/>
                <w:szCs w:val="18"/>
              </w:rPr>
            </w:pPr>
          </w:p>
        </w:tc>
        <w:tc>
          <w:tcPr>
            <w:tcW w:w="1650"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年度资金总额</w:t>
            </w:r>
          </w:p>
        </w:tc>
        <w:tc>
          <w:tcPr>
            <w:tcW w:w="1163" w:type="dxa"/>
            <w:vAlign w:val="center"/>
          </w:tcPr>
          <w:p>
            <w:pPr>
              <w:spacing w:line="300" w:lineRule="exact"/>
              <w:jc w:val="center"/>
              <w:rPr>
                <w:rFonts w:ascii="宋体" w:hAnsi="宋体" w:cs="宋体"/>
                <w:sz w:val="18"/>
                <w:szCs w:val="18"/>
              </w:rPr>
            </w:pPr>
            <w:r>
              <w:rPr>
                <w:rFonts w:ascii="宋体" w:hAnsi="宋体" w:cs="宋体"/>
                <w:sz w:val="18"/>
                <w:szCs w:val="18"/>
              </w:rPr>
              <w:t>120</w:t>
            </w:r>
          </w:p>
        </w:tc>
        <w:tc>
          <w:tcPr>
            <w:tcW w:w="1237" w:type="dxa"/>
            <w:gridSpan w:val="2"/>
            <w:vAlign w:val="center"/>
          </w:tcPr>
          <w:p>
            <w:pPr>
              <w:spacing w:line="300" w:lineRule="exact"/>
              <w:jc w:val="center"/>
              <w:rPr>
                <w:rFonts w:ascii="宋体" w:hAnsi="宋体" w:cs="宋体"/>
                <w:sz w:val="18"/>
                <w:szCs w:val="18"/>
              </w:rPr>
            </w:pPr>
            <w:r>
              <w:rPr>
                <w:rFonts w:ascii="宋体" w:hAnsi="宋体" w:cs="宋体"/>
                <w:sz w:val="18"/>
                <w:szCs w:val="18"/>
              </w:rPr>
              <w:t>165.1</w:t>
            </w:r>
          </w:p>
        </w:tc>
        <w:tc>
          <w:tcPr>
            <w:tcW w:w="1163" w:type="dxa"/>
            <w:gridSpan w:val="2"/>
            <w:vAlign w:val="center"/>
          </w:tcPr>
          <w:p>
            <w:pPr>
              <w:spacing w:line="300" w:lineRule="exact"/>
              <w:jc w:val="center"/>
              <w:rPr>
                <w:rFonts w:ascii="宋体" w:hAnsi="宋体" w:cs="宋体"/>
                <w:sz w:val="18"/>
                <w:szCs w:val="18"/>
              </w:rPr>
            </w:pPr>
            <w:r>
              <w:rPr>
                <w:rFonts w:ascii="宋体" w:hAnsi="宋体" w:cs="宋体"/>
                <w:sz w:val="18"/>
                <w:szCs w:val="18"/>
              </w:rPr>
              <w:t>165.1</w:t>
            </w:r>
          </w:p>
        </w:tc>
        <w:tc>
          <w:tcPr>
            <w:tcW w:w="825"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12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100.00%</w:t>
            </w:r>
          </w:p>
        </w:tc>
        <w:tc>
          <w:tcPr>
            <w:tcW w:w="808" w:type="dxa"/>
            <w:vAlign w:val="center"/>
          </w:tcPr>
          <w:p>
            <w:pPr>
              <w:spacing w:line="300" w:lineRule="exact"/>
              <w:jc w:val="center"/>
              <w:rPr>
                <w:rFonts w:ascii="宋体" w:hAnsi="宋体" w:cs="宋体"/>
                <w:sz w:val="18"/>
                <w:szCs w:val="18"/>
              </w:rPr>
            </w:pPr>
            <w:r>
              <w:rPr>
                <w:rFonts w:hint="eastAsia" w:ascii="宋体" w:hAnsi="宋体" w:cs="宋体"/>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continue"/>
            <w:vAlign w:val="center"/>
          </w:tcPr>
          <w:p>
            <w:pPr>
              <w:spacing w:line="300" w:lineRule="exact"/>
              <w:jc w:val="center"/>
              <w:rPr>
                <w:rFonts w:ascii="宋体" w:hAnsi="宋体" w:cs="宋体"/>
                <w:sz w:val="18"/>
                <w:szCs w:val="18"/>
              </w:rPr>
            </w:pPr>
          </w:p>
        </w:tc>
        <w:tc>
          <w:tcPr>
            <w:tcW w:w="1650"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其中：财政拨款</w:t>
            </w:r>
          </w:p>
        </w:tc>
        <w:tc>
          <w:tcPr>
            <w:tcW w:w="1163" w:type="dxa"/>
            <w:vAlign w:val="center"/>
          </w:tcPr>
          <w:p>
            <w:pPr>
              <w:spacing w:line="300" w:lineRule="exact"/>
              <w:jc w:val="center"/>
              <w:rPr>
                <w:rFonts w:ascii="宋体" w:hAnsi="宋体" w:cs="宋体"/>
                <w:sz w:val="18"/>
                <w:szCs w:val="18"/>
              </w:rPr>
            </w:pPr>
            <w:r>
              <w:rPr>
                <w:rFonts w:ascii="宋体" w:hAnsi="宋体" w:cs="宋体"/>
                <w:sz w:val="18"/>
                <w:szCs w:val="18"/>
              </w:rPr>
              <w:t>120</w:t>
            </w:r>
          </w:p>
        </w:tc>
        <w:tc>
          <w:tcPr>
            <w:tcW w:w="1237" w:type="dxa"/>
            <w:gridSpan w:val="2"/>
            <w:vAlign w:val="center"/>
          </w:tcPr>
          <w:p>
            <w:pPr>
              <w:spacing w:line="300" w:lineRule="exact"/>
              <w:jc w:val="center"/>
              <w:rPr>
                <w:rFonts w:ascii="宋体" w:hAnsi="宋体" w:cs="宋体"/>
                <w:sz w:val="18"/>
                <w:szCs w:val="18"/>
              </w:rPr>
            </w:pPr>
            <w:r>
              <w:rPr>
                <w:rFonts w:ascii="宋体" w:hAnsi="宋体" w:cs="宋体"/>
                <w:sz w:val="18"/>
                <w:szCs w:val="18"/>
              </w:rPr>
              <w:t>165.1</w:t>
            </w:r>
          </w:p>
        </w:tc>
        <w:tc>
          <w:tcPr>
            <w:tcW w:w="1163" w:type="dxa"/>
            <w:gridSpan w:val="2"/>
            <w:vAlign w:val="center"/>
          </w:tcPr>
          <w:p>
            <w:pPr>
              <w:spacing w:line="300" w:lineRule="exact"/>
              <w:jc w:val="center"/>
              <w:rPr>
                <w:rFonts w:ascii="宋体" w:hAnsi="宋体" w:cs="宋体"/>
                <w:sz w:val="18"/>
                <w:szCs w:val="18"/>
              </w:rPr>
            </w:pPr>
            <w:r>
              <w:rPr>
                <w:rFonts w:ascii="宋体" w:hAnsi="宋体" w:cs="宋体"/>
                <w:sz w:val="18"/>
                <w:szCs w:val="18"/>
              </w:rPr>
              <w:t>165.1</w:t>
            </w:r>
          </w:p>
        </w:tc>
        <w:tc>
          <w:tcPr>
            <w:tcW w:w="825"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100.00%</w:t>
            </w:r>
          </w:p>
        </w:tc>
        <w:tc>
          <w:tcPr>
            <w:tcW w:w="808" w:type="dxa"/>
            <w:vAlign w:val="center"/>
          </w:tcPr>
          <w:p>
            <w:pPr>
              <w:spacing w:line="30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continue"/>
            <w:vAlign w:val="center"/>
          </w:tcPr>
          <w:p>
            <w:pPr>
              <w:spacing w:line="300" w:lineRule="exact"/>
              <w:jc w:val="center"/>
              <w:rPr>
                <w:rFonts w:ascii="宋体" w:hAnsi="宋体" w:cs="宋体"/>
                <w:sz w:val="18"/>
                <w:szCs w:val="18"/>
              </w:rPr>
            </w:pPr>
          </w:p>
        </w:tc>
        <w:tc>
          <w:tcPr>
            <w:tcW w:w="1650"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上年结转资金</w:t>
            </w:r>
          </w:p>
        </w:tc>
        <w:tc>
          <w:tcPr>
            <w:tcW w:w="1163" w:type="dxa"/>
            <w:vAlign w:val="center"/>
          </w:tcPr>
          <w:p>
            <w:pPr>
              <w:spacing w:line="300" w:lineRule="exact"/>
              <w:jc w:val="center"/>
              <w:rPr>
                <w:rFonts w:ascii="宋体" w:hAnsi="宋体" w:cs="宋体"/>
                <w:sz w:val="18"/>
                <w:szCs w:val="18"/>
              </w:rPr>
            </w:pPr>
            <w:r>
              <w:rPr>
                <w:rFonts w:hint="eastAsia" w:ascii="宋体" w:hAnsi="宋体" w:cs="宋体"/>
                <w:sz w:val="18"/>
                <w:szCs w:val="18"/>
              </w:rPr>
              <w:t>0</w:t>
            </w:r>
          </w:p>
        </w:tc>
        <w:tc>
          <w:tcPr>
            <w:tcW w:w="123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0</w:t>
            </w:r>
          </w:p>
        </w:tc>
        <w:tc>
          <w:tcPr>
            <w:tcW w:w="1163"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0</w:t>
            </w:r>
          </w:p>
        </w:tc>
        <w:tc>
          <w:tcPr>
            <w:tcW w:w="825"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08" w:type="dxa"/>
            <w:vAlign w:val="center"/>
          </w:tcPr>
          <w:p>
            <w:pPr>
              <w:spacing w:line="30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continue"/>
            <w:vAlign w:val="center"/>
          </w:tcPr>
          <w:p>
            <w:pPr>
              <w:spacing w:line="300" w:lineRule="exact"/>
              <w:jc w:val="center"/>
              <w:rPr>
                <w:rFonts w:ascii="宋体" w:hAnsi="宋体" w:cs="宋体"/>
                <w:sz w:val="18"/>
                <w:szCs w:val="18"/>
              </w:rPr>
            </w:pPr>
          </w:p>
        </w:tc>
        <w:tc>
          <w:tcPr>
            <w:tcW w:w="1650"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其他资金</w:t>
            </w:r>
          </w:p>
        </w:tc>
        <w:tc>
          <w:tcPr>
            <w:tcW w:w="1163" w:type="dxa"/>
            <w:vAlign w:val="center"/>
          </w:tcPr>
          <w:p>
            <w:pPr>
              <w:spacing w:line="300" w:lineRule="exact"/>
              <w:jc w:val="center"/>
              <w:rPr>
                <w:rFonts w:ascii="宋体" w:hAnsi="宋体" w:cs="宋体"/>
                <w:sz w:val="18"/>
                <w:szCs w:val="18"/>
              </w:rPr>
            </w:pPr>
            <w:r>
              <w:rPr>
                <w:rFonts w:hint="eastAsia" w:ascii="宋体" w:hAnsi="宋体" w:cs="宋体"/>
                <w:sz w:val="18"/>
                <w:szCs w:val="18"/>
              </w:rPr>
              <w:t>0</w:t>
            </w:r>
          </w:p>
        </w:tc>
        <w:tc>
          <w:tcPr>
            <w:tcW w:w="123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0</w:t>
            </w:r>
          </w:p>
        </w:tc>
        <w:tc>
          <w:tcPr>
            <w:tcW w:w="1163"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0</w:t>
            </w:r>
          </w:p>
        </w:tc>
        <w:tc>
          <w:tcPr>
            <w:tcW w:w="825"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08" w:type="dxa"/>
            <w:vAlign w:val="center"/>
          </w:tcPr>
          <w:p>
            <w:pPr>
              <w:spacing w:line="30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9654" w:type="dxa"/>
            <w:gridSpan w:val="15"/>
            <w:vAlign w:val="center"/>
          </w:tcPr>
          <w:p>
            <w:pPr>
              <w:spacing w:line="300" w:lineRule="exact"/>
              <w:jc w:val="center"/>
              <w:rPr>
                <w:rFonts w:ascii="宋体" w:hAnsi="宋体" w:cs="宋体"/>
                <w:sz w:val="18"/>
                <w:szCs w:val="18"/>
              </w:rPr>
            </w:pPr>
            <w:r>
              <w:rPr>
                <w:rFonts w:hint="eastAsia" w:ascii="宋体" w:hAnsi="宋体" w:cs="宋体"/>
                <w:sz w:val="18"/>
                <w:szCs w:val="18"/>
              </w:rPr>
              <w:t>项目绩效年度目标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年度总体目标</w:t>
            </w:r>
          </w:p>
        </w:tc>
        <w:tc>
          <w:tcPr>
            <w:tcW w:w="5150" w:type="dxa"/>
            <w:gridSpan w:val="7"/>
            <w:vAlign w:val="center"/>
          </w:tcPr>
          <w:p>
            <w:pPr>
              <w:spacing w:line="300" w:lineRule="exact"/>
              <w:jc w:val="center"/>
              <w:rPr>
                <w:rFonts w:ascii="宋体" w:hAnsi="宋体" w:cs="宋体"/>
                <w:sz w:val="18"/>
                <w:szCs w:val="18"/>
              </w:rPr>
            </w:pPr>
            <w:r>
              <w:rPr>
                <w:rFonts w:hint="eastAsia" w:ascii="宋体" w:hAnsi="宋体" w:cs="宋体"/>
                <w:sz w:val="18"/>
                <w:szCs w:val="18"/>
              </w:rPr>
              <w:t>预期目标</w:t>
            </w:r>
          </w:p>
        </w:tc>
        <w:tc>
          <w:tcPr>
            <w:tcW w:w="4083" w:type="dxa"/>
            <w:gridSpan w:val="7"/>
            <w:vAlign w:val="center"/>
          </w:tcPr>
          <w:p>
            <w:pPr>
              <w:spacing w:line="300" w:lineRule="exact"/>
              <w:jc w:val="center"/>
              <w:rPr>
                <w:rFonts w:ascii="宋体" w:hAnsi="宋体" w:cs="宋体"/>
                <w:sz w:val="18"/>
                <w:szCs w:val="18"/>
              </w:rPr>
            </w:pPr>
            <w:r>
              <w:rPr>
                <w:rFonts w:hint="eastAsia" w:ascii="宋体" w:hAnsi="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05" w:hRule="atLeast"/>
        </w:trPr>
        <w:tc>
          <w:tcPr>
            <w:tcW w:w="421" w:type="dxa"/>
            <w:vMerge w:val="continue"/>
          </w:tcPr>
          <w:p>
            <w:pPr>
              <w:spacing w:line="300" w:lineRule="exact"/>
              <w:rPr>
                <w:rFonts w:ascii="宋体" w:hAnsi="宋体" w:cs="宋体"/>
                <w:sz w:val="18"/>
                <w:szCs w:val="18"/>
              </w:rPr>
            </w:pPr>
          </w:p>
        </w:tc>
        <w:tc>
          <w:tcPr>
            <w:tcW w:w="5150" w:type="dxa"/>
            <w:gridSpan w:val="7"/>
          </w:tcPr>
          <w:p>
            <w:pPr>
              <w:spacing w:line="300" w:lineRule="exact"/>
              <w:rPr>
                <w:rFonts w:ascii="宋体" w:hAnsi="宋体" w:cs="宋体"/>
                <w:sz w:val="18"/>
                <w:szCs w:val="18"/>
              </w:rPr>
            </w:pPr>
            <w:r>
              <w:rPr>
                <w:rFonts w:hint="eastAsia" w:ascii="宋体" w:hAnsi="宋体" w:cs="宋体"/>
                <w:sz w:val="18"/>
                <w:szCs w:val="18"/>
              </w:rPr>
              <w:t>保障经济困难老年人补贴工作顺利进行，孤困儿童基本生活费按时发放。</w:t>
            </w:r>
          </w:p>
        </w:tc>
        <w:tc>
          <w:tcPr>
            <w:tcW w:w="4083" w:type="dxa"/>
            <w:gridSpan w:val="7"/>
          </w:tcPr>
          <w:p>
            <w:pPr>
              <w:spacing w:line="300" w:lineRule="exact"/>
              <w:rPr>
                <w:rFonts w:ascii="宋体" w:hAnsi="宋体" w:cs="宋体"/>
                <w:sz w:val="18"/>
                <w:szCs w:val="18"/>
              </w:rPr>
            </w:pPr>
            <w:r>
              <w:rPr>
                <w:rFonts w:hint="eastAsia" w:ascii="宋体" w:hAnsi="宋体" w:cs="宋体"/>
                <w:sz w:val="18"/>
                <w:szCs w:val="18"/>
              </w:rPr>
              <w:t>截止202</w:t>
            </w:r>
            <w:r>
              <w:rPr>
                <w:rFonts w:ascii="宋体" w:hAnsi="宋体" w:cs="宋体"/>
                <w:sz w:val="18"/>
                <w:szCs w:val="18"/>
              </w:rPr>
              <w:t>2</w:t>
            </w:r>
            <w:r>
              <w:rPr>
                <w:rFonts w:hint="eastAsia" w:ascii="宋体" w:hAnsi="宋体" w:cs="宋体"/>
                <w:sz w:val="18"/>
                <w:szCs w:val="18"/>
              </w:rPr>
              <w:t>年12月我区享受困难经济老年人补贴</w:t>
            </w:r>
            <w:r>
              <w:rPr>
                <w:rFonts w:ascii="宋体" w:hAnsi="宋体" w:cs="宋体"/>
                <w:sz w:val="18"/>
                <w:szCs w:val="18"/>
              </w:rPr>
              <w:t>935</w:t>
            </w:r>
            <w:r>
              <w:rPr>
                <w:rFonts w:hint="eastAsia" w:ascii="宋体" w:hAnsi="宋体" w:cs="宋体"/>
                <w:sz w:val="18"/>
                <w:szCs w:val="18"/>
              </w:rPr>
              <w:t>人，孤儿2</w:t>
            </w:r>
            <w:r>
              <w:rPr>
                <w:rFonts w:ascii="宋体" w:hAnsi="宋体" w:cs="宋体"/>
                <w:sz w:val="18"/>
                <w:szCs w:val="18"/>
              </w:rPr>
              <w:t>8</w:t>
            </w:r>
            <w:r>
              <w:rPr>
                <w:rFonts w:hint="eastAsia" w:ascii="宋体" w:hAnsi="宋体" w:cs="宋体"/>
                <w:sz w:val="18"/>
                <w:szCs w:val="18"/>
              </w:rPr>
              <w:t>人、事实无人抚养儿童7</w:t>
            </w:r>
            <w:r>
              <w:rPr>
                <w:rFonts w:ascii="宋体" w:hAnsi="宋体" w:cs="宋体"/>
                <w:sz w:val="18"/>
                <w:szCs w:val="18"/>
              </w:rPr>
              <w:t>7</w:t>
            </w:r>
            <w:r>
              <w:rPr>
                <w:rFonts w:hint="eastAsia" w:ascii="宋体" w:hAnsi="宋体" w:cs="宋体"/>
                <w:sz w:val="18"/>
                <w:szCs w:val="18"/>
              </w:rPr>
              <w:t>人、受艾滋病影响儿童2</w:t>
            </w:r>
            <w:r>
              <w:rPr>
                <w:rFonts w:ascii="宋体" w:hAnsi="宋体" w:cs="宋体"/>
                <w:sz w:val="18"/>
                <w:szCs w:val="18"/>
              </w:rPr>
              <w:t>6</w:t>
            </w:r>
            <w:r>
              <w:rPr>
                <w:rFonts w:hint="eastAsia" w:ascii="宋体" w:hAnsi="宋体" w:cs="宋体"/>
                <w:sz w:val="18"/>
                <w:szCs w:val="18"/>
              </w:rPr>
              <w:t>人重点困境儿童3人，根据省民政厅、省财政厅提高困难群众补助水平工作安排，经市政府批准，自202</w:t>
            </w:r>
            <w:r>
              <w:rPr>
                <w:rFonts w:ascii="宋体" w:hAnsi="宋体" w:cs="宋体"/>
                <w:sz w:val="18"/>
                <w:szCs w:val="18"/>
              </w:rPr>
              <w:t>2</w:t>
            </w:r>
            <w:r>
              <w:rPr>
                <w:rFonts w:hint="eastAsia" w:ascii="宋体" w:hAnsi="宋体" w:cs="宋体"/>
                <w:sz w:val="18"/>
                <w:szCs w:val="18"/>
              </w:rPr>
              <w:t>年1月起提升补贴标准，并对1-</w:t>
            </w:r>
            <w:r>
              <w:rPr>
                <w:rFonts w:ascii="宋体" w:hAnsi="宋体" w:cs="宋体"/>
                <w:sz w:val="18"/>
                <w:szCs w:val="18"/>
              </w:rPr>
              <w:t>3</w:t>
            </w:r>
            <w:r>
              <w:rPr>
                <w:rFonts w:hint="eastAsia" w:ascii="宋体" w:hAnsi="宋体" w:cs="宋体"/>
                <w:sz w:val="18"/>
                <w:szCs w:val="18"/>
              </w:rPr>
              <w:t>月资金进行补发，全年发放经济困难老年人补贴</w:t>
            </w:r>
            <w:r>
              <w:rPr>
                <w:rFonts w:ascii="宋体" w:hAnsi="宋体" w:cs="宋体"/>
                <w:sz w:val="18"/>
                <w:szCs w:val="18"/>
              </w:rPr>
              <w:t>73.5</w:t>
            </w:r>
            <w:r>
              <w:rPr>
                <w:rFonts w:hint="eastAsia" w:ascii="宋体" w:hAnsi="宋体" w:cs="宋体"/>
                <w:sz w:val="18"/>
                <w:szCs w:val="18"/>
              </w:rPr>
              <w:t xml:space="preserve">万元，孤困儿童基本生活费 </w:t>
            </w:r>
            <w:r>
              <w:rPr>
                <w:rFonts w:ascii="宋体" w:hAnsi="宋体" w:cs="宋体"/>
                <w:sz w:val="18"/>
                <w:szCs w:val="18"/>
              </w:rPr>
              <w:t>91.6</w:t>
            </w:r>
            <w:r>
              <w:rPr>
                <w:rFonts w:hint="eastAsia" w:ascii="宋体" w:hAnsi="宋体" w:cs="宋体"/>
                <w:sz w:val="18"/>
                <w:szCs w:val="18"/>
              </w:rPr>
              <w:t>万元，共计</w:t>
            </w:r>
            <w:r>
              <w:rPr>
                <w:rFonts w:ascii="宋体" w:hAnsi="宋体" w:cs="宋体"/>
                <w:sz w:val="18"/>
                <w:szCs w:val="18"/>
              </w:rPr>
              <w:t>165.1</w:t>
            </w:r>
            <w:r>
              <w:rPr>
                <w:rFonts w:hint="eastAsia" w:ascii="宋体" w:hAnsi="宋体" w:cs="宋体"/>
                <w:sz w:val="18"/>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年度绩效</w:t>
            </w:r>
            <w:r>
              <w:rPr>
                <w:rFonts w:hint="eastAsia" w:ascii="宋体" w:hAnsi="宋体" w:cs="宋体"/>
                <w:sz w:val="18"/>
                <w:szCs w:val="18"/>
              </w:rPr>
              <w:br w:type="textWrapping"/>
            </w:r>
            <w:r>
              <w:rPr>
                <w:rFonts w:hint="eastAsia" w:ascii="宋体" w:hAnsi="宋体" w:cs="宋体"/>
                <w:sz w:val="18"/>
                <w:szCs w:val="18"/>
              </w:rPr>
              <w:t>指标（90分）</w:t>
            </w:r>
          </w:p>
        </w:tc>
        <w:tc>
          <w:tcPr>
            <w:tcW w:w="1014" w:type="dxa"/>
            <w:vAlign w:val="center"/>
          </w:tcPr>
          <w:p>
            <w:pPr>
              <w:spacing w:line="300" w:lineRule="exact"/>
              <w:jc w:val="center"/>
              <w:rPr>
                <w:rFonts w:ascii="宋体" w:hAnsi="宋体" w:cs="宋体"/>
                <w:sz w:val="18"/>
                <w:szCs w:val="18"/>
              </w:rPr>
            </w:pPr>
            <w:r>
              <w:rPr>
                <w:rFonts w:hint="eastAsia" w:ascii="宋体" w:hAnsi="宋体" w:cs="宋体"/>
                <w:sz w:val="18"/>
                <w:szCs w:val="18"/>
              </w:rPr>
              <w:t>一级指标</w:t>
            </w:r>
          </w:p>
        </w:tc>
        <w:tc>
          <w:tcPr>
            <w:tcW w:w="1111"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二级指标</w:t>
            </w:r>
          </w:p>
        </w:tc>
        <w:tc>
          <w:tcPr>
            <w:tcW w:w="2138"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三级指标</w:t>
            </w:r>
          </w:p>
        </w:tc>
        <w:tc>
          <w:tcPr>
            <w:tcW w:w="887" w:type="dxa"/>
            <w:vAlign w:val="center"/>
          </w:tcPr>
          <w:p>
            <w:pPr>
              <w:pStyle w:val="10"/>
              <w:widowControl/>
              <w:spacing w:before="128" w:line="213" w:lineRule="exact"/>
              <w:ind w:right="53"/>
              <w:jc w:val="center"/>
              <w:rPr>
                <w:rFonts w:hint="default" w:cs="宋体"/>
                <w:sz w:val="18"/>
                <w:szCs w:val="18"/>
              </w:rPr>
            </w:pPr>
            <w:r>
              <w:rPr>
                <w:rFonts w:cs="宋体"/>
                <w:sz w:val="18"/>
                <w:szCs w:val="18"/>
              </w:rPr>
              <w:t>年度指标值</w:t>
            </w:r>
          </w:p>
        </w:tc>
        <w:tc>
          <w:tcPr>
            <w:tcW w:w="888" w:type="dxa"/>
            <w:vAlign w:val="center"/>
          </w:tcPr>
          <w:p>
            <w:pPr>
              <w:spacing w:line="300" w:lineRule="exact"/>
              <w:jc w:val="center"/>
              <w:rPr>
                <w:rFonts w:ascii="宋体" w:hAnsi="宋体" w:cs="宋体"/>
                <w:sz w:val="18"/>
                <w:szCs w:val="18"/>
              </w:rPr>
            </w:pPr>
            <w:r>
              <w:rPr>
                <w:rFonts w:hint="eastAsia" w:ascii="宋体" w:hAnsi="宋体" w:cs="宋体"/>
                <w:sz w:val="18"/>
                <w:szCs w:val="18"/>
              </w:rPr>
              <w:t>实际完成值</w:t>
            </w:r>
          </w:p>
        </w:tc>
        <w:tc>
          <w:tcPr>
            <w:tcW w:w="6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分值</w:t>
            </w:r>
          </w:p>
        </w:tc>
        <w:tc>
          <w:tcPr>
            <w:tcW w:w="763"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得分</w:t>
            </w:r>
          </w:p>
        </w:tc>
        <w:tc>
          <w:tcPr>
            <w:tcW w:w="1745"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tcPr>
          <w:p>
            <w:pPr>
              <w:spacing w:line="300" w:lineRule="exact"/>
              <w:rPr>
                <w:rFonts w:ascii="宋体" w:hAnsi="宋体" w:cs="宋体"/>
                <w:sz w:val="18"/>
                <w:szCs w:val="18"/>
              </w:rPr>
            </w:pPr>
          </w:p>
        </w:tc>
        <w:tc>
          <w:tcPr>
            <w:tcW w:w="1014"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产出指标（50分）</w:t>
            </w:r>
          </w:p>
        </w:tc>
        <w:tc>
          <w:tcPr>
            <w:tcW w:w="1111"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数量指标</w:t>
            </w:r>
          </w:p>
        </w:tc>
        <w:tc>
          <w:tcPr>
            <w:tcW w:w="2138"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纳入保障范围率</w:t>
            </w:r>
          </w:p>
        </w:tc>
        <w:tc>
          <w:tcPr>
            <w:tcW w:w="887" w:type="dxa"/>
            <w:vAlign w:val="center"/>
          </w:tcPr>
          <w:p>
            <w:pPr>
              <w:spacing w:line="300" w:lineRule="exact"/>
              <w:jc w:val="center"/>
              <w:rPr>
                <w:rFonts w:ascii="宋体" w:hAnsi="宋体" w:cs="宋体"/>
                <w:sz w:val="18"/>
                <w:szCs w:val="18"/>
              </w:rPr>
            </w:pPr>
            <w:r>
              <w:rPr>
                <w:rFonts w:hint="eastAsia" w:ascii="宋体" w:hAnsi="宋体" w:cs="宋体"/>
                <w:sz w:val="18"/>
                <w:szCs w:val="18"/>
              </w:rPr>
              <w:t>9</w:t>
            </w:r>
            <w:r>
              <w:rPr>
                <w:rFonts w:ascii="宋体" w:hAnsi="宋体" w:cs="宋体"/>
                <w:sz w:val="18"/>
                <w:szCs w:val="18"/>
              </w:rPr>
              <w:t>0</w:t>
            </w:r>
            <w:r>
              <w:rPr>
                <w:rFonts w:hint="eastAsia" w:ascii="宋体" w:hAnsi="宋体" w:cs="宋体"/>
                <w:sz w:val="18"/>
                <w:szCs w:val="18"/>
              </w:rPr>
              <w:t>%</w:t>
            </w:r>
          </w:p>
        </w:tc>
        <w:tc>
          <w:tcPr>
            <w:tcW w:w="888" w:type="dxa"/>
            <w:vAlign w:val="center"/>
          </w:tcPr>
          <w:p>
            <w:pPr>
              <w:spacing w:line="300" w:lineRule="exact"/>
              <w:jc w:val="center"/>
              <w:rPr>
                <w:rFonts w:ascii="宋体" w:hAnsi="宋体" w:cs="宋体"/>
                <w:sz w:val="18"/>
                <w:szCs w:val="18"/>
              </w:rPr>
            </w:pPr>
            <w:r>
              <w:rPr>
                <w:rFonts w:ascii="宋体" w:hAnsi="宋体" w:cs="宋体"/>
                <w:sz w:val="18"/>
                <w:szCs w:val="18"/>
              </w:rPr>
              <w:t>100</w:t>
            </w:r>
            <w:r>
              <w:rPr>
                <w:rFonts w:hint="eastAsia" w:ascii="宋体" w:hAnsi="宋体" w:cs="宋体"/>
                <w:sz w:val="18"/>
                <w:szCs w:val="18"/>
              </w:rPr>
              <w:t>%</w:t>
            </w:r>
          </w:p>
        </w:tc>
        <w:tc>
          <w:tcPr>
            <w:tcW w:w="687" w:type="dxa"/>
            <w:gridSpan w:val="2"/>
            <w:vAlign w:val="center"/>
          </w:tcPr>
          <w:p>
            <w:pPr>
              <w:spacing w:line="300" w:lineRule="exact"/>
              <w:jc w:val="center"/>
              <w:rPr>
                <w:rFonts w:ascii="宋体" w:hAnsi="宋体" w:cs="宋体"/>
                <w:sz w:val="18"/>
                <w:szCs w:val="18"/>
              </w:rPr>
            </w:pPr>
            <w:r>
              <w:rPr>
                <w:rFonts w:ascii="宋体" w:hAnsi="宋体" w:cs="宋体"/>
                <w:sz w:val="18"/>
                <w:szCs w:val="18"/>
              </w:rPr>
              <w:t>10</w:t>
            </w:r>
          </w:p>
        </w:tc>
        <w:tc>
          <w:tcPr>
            <w:tcW w:w="763" w:type="dxa"/>
            <w:gridSpan w:val="2"/>
            <w:vAlign w:val="center"/>
          </w:tcPr>
          <w:p>
            <w:pPr>
              <w:spacing w:line="300" w:lineRule="exact"/>
              <w:jc w:val="center"/>
              <w:rPr>
                <w:rFonts w:ascii="宋体" w:hAnsi="宋体" w:cs="宋体"/>
                <w:sz w:val="18"/>
                <w:szCs w:val="18"/>
              </w:rPr>
            </w:pPr>
            <w:r>
              <w:rPr>
                <w:rFonts w:ascii="宋体" w:hAnsi="宋体" w:cs="宋体"/>
                <w:sz w:val="18"/>
                <w:szCs w:val="18"/>
              </w:rPr>
              <w:t>10</w:t>
            </w:r>
          </w:p>
        </w:tc>
        <w:tc>
          <w:tcPr>
            <w:tcW w:w="1745" w:type="dxa"/>
            <w:gridSpan w:val="2"/>
            <w:vAlign w:val="center"/>
          </w:tcPr>
          <w:p>
            <w:pPr>
              <w:spacing w:line="30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tcPr>
          <w:p>
            <w:pPr>
              <w:spacing w:line="300" w:lineRule="exact"/>
              <w:rPr>
                <w:rFonts w:ascii="宋体" w:hAnsi="宋体" w:cs="宋体"/>
                <w:sz w:val="18"/>
                <w:szCs w:val="18"/>
              </w:rPr>
            </w:pPr>
          </w:p>
        </w:tc>
        <w:tc>
          <w:tcPr>
            <w:tcW w:w="1014" w:type="dxa"/>
            <w:vMerge w:val="continue"/>
            <w:vAlign w:val="center"/>
          </w:tcPr>
          <w:p>
            <w:pPr>
              <w:spacing w:line="300" w:lineRule="exact"/>
              <w:jc w:val="center"/>
              <w:rPr>
                <w:rFonts w:ascii="宋体" w:hAnsi="宋体" w:cs="宋体"/>
                <w:sz w:val="18"/>
                <w:szCs w:val="18"/>
              </w:rPr>
            </w:pPr>
          </w:p>
        </w:tc>
        <w:tc>
          <w:tcPr>
            <w:tcW w:w="1111"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质量指标</w:t>
            </w:r>
          </w:p>
        </w:tc>
        <w:tc>
          <w:tcPr>
            <w:tcW w:w="2138"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资金足额发放率</w:t>
            </w:r>
          </w:p>
        </w:tc>
        <w:tc>
          <w:tcPr>
            <w:tcW w:w="887" w:type="dxa"/>
            <w:vAlign w:val="center"/>
          </w:tcPr>
          <w:p>
            <w:pPr>
              <w:spacing w:line="300" w:lineRule="exact"/>
              <w:jc w:val="center"/>
              <w:rPr>
                <w:rFonts w:ascii="宋体" w:hAnsi="宋体" w:cs="宋体"/>
                <w:sz w:val="18"/>
                <w:szCs w:val="18"/>
              </w:rPr>
            </w:pPr>
            <w:r>
              <w:rPr>
                <w:rFonts w:ascii="宋体" w:hAnsi="宋体" w:cs="宋体"/>
                <w:sz w:val="18"/>
                <w:szCs w:val="18"/>
              </w:rPr>
              <w:t>100%</w:t>
            </w:r>
          </w:p>
        </w:tc>
        <w:tc>
          <w:tcPr>
            <w:tcW w:w="888" w:type="dxa"/>
            <w:vAlign w:val="center"/>
          </w:tcPr>
          <w:p>
            <w:pPr>
              <w:spacing w:line="300" w:lineRule="exact"/>
              <w:jc w:val="center"/>
              <w:rPr>
                <w:rFonts w:ascii="宋体" w:hAnsi="宋体" w:cs="宋体"/>
                <w:sz w:val="18"/>
                <w:szCs w:val="18"/>
              </w:rPr>
            </w:pPr>
            <w:r>
              <w:rPr>
                <w:rFonts w:ascii="宋体" w:hAnsi="宋体" w:cs="宋体"/>
                <w:sz w:val="18"/>
                <w:szCs w:val="18"/>
              </w:rPr>
              <w:t>100%</w:t>
            </w:r>
          </w:p>
        </w:tc>
        <w:tc>
          <w:tcPr>
            <w:tcW w:w="687" w:type="dxa"/>
            <w:gridSpan w:val="2"/>
            <w:vAlign w:val="center"/>
          </w:tcPr>
          <w:p>
            <w:pPr>
              <w:spacing w:line="300" w:lineRule="exact"/>
              <w:jc w:val="center"/>
              <w:rPr>
                <w:rFonts w:ascii="宋体" w:hAnsi="宋体" w:cs="宋体"/>
                <w:sz w:val="18"/>
                <w:szCs w:val="18"/>
              </w:rPr>
            </w:pPr>
            <w:r>
              <w:rPr>
                <w:rFonts w:ascii="宋体" w:hAnsi="宋体" w:cs="宋体"/>
                <w:sz w:val="18"/>
                <w:szCs w:val="18"/>
              </w:rPr>
              <w:t>10</w:t>
            </w:r>
          </w:p>
        </w:tc>
        <w:tc>
          <w:tcPr>
            <w:tcW w:w="763" w:type="dxa"/>
            <w:gridSpan w:val="2"/>
            <w:vAlign w:val="center"/>
          </w:tcPr>
          <w:p>
            <w:pPr>
              <w:spacing w:line="300" w:lineRule="exact"/>
              <w:jc w:val="center"/>
              <w:rPr>
                <w:rFonts w:ascii="宋体" w:hAnsi="宋体" w:cs="宋体"/>
                <w:sz w:val="18"/>
                <w:szCs w:val="18"/>
              </w:rPr>
            </w:pPr>
            <w:r>
              <w:rPr>
                <w:rFonts w:ascii="宋体" w:hAnsi="宋体" w:cs="宋体"/>
                <w:sz w:val="18"/>
                <w:szCs w:val="18"/>
              </w:rPr>
              <w:t>10</w:t>
            </w:r>
          </w:p>
        </w:tc>
        <w:tc>
          <w:tcPr>
            <w:tcW w:w="1745" w:type="dxa"/>
            <w:gridSpan w:val="2"/>
            <w:vAlign w:val="center"/>
          </w:tcPr>
          <w:p>
            <w:pPr>
              <w:spacing w:line="30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tcPr>
          <w:p>
            <w:pPr>
              <w:spacing w:line="300" w:lineRule="exact"/>
              <w:rPr>
                <w:rFonts w:ascii="宋体" w:hAnsi="宋体" w:cs="宋体"/>
                <w:sz w:val="18"/>
                <w:szCs w:val="18"/>
              </w:rPr>
            </w:pPr>
          </w:p>
        </w:tc>
        <w:tc>
          <w:tcPr>
            <w:tcW w:w="1014" w:type="dxa"/>
            <w:vMerge w:val="continue"/>
            <w:vAlign w:val="center"/>
          </w:tcPr>
          <w:p>
            <w:pPr>
              <w:spacing w:line="300" w:lineRule="exact"/>
              <w:jc w:val="center"/>
              <w:rPr>
                <w:rFonts w:ascii="宋体" w:hAnsi="宋体" w:cs="宋体"/>
                <w:sz w:val="18"/>
                <w:szCs w:val="18"/>
              </w:rPr>
            </w:pPr>
          </w:p>
        </w:tc>
        <w:tc>
          <w:tcPr>
            <w:tcW w:w="1111"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时效指标</w:t>
            </w:r>
          </w:p>
        </w:tc>
        <w:tc>
          <w:tcPr>
            <w:tcW w:w="2138"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项目经费发放发放率</w:t>
            </w:r>
          </w:p>
        </w:tc>
        <w:tc>
          <w:tcPr>
            <w:tcW w:w="887" w:type="dxa"/>
            <w:vAlign w:val="center"/>
          </w:tcPr>
          <w:p>
            <w:pPr>
              <w:spacing w:line="300" w:lineRule="exact"/>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00%</w:t>
            </w:r>
          </w:p>
        </w:tc>
        <w:tc>
          <w:tcPr>
            <w:tcW w:w="888"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6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10.00</w:t>
            </w:r>
          </w:p>
        </w:tc>
        <w:tc>
          <w:tcPr>
            <w:tcW w:w="763"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10</w:t>
            </w:r>
          </w:p>
        </w:tc>
        <w:tc>
          <w:tcPr>
            <w:tcW w:w="1745" w:type="dxa"/>
            <w:gridSpan w:val="2"/>
            <w:vAlign w:val="center"/>
          </w:tcPr>
          <w:p>
            <w:pPr>
              <w:spacing w:line="30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tcPr>
          <w:p>
            <w:pPr>
              <w:spacing w:line="300" w:lineRule="exact"/>
              <w:rPr>
                <w:rFonts w:ascii="宋体" w:hAnsi="宋体" w:cs="宋体"/>
                <w:sz w:val="18"/>
                <w:szCs w:val="18"/>
              </w:rPr>
            </w:pPr>
          </w:p>
        </w:tc>
        <w:tc>
          <w:tcPr>
            <w:tcW w:w="1014" w:type="dxa"/>
            <w:vMerge w:val="continue"/>
            <w:vAlign w:val="center"/>
          </w:tcPr>
          <w:p>
            <w:pPr>
              <w:spacing w:line="300" w:lineRule="exact"/>
              <w:jc w:val="center"/>
              <w:rPr>
                <w:rFonts w:ascii="宋体" w:hAnsi="宋体" w:cs="宋体"/>
                <w:sz w:val="18"/>
                <w:szCs w:val="18"/>
              </w:rPr>
            </w:pPr>
          </w:p>
        </w:tc>
        <w:tc>
          <w:tcPr>
            <w:tcW w:w="1111"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质量指标</w:t>
            </w:r>
          </w:p>
        </w:tc>
        <w:tc>
          <w:tcPr>
            <w:tcW w:w="2138"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资金足额发放率</w:t>
            </w:r>
          </w:p>
        </w:tc>
        <w:tc>
          <w:tcPr>
            <w:tcW w:w="887"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888"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687" w:type="dxa"/>
            <w:gridSpan w:val="2"/>
            <w:vAlign w:val="center"/>
          </w:tcPr>
          <w:p>
            <w:pPr>
              <w:spacing w:line="300" w:lineRule="exact"/>
              <w:jc w:val="center"/>
              <w:rPr>
                <w:rFonts w:ascii="宋体" w:hAnsi="宋体" w:cs="宋体"/>
                <w:sz w:val="18"/>
                <w:szCs w:val="18"/>
              </w:rPr>
            </w:pPr>
            <w:r>
              <w:rPr>
                <w:rFonts w:ascii="宋体" w:hAnsi="宋体" w:cs="宋体"/>
                <w:sz w:val="18"/>
                <w:szCs w:val="18"/>
              </w:rPr>
              <w:t>10</w:t>
            </w:r>
          </w:p>
        </w:tc>
        <w:tc>
          <w:tcPr>
            <w:tcW w:w="763" w:type="dxa"/>
            <w:gridSpan w:val="2"/>
            <w:vAlign w:val="center"/>
          </w:tcPr>
          <w:p>
            <w:pPr>
              <w:spacing w:line="300" w:lineRule="exact"/>
              <w:jc w:val="center"/>
              <w:rPr>
                <w:rFonts w:ascii="宋体" w:hAnsi="宋体" w:cs="宋体"/>
                <w:sz w:val="18"/>
                <w:szCs w:val="18"/>
              </w:rPr>
            </w:pPr>
            <w:r>
              <w:rPr>
                <w:rFonts w:ascii="宋体" w:hAnsi="宋体" w:cs="宋体"/>
                <w:sz w:val="18"/>
                <w:szCs w:val="18"/>
              </w:rPr>
              <w:t>10</w:t>
            </w:r>
          </w:p>
        </w:tc>
        <w:tc>
          <w:tcPr>
            <w:tcW w:w="1745" w:type="dxa"/>
            <w:gridSpan w:val="2"/>
            <w:vAlign w:val="center"/>
          </w:tcPr>
          <w:p>
            <w:pPr>
              <w:spacing w:line="30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tcPr>
          <w:p>
            <w:pPr>
              <w:spacing w:line="300" w:lineRule="exact"/>
              <w:rPr>
                <w:rFonts w:ascii="宋体" w:hAnsi="宋体" w:cs="宋体"/>
                <w:sz w:val="18"/>
                <w:szCs w:val="18"/>
              </w:rPr>
            </w:pPr>
          </w:p>
        </w:tc>
        <w:tc>
          <w:tcPr>
            <w:tcW w:w="1014" w:type="dxa"/>
            <w:vMerge w:val="continue"/>
            <w:vAlign w:val="center"/>
          </w:tcPr>
          <w:p>
            <w:pPr>
              <w:spacing w:line="300" w:lineRule="exact"/>
              <w:jc w:val="center"/>
              <w:rPr>
                <w:rFonts w:ascii="宋体" w:hAnsi="宋体" w:cs="宋体"/>
                <w:sz w:val="18"/>
                <w:szCs w:val="18"/>
              </w:rPr>
            </w:pPr>
          </w:p>
        </w:tc>
        <w:tc>
          <w:tcPr>
            <w:tcW w:w="1111"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成本指标</w:t>
            </w:r>
          </w:p>
        </w:tc>
        <w:tc>
          <w:tcPr>
            <w:tcW w:w="2138"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预算费用</w:t>
            </w:r>
          </w:p>
        </w:tc>
        <w:tc>
          <w:tcPr>
            <w:tcW w:w="887" w:type="dxa"/>
            <w:vAlign w:val="center"/>
          </w:tcPr>
          <w:p>
            <w:pPr>
              <w:spacing w:line="300" w:lineRule="exact"/>
              <w:jc w:val="center"/>
              <w:rPr>
                <w:rFonts w:ascii="宋体" w:hAnsi="宋体" w:eastAsia="宋体" w:cs="宋体"/>
                <w:sz w:val="18"/>
                <w:szCs w:val="18"/>
              </w:rPr>
            </w:pPr>
            <w:r>
              <w:rPr>
                <w:rFonts w:hint="eastAsia" w:ascii="宋体" w:hAnsi="宋体" w:cs="宋体"/>
                <w:sz w:val="18"/>
                <w:szCs w:val="18"/>
              </w:rPr>
              <w:t>≤1</w:t>
            </w:r>
            <w:r>
              <w:rPr>
                <w:rFonts w:ascii="宋体" w:hAnsi="宋体" w:cs="宋体"/>
                <w:sz w:val="18"/>
                <w:szCs w:val="18"/>
              </w:rPr>
              <w:t>20</w:t>
            </w:r>
            <w:r>
              <w:rPr>
                <w:rFonts w:hint="eastAsia" w:ascii="宋体" w:hAnsi="宋体" w:cs="宋体"/>
                <w:sz w:val="18"/>
                <w:szCs w:val="18"/>
              </w:rPr>
              <w:t>万元</w:t>
            </w:r>
          </w:p>
        </w:tc>
        <w:tc>
          <w:tcPr>
            <w:tcW w:w="888" w:type="dxa"/>
            <w:vAlign w:val="center"/>
          </w:tcPr>
          <w:p>
            <w:pPr>
              <w:spacing w:line="300" w:lineRule="exact"/>
              <w:jc w:val="center"/>
              <w:rPr>
                <w:rFonts w:ascii="宋体" w:hAnsi="宋体" w:eastAsia="宋体" w:cs="宋体"/>
                <w:sz w:val="18"/>
                <w:szCs w:val="18"/>
              </w:rPr>
            </w:pPr>
            <w:r>
              <w:rPr>
                <w:rFonts w:hint="eastAsia" w:ascii="宋体" w:hAnsi="宋体" w:cs="宋体"/>
                <w:sz w:val="18"/>
                <w:szCs w:val="18"/>
              </w:rPr>
              <w:t>1</w:t>
            </w:r>
            <w:r>
              <w:rPr>
                <w:rFonts w:ascii="宋体" w:hAnsi="宋体" w:cs="宋体"/>
                <w:sz w:val="18"/>
                <w:szCs w:val="18"/>
              </w:rPr>
              <w:t>65.1</w:t>
            </w:r>
            <w:r>
              <w:rPr>
                <w:rFonts w:hint="eastAsia" w:ascii="宋体" w:hAnsi="宋体" w:cs="宋体"/>
                <w:sz w:val="18"/>
                <w:szCs w:val="18"/>
              </w:rPr>
              <w:t>万元</w:t>
            </w:r>
          </w:p>
        </w:tc>
        <w:tc>
          <w:tcPr>
            <w:tcW w:w="6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10.00</w:t>
            </w:r>
          </w:p>
        </w:tc>
        <w:tc>
          <w:tcPr>
            <w:tcW w:w="763" w:type="dxa"/>
            <w:gridSpan w:val="2"/>
            <w:vAlign w:val="center"/>
          </w:tcPr>
          <w:p>
            <w:pPr>
              <w:spacing w:line="300" w:lineRule="exact"/>
              <w:jc w:val="center"/>
              <w:rPr>
                <w:rFonts w:ascii="宋体" w:hAnsi="宋体" w:cs="宋体"/>
                <w:sz w:val="18"/>
                <w:szCs w:val="18"/>
              </w:rPr>
            </w:pPr>
            <w:r>
              <w:rPr>
                <w:rFonts w:ascii="宋体" w:hAnsi="宋体" w:cs="宋体"/>
                <w:sz w:val="18"/>
                <w:szCs w:val="18"/>
              </w:rPr>
              <w:t>8</w:t>
            </w:r>
          </w:p>
        </w:tc>
        <w:tc>
          <w:tcPr>
            <w:tcW w:w="1745"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因为202</w:t>
            </w:r>
            <w:r>
              <w:rPr>
                <w:rFonts w:ascii="宋体" w:hAnsi="宋体" w:cs="宋体"/>
                <w:sz w:val="18"/>
                <w:szCs w:val="18"/>
              </w:rPr>
              <w:t>2</w:t>
            </w:r>
            <w:r>
              <w:rPr>
                <w:rFonts w:hint="eastAsia" w:ascii="宋体" w:hAnsi="宋体" w:cs="宋体"/>
                <w:sz w:val="18"/>
                <w:szCs w:val="18"/>
              </w:rPr>
              <w:t>年对补贴进行提标，并补发1-</w:t>
            </w:r>
            <w:r>
              <w:rPr>
                <w:rFonts w:ascii="宋体" w:hAnsi="宋体" w:cs="宋体"/>
                <w:sz w:val="18"/>
                <w:szCs w:val="18"/>
              </w:rPr>
              <w:t>3</w:t>
            </w:r>
            <w:r>
              <w:rPr>
                <w:rFonts w:hint="eastAsia" w:ascii="宋体" w:hAnsi="宋体" w:cs="宋体"/>
                <w:sz w:val="18"/>
                <w:szCs w:val="18"/>
              </w:rPr>
              <w:t>月资金。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tcPr>
          <w:p>
            <w:pPr>
              <w:spacing w:line="300" w:lineRule="exact"/>
              <w:rPr>
                <w:rFonts w:ascii="宋体" w:hAnsi="宋体" w:cs="宋体"/>
                <w:sz w:val="18"/>
                <w:szCs w:val="18"/>
              </w:rPr>
            </w:pPr>
          </w:p>
        </w:tc>
        <w:tc>
          <w:tcPr>
            <w:tcW w:w="1014"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效益指标（3</w:t>
            </w:r>
            <w:r>
              <w:rPr>
                <w:rFonts w:ascii="宋体" w:hAnsi="宋体" w:cs="宋体"/>
                <w:sz w:val="18"/>
                <w:szCs w:val="18"/>
              </w:rPr>
              <w:t>0</w:t>
            </w:r>
            <w:r>
              <w:rPr>
                <w:rFonts w:hint="eastAsia" w:ascii="宋体" w:hAnsi="宋体" w:cs="宋体"/>
                <w:sz w:val="18"/>
                <w:szCs w:val="18"/>
              </w:rPr>
              <w:t>）</w:t>
            </w:r>
          </w:p>
        </w:tc>
        <w:tc>
          <w:tcPr>
            <w:tcW w:w="1111"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社会效益</w:t>
            </w:r>
          </w:p>
        </w:tc>
        <w:tc>
          <w:tcPr>
            <w:tcW w:w="2138"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补助政策知晓率</w:t>
            </w:r>
          </w:p>
        </w:tc>
        <w:tc>
          <w:tcPr>
            <w:tcW w:w="887"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888"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687" w:type="dxa"/>
            <w:gridSpan w:val="2"/>
            <w:vAlign w:val="center"/>
          </w:tcPr>
          <w:p>
            <w:pPr>
              <w:spacing w:line="300" w:lineRule="exact"/>
              <w:jc w:val="center"/>
              <w:rPr>
                <w:rFonts w:ascii="宋体" w:hAnsi="宋体" w:cs="宋体"/>
                <w:sz w:val="18"/>
                <w:szCs w:val="18"/>
              </w:rPr>
            </w:pPr>
            <w:r>
              <w:rPr>
                <w:rFonts w:ascii="宋体" w:hAnsi="宋体" w:cs="宋体"/>
                <w:sz w:val="18"/>
                <w:szCs w:val="18"/>
              </w:rPr>
              <w:t>10</w:t>
            </w:r>
          </w:p>
        </w:tc>
        <w:tc>
          <w:tcPr>
            <w:tcW w:w="763" w:type="dxa"/>
            <w:gridSpan w:val="2"/>
            <w:vAlign w:val="center"/>
          </w:tcPr>
          <w:p>
            <w:pPr>
              <w:spacing w:line="300" w:lineRule="exact"/>
              <w:jc w:val="center"/>
              <w:rPr>
                <w:rFonts w:ascii="宋体" w:hAnsi="宋体" w:cs="宋体"/>
                <w:sz w:val="18"/>
                <w:szCs w:val="18"/>
              </w:rPr>
            </w:pPr>
            <w:r>
              <w:rPr>
                <w:rFonts w:ascii="宋体" w:hAnsi="宋体" w:cs="宋体"/>
                <w:sz w:val="18"/>
                <w:szCs w:val="18"/>
              </w:rPr>
              <w:t>10</w:t>
            </w:r>
          </w:p>
        </w:tc>
        <w:tc>
          <w:tcPr>
            <w:tcW w:w="1745" w:type="dxa"/>
            <w:gridSpan w:val="2"/>
            <w:vAlign w:val="center"/>
          </w:tcPr>
          <w:p>
            <w:pPr>
              <w:spacing w:line="30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tcPr>
          <w:p>
            <w:pPr>
              <w:spacing w:line="300" w:lineRule="exact"/>
              <w:rPr>
                <w:rFonts w:ascii="宋体" w:hAnsi="宋体" w:cs="宋体"/>
                <w:sz w:val="18"/>
                <w:szCs w:val="18"/>
              </w:rPr>
            </w:pPr>
          </w:p>
        </w:tc>
        <w:tc>
          <w:tcPr>
            <w:tcW w:w="1014" w:type="dxa"/>
            <w:vMerge w:val="continue"/>
            <w:vAlign w:val="center"/>
          </w:tcPr>
          <w:p>
            <w:pPr>
              <w:spacing w:line="300" w:lineRule="exact"/>
              <w:jc w:val="center"/>
              <w:rPr>
                <w:rFonts w:ascii="宋体" w:hAnsi="宋体" w:cs="宋体"/>
                <w:sz w:val="18"/>
                <w:szCs w:val="18"/>
              </w:rPr>
            </w:pPr>
          </w:p>
        </w:tc>
        <w:tc>
          <w:tcPr>
            <w:tcW w:w="1111"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可持续影响</w:t>
            </w:r>
          </w:p>
        </w:tc>
        <w:tc>
          <w:tcPr>
            <w:tcW w:w="2138"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孤儿、经济困难老年人保障制度</w:t>
            </w:r>
          </w:p>
        </w:tc>
        <w:tc>
          <w:tcPr>
            <w:tcW w:w="887" w:type="dxa"/>
            <w:vAlign w:val="center"/>
          </w:tcPr>
          <w:p>
            <w:pPr>
              <w:spacing w:line="300" w:lineRule="exact"/>
              <w:jc w:val="center"/>
              <w:rPr>
                <w:rFonts w:ascii="宋体" w:hAnsi="宋体" w:cs="宋体"/>
                <w:sz w:val="18"/>
                <w:szCs w:val="18"/>
              </w:rPr>
            </w:pPr>
            <w:r>
              <w:rPr>
                <w:rFonts w:hint="eastAsia" w:ascii="宋体" w:hAnsi="宋体" w:cs="宋体"/>
                <w:sz w:val="18"/>
                <w:szCs w:val="18"/>
              </w:rPr>
              <w:t>健全</w:t>
            </w:r>
          </w:p>
        </w:tc>
        <w:tc>
          <w:tcPr>
            <w:tcW w:w="888" w:type="dxa"/>
            <w:vAlign w:val="center"/>
          </w:tcPr>
          <w:p>
            <w:pPr>
              <w:spacing w:line="300" w:lineRule="exact"/>
              <w:jc w:val="center"/>
              <w:rPr>
                <w:rFonts w:ascii="宋体" w:hAnsi="宋体" w:cs="宋体"/>
                <w:sz w:val="18"/>
                <w:szCs w:val="18"/>
              </w:rPr>
            </w:pPr>
            <w:r>
              <w:rPr>
                <w:rFonts w:hint="eastAsia" w:ascii="宋体" w:hAnsi="宋体" w:cs="宋体"/>
                <w:sz w:val="18"/>
                <w:szCs w:val="18"/>
              </w:rPr>
              <w:t>健全</w:t>
            </w:r>
          </w:p>
        </w:tc>
        <w:tc>
          <w:tcPr>
            <w:tcW w:w="6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20.00</w:t>
            </w:r>
          </w:p>
        </w:tc>
        <w:tc>
          <w:tcPr>
            <w:tcW w:w="763"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20</w:t>
            </w:r>
          </w:p>
        </w:tc>
        <w:tc>
          <w:tcPr>
            <w:tcW w:w="1745" w:type="dxa"/>
            <w:gridSpan w:val="2"/>
            <w:vAlign w:val="center"/>
          </w:tcPr>
          <w:p>
            <w:pPr>
              <w:spacing w:line="30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tcPr>
          <w:p>
            <w:pPr>
              <w:spacing w:line="300" w:lineRule="exact"/>
              <w:rPr>
                <w:rFonts w:ascii="宋体" w:hAnsi="宋体" w:cs="宋体"/>
                <w:sz w:val="18"/>
                <w:szCs w:val="18"/>
              </w:rPr>
            </w:pPr>
          </w:p>
        </w:tc>
        <w:tc>
          <w:tcPr>
            <w:tcW w:w="1014" w:type="dxa"/>
            <w:vAlign w:val="center"/>
          </w:tcPr>
          <w:p>
            <w:pPr>
              <w:spacing w:line="300" w:lineRule="exact"/>
              <w:jc w:val="center"/>
              <w:rPr>
                <w:rFonts w:ascii="宋体" w:hAnsi="宋体" w:cs="宋体"/>
                <w:sz w:val="18"/>
                <w:szCs w:val="18"/>
              </w:rPr>
            </w:pPr>
            <w:r>
              <w:rPr>
                <w:rFonts w:hint="eastAsia" w:ascii="宋体" w:hAnsi="宋体" w:cs="宋体"/>
                <w:sz w:val="18"/>
                <w:szCs w:val="18"/>
              </w:rPr>
              <w:t>满意度指标（10分）</w:t>
            </w:r>
          </w:p>
        </w:tc>
        <w:tc>
          <w:tcPr>
            <w:tcW w:w="1111"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社会公众或服务对象满意度</w:t>
            </w:r>
          </w:p>
        </w:tc>
        <w:tc>
          <w:tcPr>
            <w:tcW w:w="2138" w:type="dxa"/>
            <w:gridSpan w:val="3"/>
            <w:vAlign w:val="center"/>
          </w:tcPr>
          <w:p>
            <w:pPr>
              <w:spacing w:line="300" w:lineRule="exact"/>
              <w:jc w:val="center"/>
              <w:rPr>
                <w:rFonts w:ascii="宋体" w:hAnsi="宋体" w:cs="宋体"/>
                <w:sz w:val="18"/>
                <w:szCs w:val="18"/>
              </w:rPr>
            </w:pPr>
            <w:r>
              <w:rPr>
                <w:rFonts w:hint="eastAsia" w:ascii="宋体" w:hAnsi="宋体" w:cs="宋体"/>
                <w:sz w:val="18"/>
                <w:szCs w:val="18"/>
              </w:rPr>
              <w:t>群众满意度</w:t>
            </w:r>
          </w:p>
        </w:tc>
        <w:tc>
          <w:tcPr>
            <w:tcW w:w="887" w:type="dxa"/>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888" w:type="dxa"/>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6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10.00</w:t>
            </w:r>
          </w:p>
        </w:tc>
        <w:tc>
          <w:tcPr>
            <w:tcW w:w="763"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10</w:t>
            </w:r>
          </w:p>
        </w:tc>
        <w:tc>
          <w:tcPr>
            <w:tcW w:w="1745" w:type="dxa"/>
            <w:gridSpan w:val="2"/>
            <w:vAlign w:val="center"/>
          </w:tcPr>
          <w:p>
            <w:pPr>
              <w:spacing w:line="300" w:lineRule="exact"/>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6459" w:type="dxa"/>
            <w:gridSpan w:val="9"/>
            <w:vAlign w:val="center"/>
          </w:tcPr>
          <w:p>
            <w:pPr>
              <w:spacing w:line="300" w:lineRule="exact"/>
              <w:jc w:val="center"/>
              <w:rPr>
                <w:rFonts w:ascii="宋体" w:hAnsi="宋体" w:cs="宋体"/>
                <w:sz w:val="18"/>
                <w:szCs w:val="18"/>
              </w:rPr>
            </w:pPr>
            <w:r>
              <w:rPr>
                <w:rFonts w:hint="eastAsia" w:ascii="宋体" w:hAnsi="宋体" w:cs="宋体"/>
                <w:sz w:val="18"/>
                <w:szCs w:val="18"/>
              </w:rPr>
              <w:t>总分</w:t>
            </w:r>
          </w:p>
        </w:tc>
        <w:tc>
          <w:tcPr>
            <w:tcW w:w="687" w:type="dxa"/>
            <w:gridSpan w:val="2"/>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763" w:type="dxa"/>
            <w:gridSpan w:val="2"/>
            <w:vAlign w:val="center"/>
          </w:tcPr>
          <w:p>
            <w:pPr>
              <w:spacing w:line="300" w:lineRule="exact"/>
              <w:jc w:val="center"/>
              <w:rPr>
                <w:rFonts w:ascii="宋体" w:hAnsi="宋体" w:cs="宋体"/>
                <w:sz w:val="18"/>
                <w:szCs w:val="18"/>
              </w:rPr>
            </w:pPr>
            <w:r>
              <w:rPr>
                <w:rFonts w:ascii="宋体" w:hAnsi="宋体" w:cs="宋体"/>
                <w:sz w:val="18"/>
                <w:szCs w:val="18"/>
              </w:rPr>
              <w:t>98</w:t>
            </w:r>
          </w:p>
        </w:tc>
        <w:tc>
          <w:tcPr>
            <w:tcW w:w="1745" w:type="dxa"/>
            <w:gridSpan w:val="2"/>
            <w:vAlign w:val="center"/>
          </w:tcPr>
          <w:p>
            <w:pPr>
              <w:spacing w:line="300" w:lineRule="exact"/>
              <w:jc w:val="center"/>
              <w:rPr>
                <w:rFonts w:ascii="宋体" w:hAnsi="宋体" w:cs="宋体"/>
                <w:sz w:val="18"/>
                <w:szCs w:val="18"/>
              </w:rPr>
            </w:pPr>
          </w:p>
        </w:tc>
      </w:tr>
    </w:tbl>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项目支出绩效自评表</w:t>
      </w:r>
    </w:p>
    <w:p>
      <w:pPr>
        <w:jc w:val="center"/>
      </w:pPr>
      <w:r>
        <w:rPr>
          <w:rFonts w:hint="eastAsia"/>
        </w:rPr>
        <w:t>（2022年度）</w:t>
      </w:r>
    </w:p>
    <w:tbl>
      <w:tblPr>
        <w:tblStyle w:val="8"/>
        <w:tblW w:w="9654"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421"/>
        <w:gridCol w:w="963"/>
        <w:gridCol w:w="137"/>
        <w:gridCol w:w="917"/>
        <w:gridCol w:w="733"/>
        <w:gridCol w:w="1163"/>
        <w:gridCol w:w="350"/>
        <w:gridCol w:w="887"/>
        <w:gridCol w:w="888"/>
        <w:gridCol w:w="275"/>
        <w:gridCol w:w="412"/>
        <w:gridCol w:w="413"/>
        <w:gridCol w:w="350"/>
        <w:gridCol w:w="937"/>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项目名称</w:t>
            </w:r>
          </w:p>
        </w:tc>
        <w:tc>
          <w:tcPr>
            <w:tcW w:w="8133" w:type="dxa"/>
            <w:gridSpan w:val="12"/>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农业保险项目配套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主管部门及代码</w:t>
            </w:r>
          </w:p>
        </w:tc>
        <w:tc>
          <w:tcPr>
            <w:tcW w:w="4050" w:type="dxa"/>
            <w:gridSpan w:val="5"/>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[201]淄博市临淄区农业农村局</w:t>
            </w:r>
          </w:p>
        </w:tc>
        <w:tc>
          <w:tcPr>
            <w:tcW w:w="11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实施单位</w:t>
            </w:r>
          </w:p>
        </w:tc>
        <w:tc>
          <w:tcPr>
            <w:tcW w:w="2920" w:type="dxa"/>
            <w:gridSpan w:val="5"/>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[201001]淄博市临淄区农业农村局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restart"/>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项目资金</w:t>
            </w:r>
          </w:p>
          <w:p>
            <w:pPr>
              <w:spacing w:line="300" w:lineRule="exact"/>
              <w:jc w:val="center"/>
              <w:rPr>
                <w:rFonts w:ascii="宋体" w:hAnsi="宋体" w:cs="宋体"/>
                <w:sz w:val="18"/>
                <w:szCs w:val="18"/>
              </w:rPr>
            </w:pPr>
            <w:r>
              <w:rPr>
                <w:rFonts w:hint="eastAsia" w:ascii="微软雅黑" w:hAnsi="微软雅黑" w:eastAsia="微软雅黑" w:cs="微软雅黑"/>
                <w:sz w:val="18"/>
                <w:szCs w:val="18"/>
              </w:rPr>
              <w:t>（万元）</w:t>
            </w:r>
          </w:p>
        </w:tc>
        <w:tc>
          <w:tcPr>
            <w:tcW w:w="1650" w:type="dxa"/>
            <w:gridSpan w:val="2"/>
            <w:vAlign w:val="center"/>
          </w:tcPr>
          <w:p>
            <w:pPr>
              <w:spacing w:line="300" w:lineRule="exact"/>
              <w:rPr>
                <w:rFonts w:hint="eastAsia" w:ascii="微软雅黑" w:hAnsi="微软雅黑" w:eastAsia="微软雅黑" w:cs="微软雅黑"/>
                <w:sz w:val="18"/>
                <w:szCs w:val="18"/>
              </w:rPr>
            </w:pPr>
          </w:p>
        </w:tc>
        <w:tc>
          <w:tcPr>
            <w:tcW w:w="1163"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年初预算数</w:t>
            </w:r>
          </w:p>
        </w:tc>
        <w:tc>
          <w:tcPr>
            <w:tcW w:w="123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全年预算数</w:t>
            </w:r>
          </w:p>
        </w:tc>
        <w:tc>
          <w:tcPr>
            <w:tcW w:w="11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全年执行数</w:t>
            </w:r>
          </w:p>
        </w:tc>
        <w:tc>
          <w:tcPr>
            <w:tcW w:w="825"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分值</w:t>
            </w:r>
          </w:p>
        </w:tc>
        <w:tc>
          <w:tcPr>
            <w:tcW w:w="12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执行率</w:t>
            </w:r>
          </w:p>
        </w:tc>
        <w:tc>
          <w:tcPr>
            <w:tcW w:w="80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continue"/>
            <w:vAlign w:val="center"/>
          </w:tcPr>
          <w:p>
            <w:pPr>
              <w:spacing w:line="300" w:lineRule="exact"/>
              <w:rPr>
                <w:rFonts w:ascii="宋体" w:hAnsi="宋体" w:cs="宋体"/>
                <w:sz w:val="18"/>
                <w:szCs w:val="18"/>
              </w:rPr>
            </w:pPr>
          </w:p>
        </w:tc>
        <w:tc>
          <w:tcPr>
            <w:tcW w:w="1650" w:type="dxa"/>
            <w:gridSpan w:val="2"/>
            <w:vAlign w:val="center"/>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年度资金总额</w:t>
            </w:r>
          </w:p>
        </w:tc>
        <w:tc>
          <w:tcPr>
            <w:tcW w:w="1163"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1665.22</w:t>
            </w:r>
          </w:p>
        </w:tc>
        <w:tc>
          <w:tcPr>
            <w:tcW w:w="1237"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1665.22</w:t>
            </w:r>
          </w:p>
        </w:tc>
        <w:tc>
          <w:tcPr>
            <w:tcW w:w="1163"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1665.22</w:t>
            </w:r>
          </w:p>
        </w:tc>
        <w:tc>
          <w:tcPr>
            <w:tcW w:w="825"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10.0</w:t>
            </w:r>
          </w:p>
        </w:tc>
        <w:tc>
          <w:tcPr>
            <w:tcW w:w="1287"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100%</w:t>
            </w:r>
          </w:p>
        </w:tc>
        <w:tc>
          <w:tcPr>
            <w:tcW w:w="80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continue"/>
            <w:vAlign w:val="center"/>
          </w:tcPr>
          <w:p>
            <w:pPr>
              <w:spacing w:line="300" w:lineRule="exact"/>
              <w:rPr>
                <w:rFonts w:ascii="宋体" w:hAnsi="宋体" w:cs="宋体"/>
                <w:sz w:val="18"/>
                <w:szCs w:val="18"/>
              </w:rPr>
            </w:pPr>
          </w:p>
        </w:tc>
        <w:tc>
          <w:tcPr>
            <w:tcW w:w="1650" w:type="dxa"/>
            <w:gridSpan w:val="2"/>
            <w:vAlign w:val="center"/>
          </w:tcPr>
          <w:p>
            <w:pPr>
              <w:spacing w:line="300" w:lineRule="exact"/>
              <w:jc w:val="righ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其中：财政拨款</w:t>
            </w:r>
          </w:p>
        </w:tc>
        <w:tc>
          <w:tcPr>
            <w:tcW w:w="1163"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1665.22</w:t>
            </w:r>
          </w:p>
        </w:tc>
        <w:tc>
          <w:tcPr>
            <w:tcW w:w="1237"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1665.22</w:t>
            </w:r>
          </w:p>
        </w:tc>
        <w:tc>
          <w:tcPr>
            <w:tcW w:w="1163"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1665.22</w:t>
            </w:r>
          </w:p>
        </w:tc>
        <w:tc>
          <w:tcPr>
            <w:tcW w:w="825"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10.0</w:t>
            </w:r>
          </w:p>
        </w:tc>
        <w:tc>
          <w:tcPr>
            <w:tcW w:w="1287"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100%</w:t>
            </w:r>
          </w:p>
        </w:tc>
        <w:tc>
          <w:tcPr>
            <w:tcW w:w="80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continue"/>
            <w:vAlign w:val="center"/>
          </w:tcPr>
          <w:p>
            <w:pPr>
              <w:spacing w:line="300" w:lineRule="exact"/>
              <w:rPr>
                <w:rFonts w:ascii="宋体" w:hAnsi="宋体" w:cs="宋体"/>
                <w:sz w:val="18"/>
                <w:szCs w:val="18"/>
              </w:rPr>
            </w:pPr>
          </w:p>
        </w:tc>
        <w:tc>
          <w:tcPr>
            <w:tcW w:w="1650" w:type="dxa"/>
            <w:gridSpan w:val="2"/>
            <w:vAlign w:val="center"/>
          </w:tcPr>
          <w:p>
            <w:pPr>
              <w:spacing w:line="300" w:lineRule="exact"/>
              <w:jc w:val="right"/>
              <w:rPr>
                <w:rFonts w:hint="eastAsia" w:ascii="微软雅黑" w:hAnsi="微软雅黑" w:eastAsia="微软雅黑" w:cs="微软雅黑"/>
                <w:sz w:val="18"/>
                <w:szCs w:val="18"/>
              </w:rPr>
            </w:pPr>
            <w:r>
              <w:rPr>
                <w:rFonts w:hint="eastAsia" w:ascii="微软雅黑" w:hAnsi="微软雅黑" w:eastAsia="微软雅黑" w:cs="微软雅黑"/>
                <w:sz w:val="18"/>
                <w:szCs w:val="18"/>
              </w:rPr>
              <w:t>上年结转资金</w:t>
            </w:r>
          </w:p>
        </w:tc>
        <w:tc>
          <w:tcPr>
            <w:tcW w:w="1163"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w:t>
            </w:r>
          </w:p>
        </w:tc>
        <w:tc>
          <w:tcPr>
            <w:tcW w:w="1237"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w:t>
            </w:r>
          </w:p>
        </w:tc>
        <w:tc>
          <w:tcPr>
            <w:tcW w:w="1163"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w:t>
            </w:r>
          </w:p>
        </w:tc>
        <w:tc>
          <w:tcPr>
            <w:tcW w:w="825"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1287"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80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1521" w:type="dxa"/>
            <w:gridSpan w:val="3"/>
            <w:vMerge w:val="continue"/>
            <w:vAlign w:val="center"/>
          </w:tcPr>
          <w:p>
            <w:pPr>
              <w:spacing w:line="300" w:lineRule="exact"/>
              <w:rPr>
                <w:rFonts w:ascii="宋体" w:hAnsi="宋体" w:cs="宋体"/>
                <w:sz w:val="18"/>
                <w:szCs w:val="18"/>
              </w:rPr>
            </w:pPr>
          </w:p>
        </w:tc>
        <w:tc>
          <w:tcPr>
            <w:tcW w:w="1650" w:type="dxa"/>
            <w:gridSpan w:val="2"/>
            <w:vAlign w:val="center"/>
          </w:tcPr>
          <w:p>
            <w:pPr>
              <w:spacing w:line="300" w:lineRule="exact"/>
              <w:jc w:val="righ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其他资金</w:t>
            </w:r>
          </w:p>
        </w:tc>
        <w:tc>
          <w:tcPr>
            <w:tcW w:w="1163"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w:t>
            </w:r>
          </w:p>
        </w:tc>
        <w:tc>
          <w:tcPr>
            <w:tcW w:w="1237"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w:t>
            </w:r>
          </w:p>
        </w:tc>
        <w:tc>
          <w:tcPr>
            <w:tcW w:w="1163"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w:t>
            </w:r>
          </w:p>
        </w:tc>
        <w:tc>
          <w:tcPr>
            <w:tcW w:w="825"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1287" w:type="dxa"/>
            <w:gridSpan w:val="2"/>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808" w:type="dxa"/>
            <w:vAlign w:val="center"/>
          </w:tcPr>
          <w:p>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9654" w:type="dxa"/>
            <w:gridSpan w:val="15"/>
            <w:vAlign w:val="center"/>
          </w:tcPr>
          <w:p>
            <w:pPr>
              <w:spacing w:line="300" w:lineRule="exact"/>
              <w:jc w:val="center"/>
              <w:rPr>
                <w:rFonts w:ascii="宋体" w:hAnsi="宋体" w:cs="宋体"/>
                <w:sz w:val="18"/>
                <w:szCs w:val="18"/>
              </w:rPr>
            </w:pPr>
            <w:r>
              <w:rPr>
                <w:rFonts w:hint="eastAsia" w:ascii="宋体" w:hAnsi="宋体" w:eastAsia="宋体" w:cs="宋体"/>
                <w:sz w:val="18"/>
                <w:szCs w:val="18"/>
              </w:rPr>
              <w:t>项目绩效年度目标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restart"/>
            <w:vAlign w:val="center"/>
          </w:tcPr>
          <w:p>
            <w:pPr>
              <w:spacing w:line="300" w:lineRule="exact"/>
              <w:jc w:val="center"/>
              <w:rPr>
                <w:rFonts w:ascii="宋体" w:hAnsi="宋体" w:cs="宋体"/>
                <w:sz w:val="18"/>
                <w:szCs w:val="18"/>
              </w:rPr>
            </w:pPr>
            <w:r>
              <w:rPr>
                <w:rFonts w:hint="eastAsia" w:ascii="宋体" w:hAnsi="宋体" w:eastAsia="宋体" w:cs="宋体"/>
                <w:sz w:val="18"/>
                <w:szCs w:val="18"/>
              </w:rPr>
              <w:t>年度总体目标</w:t>
            </w:r>
          </w:p>
        </w:tc>
        <w:tc>
          <w:tcPr>
            <w:tcW w:w="5150" w:type="dxa"/>
            <w:gridSpan w:val="7"/>
            <w:vAlign w:val="center"/>
          </w:tcPr>
          <w:p>
            <w:pPr>
              <w:spacing w:line="300" w:lineRule="exact"/>
              <w:jc w:val="center"/>
              <w:rPr>
                <w:rFonts w:ascii="宋体" w:hAnsi="宋体" w:cs="宋体"/>
                <w:sz w:val="18"/>
                <w:szCs w:val="18"/>
              </w:rPr>
            </w:pPr>
            <w:r>
              <w:rPr>
                <w:rFonts w:hint="eastAsia" w:ascii="宋体" w:hAnsi="宋体" w:eastAsia="宋体" w:cs="宋体"/>
                <w:sz w:val="18"/>
                <w:szCs w:val="18"/>
              </w:rPr>
              <w:t>预期目标</w:t>
            </w:r>
          </w:p>
        </w:tc>
        <w:tc>
          <w:tcPr>
            <w:tcW w:w="4083" w:type="dxa"/>
            <w:gridSpan w:val="7"/>
            <w:vAlign w:val="center"/>
          </w:tcPr>
          <w:p>
            <w:pPr>
              <w:spacing w:line="300" w:lineRule="exact"/>
              <w:jc w:val="center"/>
              <w:rPr>
                <w:rFonts w:ascii="宋体" w:hAnsi="宋体" w:cs="宋体"/>
                <w:sz w:val="18"/>
                <w:szCs w:val="18"/>
              </w:rPr>
            </w:pPr>
            <w:r>
              <w:rPr>
                <w:rFonts w:hint="eastAsia" w:ascii="宋体" w:hAnsi="宋体" w:eastAsia="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105" w:hRule="atLeast"/>
        </w:trPr>
        <w:tc>
          <w:tcPr>
            <w:tcW w:w="421" w:type="dxa"/>
            <w:vMerge w:val="continue"/>
          </w:tcPr>
          <w:p>
            <w:pPr>
              <w:spacing w:line="300" w:lineRule="exact"/>
              <w:rPr>
                <w:rFonts w:ascii="宋体" w:hAnsi="宋体" w:cs="宋体"/>
                <w:sz w:val="18"/>
                <w:szCs w:val="18"/>
              </w:rPr>
            </w:pPr>
          </w:p>
        </w:tc>
        <w:tc>
          <w:tcPr>
            <w:tcW w:w="5150" w:type="dxa"/>
            <w:gridSpan w:val="7"/>
          </w:tcPr>
          <w:p>
            <w:p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做到政策性小麦、玉米保险应保尽保，承保率达到100%，实现承保全覆盖；完成育肥猪、能繁母猪、奶牛政策性养殖保险投保。</w:t>
            </w:r>
          </w:p>
        </w:tc>
        <w:tc>
          <w:tcPr>
            <w:tcW w:w="4083" w:type="dxa"/>
            <w:gridSpan w:val="7"/>
          </w:tcPr>
          <w:p>
            <w:pPr>
              <w:numPr>
                <w:ilvl w:val="0"/>
                <w:numId w:val="3"/>
              </w:num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政策性养殖保险：2022年度完成育肥猪22.29万头、能繁母猪1.2934万头、奶牛0.275万头政策性养殖保险投保。</w:t>
            </w:r>
          </w:p>
          <w:p>
            <w:pPr>
              <w:numPr>
                <w:numId w:val="0"/>
              </w:numPr>
              <w:spacing w:line="30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2、种植业保险：做到政策性小麦、玉米保险应保尽保，承保率达到100%。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restart"/>
            <w:vAlign w:val="center"/>
          </w:tcPr>
          <w:p>
            <w:pPr>
              <w:spacing w:line="300" w:lineRule="exact"/>
              <w:rPr>
                <w:rFonts w:ascii="宋体" w:hAnsi="宋体" w:cs="宋体"/>
                <w:sz w:val="18"/>
                <w:szCs w:val="18"/>
              </w:rPr>
            </w:pPr>
            <w:r>
              <w:rPr>
                <w:rFonts w:hint="eastAsia" w:ascii="宋体" w:hAnsi="宋体" w:eastAsia="宋体" w:cs="宋体"/>
                <w:sz w:val="18"/>
                <w:szCs w:val="18"/>
              </w:rPr>
              <w:t>年度绩效</w:t>
            </w:r>
          </w:p>
          <w:p>
            <w:pPr>
              <w:spacing w:line="300" w:lineRule="exact"/>
              <w:rPr>
                <w:rFonts w:ascii="宋体" w:hAnsi="宋体" w:cs="宋体"/>
                <w:sz w:val="18"/>
                <w:szCs w:val="18"/>
              </w:rPr>
            </w:pPr>
            <w:r>
              <w:rPr>
                <w:rFonts w:hint="eastAsia" w:ascii="宋体" w:hAnsi="宋体" w:eastAsia="宋体" w:cs="宋体"/>
                <w:sz w:val="18"/>
                <w:szCs w:val="18"/>
              </w:rPr>
              <w:t>指标（90分）</w:t>
            </w:r>
          </w:p>
        </w:tc>
        <w:tc>
          <w:tcPr>
            <w:tcW w:w="963" w:type="dxa"/>
            <w:vAlign w:val="center"/>
          </w:tcPr>
          <w:p>
            <w:pPr>
              <w:spacing w:line="300" w:lineRule="exact"/>
              <w:rPr>
                <w:rFonts w:ascii="宋体" w:hAnsi="宋体" w:cs="宋体"/>
                <w:sz w:val="18"/>
                <w:szCs w:val="18"/>
              </w:rPr>
            </w:pPr>
            <w:r>
              <w:rPr>
                <w:rFonts w:hint="eastAsia" w:ascii="宋体" w:hAnsi="宋体" w:eastAsia="宋体" w:cs="宋体"/>
                <w:sz w:val="18"/>
                <w:szCs w:val="18"/>
              </w:rPr>
              <w:t>一级指标</w:t>
            </w:r>
          </w:p>
        </w:tc>
        <w:tc>
          <w:tcPr>
            <w:tcW w:w="1054" w:type="dxa"/>
            <w:gridSpan w:val="2"/>
            <w:vAlign w:val="center"/>
          </w:tcPr>
          <w:p>
            <w:pPr>
              <w:spacing w:line="300" w:lineRule="exact"/>
              <w:rPr>
                <w:rFonts w:ascii="宋体" w:hAnsi="宋体" w:cs="宋体"/>
                <w:sz w:val="18"/>
                <w:szCs w:val="18"/>
              </w:rPr>
            </w:pPr>
            <w:r>
              <w:rPr>
                <w:rFonts w:hint="eastAsia" w:ascii="宋体" w:hAnsi="宋体" w:eastAsia="宋体" w:cs="宋体"/>
                <w:sz w:val="18"/>
                <w:szCs w:val="18"/>
              </w:rPr>
              <w:t>二级指标</w:t>
            </w:r>
          </w:p>
        </w:tc>
        <w:tc>
          <w:tcPr>
            <w:tcW w:w="2246" w:type="dxa"/>
            <w:gridSpan w:val="3"/>
            <w:vAlign w:val="center"/>
          </w:tcPr>
          <w:p>
            <w:pPr>
              <w:spacing w:line="300" w:lineRule="exact"/>
              <w:rPr>
                <w:rFonts w:ascii="宋体" w:hAnsi="宋体" w:cs="宋体"/>
                <w:sz w:val="18"/>
                <w:szCs w:val="18"/>
              </w:rPr>
            </w:pPr>
            <w:r>
              <w:rPr>
                <w:rFonts w:hint="eastAsia" w:ascii="宋体" w:hAnsi="宋体" w:eastAsia="宋体" w:cs="宋体"/>
                <w:sz w:val="18"/>
                <w:szCs w:val="18"/>
              </w:rPr>
              <w:t>三级指标</w:t>
            </w:r>
          </w:p>
        </w:tc>
        <w:tc>
          <w:tcPr>
            <w:tcW w:w="887" w:type="dxa"/>
            <w:vAlign w:val="center"/>
          </w:tcPr>
          <w:p>
            <w:pPr>
              <w:pStyle w:val="10"/>
              <w:widowControl/>
              <w:spacing w:before="128" w:line="213" w:lineRule="exact"/>
              <w:ind w:right="53"/>
              <w:jc w:val="both"/>
              <w:rPr>
                <w:rFonts w:hint="default" w:cs="宋体"/>
                <w:sz w:val="18"/>
                <w:szCs w:val="18"/>
              </w:rPr>
            </w:pPr>
            <w:r>
              <w:rPr>
                <w:rFonts w:cs="宋体"/>
                <w:sz w:val="18"/>
                <w:szCs w:val="18"/>
              </w:rPr>
              <w:t>年度指标值</w:t>
            </w:r>
          </w:p>
        </w:tc>
        <w:tc>
          <w:tcPr>
            <w:tcW w:w="888" w:type="dxa"/>
            <w:vAlign w:val="center"/>
          </w:tcPr>
          <w:p>
            <w:pPr>
              <w:spacing w:line="300" w:lineRule="exact"/>
              <w:rPr>
                <w:rFonts w:ascii="宋体" w:hAnsi="宋体" w:cs="宋体"/>
                <w:sz w:val="18"/>
                <w:szCs w:val="18"/>
              </w:rPr>
            </w:pPr>
            <w:r>
              <w:rPr>
                <w:rFonts w:hint="eastAsia" w:ascii="宋体" w:hAnsi="宋体" w:eastAsia="宋体" w:cs="宋体"/>
                <w:sz w:val="18"/>
                <w:szCs w:val="18"/>
              </w:rPr>
              <w:t>实际完成值</w:t>
            </w:r>
          </w:p>
        </w:tc>
        <w:tc>
          <w:tcPr>
            <w:tcW w:w="687" w:type="dxa"/>
            <w:gridSpan w:val="2"/>
            <w:vAlign w:val="center"/>
          </w:tcPr>
          <w:p>
            <w:pPr>
              <w:spacing w:line="300" w:lineRule="exact"/>
              <w:rPr>
                <w:rFonts w:ascii="宋体" w:hAnsi="宋体" w:cs="宋体"/>
                <w:sz w:val="18"/>
                <w:szCs w:val="18"/>
              </w:rPr>
            </w:pPr>
            <w:r>
              <w:rPr>
                <w:rFonts w:hint="eastAsia" w:ascii="宋体" w:hAnsi="宋体" w:eastAsia="宋体" w:cs="宋体"/>
                <w:sz w:val="18"/>
                <w:szCs w:val="18"/>
              </w:rPr>
              <w:t>分值</w:t>
            </w:r>
          </w:p>
        </w:tc>
        <w:tc>
          <w:tcPr>
            <w:tcW w:w="763" w:type="dxa"/>
            <w:gridSpan w:val="2"/>
            <w:vAlign w:val="center"/>
          </w:tcPr>
          <w:p>
            <w:pPr>
              <w:spacing w:line="300" w:lineRule="exact"/>
              <w:rPr>
                <w:rFonts w:ascii="宋体" w:hAnsi="宋体" w:cs="宋体"/>
                <w:sz w:val="18"/>
                <w:szCs w:val="18"/>
              </w:rPr>
            </w:pPr>
            <w:r>
              <w:rPr>
                <w:rFonts w:hint="eastAsia" w:ascii="宋体" w:hAnsi="宋体" w:eastAsia="宋体" w:cs="宋体"/>
                <w:sz w:val="18"/>
                <w:szCs w:val="18"/>
              </w:rPr>
              <w:t>得分</w:t>
            </w:r>
          </w:p>
        </w:tc>
        <w:tc>
          <w:tcPr>
            <w:tcW w:w="1745" w:type="dxa"/>
            <w:gridSpan w:val="2"/>
            <w:vAlign w:val="center"/>
          </w:tcPr>
          <w:p>
            <w:pPr>
              <w:spacing w:line="300" w:lineRule="exact"/>
              <w:rPr>
                <w:rFonts w:ascii="宋体" w:hAnsi="宋体" w:cs="宋体"/>
                <w:sz w:val="18"/>
                <w:szCs w:val="18"/>
              </w:rPr>
            </w:pPr>
            <w:r>
              <w:rPr>
                <w:rFonts w:hint="eastAsia" w:ascii="宋体" w:hAnsi="宋体" w:eastAsia="宋体" w:cs="宋体"/>
                <w:sz w:val="18"/>
                <w:szCs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vAlign w:val="center"/>
          </w:tcPr>
          <w:p>
            <w:pPr>
              <w:spacing w:line="300" w:lineRule="exact"/>
              <w:rPr>
                <w:rFonts w:ascii="宋体" w:hAnsi="宋体" w:cs="宋体"/>
                <w:sz w:val="18"/>
                <w:szCs w:val="18"/>
              </w:rPr>
            </w:pPr>
          </w:p>
        </w:tc>
        <w:tc>
          <w:tcPr>
            <w:tcW w:w="963" w:type="dxa"/>
            <w:vMerge w:val="restart"/>
            <w:vAlign w:val="center"/>
          </w:tcPr>
          <w:p>
            <w:pPr>
              <w:spacing w:line="300" w:lineRule="exact"/>
              <w:rPr>
                <w:rFonts w:ascii="宋体" w:hAnsi="宋体" w:cs="宋体"/>
                <w:sz w:val="18"/>
                <w:szCs w:val="18"/>
              </w:rPr>
            </w:pPr>
            <w:r>
              <w:rPr>
                <w:rFonts w:hint="eastAsia" w:ascii="宋体" w:hAnsi="宋体" w:eastAsia="宋体" w:cs="宋体"/>
                <w:sz w:val="18"/>
                <w:szCs w:val="18"/>
              </w:rPr>
              <w:t>项目产出（50分）</w:t>
            </w: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数量指标</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政策性小麦、玉米保险承包面积</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50万亩</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55.16万亩</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vAlign w:val="center"/>
          </w:tcPr>
          <w:p>
            <w:pPr>
              <w:spacing w:line="300" w:lineRule="exact"/>
              <w:rPr>
                <w:rFonts w:ascii="宋体" w:hAnsi="宋体" w:cs="宋体"/>
                <w:sz w:val="18"/>
                <w:szCs w:val="18"/>
              </w:rPr>
            </w:pPr>
          </w:p>
        </w:tc>
        <w:tc>
          <w:tcPr>
            <w:tcW w:w="963" w:type="dxa"/>
            <w:vMerge w:val="continue"/>
            <w:vAlign w:val="center"/>
          </w:tcPr>
          <w:p>
            <w:pPr>
              <w:spacing w:line="300" w:lineRule="exact"/>
              <w:rPr>
                <w:rFonts w:ascii="宋体" w:hAnsi="宋体" w:cs="宋体"/>
                <w:sz w:val="18"/>
                <w:szCs w:val="18"/>
              </w:rPr>
            </w:pP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数量指标</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养殖保险种类数量</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3类</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3类</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vAlign w:val="center"/>
          </w:tcPr>
          <w:p>
            <w:pPr>
              <w:spacing w:line="300" w:lineRule="exact"/>
              <w:rPr>
                <w:rFonts w:ascii="宋体" w:hAnsi="宋体" w:cs="宋体"/>
                <w:sz w:val="18"/>
                <w:szCs w:val="18"/>
              </w:rPr>
            </w:pPr>
          </w:p>
        </w:tc>
        <w:tc>
          <w:tcPr>
            <w:tcW w:w="963" w:type="dxa"/>
            <w:vMerge w:val="continue"/>
            <w:vAlign w:val="center"/>
          </w:tcPr>
          <w:p>
            <w:pPr>
              <w:spacing w:line="300" w:lineRule="exact"/>
              <w:rPr>
                <w:rFonts w:ascii="宋体" w:hAnsi="宋体" w:cs="宋体"/>
                <w:sz w:val="18"/>
                <w:szCs w:val="18"/>
              </w:rPr>
            </w:pP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时效指标</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按时完成保险费用收缴</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及时</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及时</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vAlign w:val="center"/>
          </w:tcPr>
          <w:p>
            <w:pPr>
              <w:spacing w:line="300" w:lineRule="exact"/>
              <w:rPr>
                <w:rFonts w:ascii="宋体" w:hAnsi="宋体" w:cs="宋体"/>
                <w:sz w:val="18"/>
                <w:szCs w:val="18"/>
              </w:rPr>
            </w:pPr>
          </w:p>
        </w:tc>
        <w:tc>
          <w:tcPr>
            <w:tcW w:w="963" w:type="dxa"/>
            <w:vMerge w:val="continue"/>
            <w:vAlign w:val="center"/>
          </w:tcPr>
          <w:p>
            <w:pPr>
              <w:spacing w:line="300" w:lineRule="exact"/>
              <w:rPr>
                <w:rFonts w:ascii="宋体" w:hAnsi="宋体" w:cs="宋体"/>
                <w:sz w:val="18"/>
                <w:szCs w:val="18"/>
              </w:rPr>
            </w:pP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质量指标</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政策性种植业保险承保率</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vAlign w:val="center"/>
          </w:tcPr>
          <w:p>
            <w:pPr>
              <w:spacing w:line="300" w:lineRule="exact"/>
              <w:rPr>
                <w:rFonts w:ascii="宋体" w:hAnsi="宋体" w:cs="宋体"/>
                <w:sz w:val="18"/>
                <w:szCs w:val="18"/>
              </w:rPr>
            </w:pPr>
          </w:p>
        </w:tc>
        <w:tc>
          <w:tcPr>
            <w:tcW w:w="963" w:type="dxa"/>
            <w:vMerge w:val="continue"/>
            <w:vAlign w:val="center"/>
          </w:tcPr>
          <w:p>
            <w:pPr>
              <w:spacing w:line="300" w:lineRule="exact"/>
              <w:rPr>
                <w:rFonts w:ascii="宋体" w:hAnsi="宋体" w:cs="宋体"/>
                <w:sz w:val="18"/>
                <w:szCs w:val="18"/>
              </w:rPr>
            </w:pP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成本指标</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政策性农业保险项目配套经费</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1665.22万元</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1665.22万元</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vAlign w:val="center"/>
          </w:tcPr>
          <w:p>
            <w:pPr>
              <w:spacing w:line="300" w:lineRule="exact"/>
              <w:rPr>
                <w:rFonts w:ascii="宋体" w:hAnsi="宋体" w:cs="宋体"/>
                <w:sz w:val="18"/>
                <w:szCs w:val="18"/>
              </w:rPr>
            </w:pPr>
          </w:p>
        </w:tc>
        <w:tc>
          <w:tcPr>
            <w:tcW w:w="963" w:type="dxa"/>
            <w:vMerge w:val="restart"/>
            <w:vAlign w:val="center"/>
          </w:tcPr>
          <w:p>
            <w:pPr>
              <w:spacing w:line="300" w:lineRule="exact"/>
              <w:rPr>
                <w:rFonts w:ascii="宋体" w:hAnsi="宋体" w:cs="宋体"/>
                <w:sz w:val="18"/>
                <w:szCs w:val="18"/>
              </w:rPr>
            </w:pPr>
            <w:r>
              <w:rPr>
                <w:rFonts w:hint="eastAsia" w:ascii="宋体" w:hAnsi="宋体" w:eastAsia="宋体" w:cs="宋体"/>
                <w:sz w:val="18"/>
                <w:szCs w:val="18"/>
              </w:rPr>
              <w:t>项目效益（30分）</w:t>
            </w: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经济效益</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保障全区农业农村经济健康稳定发展</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保障发展</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保障发展</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50" w:hRule="atLeast"/>
        </w:trPr>
        <w:tc>
          <w:tcPr>
            <w:tcW w:w="421" w:type="dxa"/>
            <w:vMerge w:val="continue"/>
            <w:vAlign w:val="center"/>
          </w:tcPr>
          <w:p>
            <w:pPr>
              <w:spacing w:line="300" w:lineRule="exact"/>
              <w:rPr>
                <w:rFonts w:ascii="宋体" w:hAnsi="宋体" w:cs="宋体"/>
                <w:sz w:val="18"/>
                <w:szCs w:val="18"/>
              </w:rPr>
            </w:pPr>
          </w:p>
        </w:tc>
        <w:tc>
          <w:tcPr>
            <w:tcW w:w="963" w:type="dxa"/>
            <w:vMerge w:val="continue"/>
            <w:vAlign w:val="center"/>
          </w:tcPr>
          <w:p>
            <w:pPr>
              <w:spacing w:line="300" w:lineRule="exact"/>
              <w:rPr>
                <w:rFonts w:ascii="宋体" w:hAnsi="宋体" w:cs="宋体"/>
                <w:sz w:val="18"/>
                <w:szCs w:val="18"/>
              </w:rPr>
            </w:pP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社会效益</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提高农民抵御风险能力</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提高能力</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提高能力</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vAlign w:val="center"/>
          </w:tcPr>
          <w:p>
            <w:pPr>
              <w:spacing w:line="300" w:lineRule="exact"/>
              <w:rPr>
                <w:rFonts w:ascii="宋体" w:hAnsi="宋体" w:cs="宋体"/>
                <w:sz w:val="18"/>
                <w:szCs w:val="18"/>
              </w:rPr>
            </w:pPr>
          </w:p>
        </w:tc>
        <w:tc>
          <w:tcPr>
            <w:tcW w:w="963" w:type="dxa"/>
            <w:vMerge w:val="continue"/>
            <w:vAlign w:val="center"/>
          </w:tcPr>
          <w:p>
            <w:pPr>
              <w:spacing w:line="300" w:lineRule="exact"/>
              <w:rPr>
                <w:rFonts w:ascii="宋体" w:hAnsi="宋体" w:cs="宋体"/>
                <w:sz w:val="18"/>
                <w:szCs w:val="18"/>
              </w:rPr>
            </w:pP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生态效益</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提升适度规模经营农户防范和应对大灾风险的能力</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能力提升</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能力提升</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vAlign w:val="center"/>
          </w:tcPr>
          <w:p>
            <w:pPr>
              <w:spacing w:line="300" w:lineRule="exact"/>
              <w:rPr>
                <w:rFonts w:ascii="宋体" w:hAnsi="宋体" w:cs="宋体"/>
                <w:sz w:val="18"/>
                <w:szCs w:val="18"/>
              </w:rPr>
            </w:pPr>
          </w:p>
        </w:tc>
        <w:tc>
          <w:tcPr>
            <w:tcW w:w="963" w:type="dxa"/>
            <w:vMerge w:val="continue"/>
            <w:vAlign w:val="center"/>
          </w:tcPr>
          <w:p>
            <w:pPr>
              <w:spacing w:line="300" w:lineRule="exact"/>
              <w:rPr>
                <w:rFonts w:ascii="宋体" w:hAnsi="宋体" w:cs="宋体"/>
                <w:sz w:val="18"/>
                <w:szCs w:val="18"/>
              </w:rPr>
            </w:pP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可持续影响</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保障全区农业农村经济健康稳定发展</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稳定发展</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稳定发展</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421" w:type="dxa"/>
            <w:vMerge w:val="continue"/>
            <w:vAlign w:val="center"/>
          </w:tcPr>
          <w:p>
            <w:pPr>
              <w:spacing w:line="300" w:lineRule="exact"/>
              <w:rPr>
                <w:rFonts w:ascii="宋体" w:hAnsi="宋体" w:cs="宋体"/>
                <w:sz w:val="18"/>
                <w:szCs w:val="18"/>
              </w:rPr>
            </w:pPr>
          </w:p>
        </w:tc>
        <w:tc>
          <w:tcPr>
            <w:tcW w:w="963" w:type="dxa"/>
            <w:vAlign w:val="center"/>
          </w:tcPr>
          <w:p>
            <w:pPr>
              <w:spacing w:line="300" w:lineRule="exact"/>
              <w:rPr>
                <w:rFonts w:ascii="宋体" w:hAnsi="宋体" w:cs="宋体"/>
                <w:sz w:val="18"/>
                <w:szCs w:val="18"/>
              </w:rPr>
            </w:pPr>
            <w:r>
              <w:rPr>
                <w:rFonts w:hint="eastAsia" w:ascii="宋体" w:hAnsi="宋体" w:eastAsia="宋体" w:cs="宋体"/>
                <w:sz w:val="18"/>
                <w:szCs w:val="18"/>
              </w:rPr>
              <w:t>满意度指标（10分）</w:t>
            </w:r>
          </w:p>
        </w:tc>
        <w:tc>
          <w:tcPr>
            <w:tcW w:w="1054"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社会公众或服务对象满意度</w:t>
            </w:r>
          </w:p>
        </w:tc>
        <w:tc>
          <w:tcPr>
            <w:tcW w:w="2246" w:type="dxa"/>
            <w:gridSpan w:val="3"/>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受灾农户满意度</w:t>
            </w:r>
          </w:p>
        </w:tc>
        <w:tc>
          <w:tcPr>
            <w:tcW w:w="887"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888" w:type="dxa"/>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745" w:type="dxa"/>
            <w:gridSpan w:val="2"/>
            <w:vAlign w:val="cente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425" w:hRule="atLeast"/>
        </w:trPr>
        <w:tc>
          <w:tcPr>
            <w:tcW w:w="6459" w:type="dxa"/>
            <w:gridSpan w:val="9"/>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总分</w:t>
            </w:r>
          </w:p>
        </w:tc>
        <w:tc>
          <w:tcPr>
            <w:tcW w:w="687"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763" w:type="dxa"/>
            <w:gridSpan w:val="2"/>
            <w:vAlign w:val="center"/>
          </w:tcPr>
          <w:p>
            <w:pPr>
              <w:spacing w:line="30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100</w:t>
            </w:r>
          </w:p>
        </w:tc>
        <w:tc>
          <w:tcPr>
            <w:tcW w:w="1745" w:type="dxa"/>
            <w:gridSpan w:val="2"/>
            <w:vAlign w:val="center"/>
          </w:tcPr>
          <w:p>
            <w:pPr>
              <w:spacing w:line="300" w:lineRule="exact"/>
              <w:rPr>
                <w:rFonts w:ascii="宋体" w:hAnsi="宋体" w:cs="宋体"/>
                <w:sz w:val="18"/>
                <w:szCs w:val="18"/>
              </w:rPr>
            </w:pPr>
          </w:p>
        </w:tc>
      </w:tr>
    </w:tbl>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jc w:val="center"/>
        <w:rPr>
          <w:sz w:val="36"/>
          <w:szCs w:val="36"/>
        </w:rPr>
      </w:pPr>
      <w:r>
        <w:rPr>
          <w:rFonts w:hint="eastAsia"/>
          <w:sz w:val="36"/>
          <w:szCs w:val="36"/>
        </w:rPr>
        <w:t>项目支出绩效自评表</w:t>
      </w:r>
    </w:p>
    <w:p>
      <w:pPr>
        <w:jc w:val="center"/>
        <w:rPr>
          <w:sz w:val="21"/>
        </w:rPr>
      </w:pPr>
      <w:r>
        <w:rPr>
          <w:rFonts w:hint="eastAsia"/>
        </w:rPr>
        <w:t>（</w:t>
      </w:r>
      <w:r>
        <w:t>2022</w:t>
      </w:r>
      <w:r>
        <w:rPr>
          <w:rFonts w:hint="eastAsia"/>
        </w:rPr>
        <w:t>年度）</w:t>
      </w:r>
    </w:p>
    <w:tbl>
      <w:tblPr>
        <w:tblStyle w:val="8"/>
        <w:tblW w:w="9660"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0"/>
        <w:gridCol w:w="964"/>
        <w:gridCol w:w="137"/>
        <w:gridCol w:w="1195"/>
        <w:gridCol w:w="456"/>
        <w:gridCol w:w="1164"/>
        <w:gridCol w:w="196"/>
        <w:gridCol w:w="1042"/>
        <w:gridCol w:w="889"/>
        <w:gridCol w:w="275"/>
        <w:gridCol w:w="412"/>
        <w:gridCol w:w="413"/>
        <w:gridCol w:w="350"/>
        <w:gridCol w:w="938"/>
        <w:gridCol w:w="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1" w:type="dxa"/>
            <w:gridSpan w:val="3"/>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项目名称</w:t>
            </w:r>
          </w:p>
        </w:tc>
        <w:tc>
          <w:tcPr>
            <w:tcW w:w="8139" w:type="dxa"/>
            <w:gridSpan w:val="12"/>
            <w:tcMar>
              <w:top w:w="15" w:type="dxa"/>
              <w:left w:w="108" w:type="dxa"/>
              <w:bottom w:w="15" w:type="dxa"/>
              <w:right w:w="108" w:type="dxa"/>
            </w:tcMar>
            <w:vAlign w:val="center"/>
          </w:tcPr>
          <w:p>
            <w:pPr>
              <w:spacing w:line="300" w:lineRule="exact"/>
              <w:rPr>
                <w:rFonts w:ascii="宋体" w:hAnsi="宋体" w:cs="宋体"/>
                <w:sz w:val="18"/>
                <w:szCs w:val="18"/>
              </w:rPr>
            </w:pPr>
            <w:r>
              <w:rPr>
                <w:rFonts w:hint="eastAsia" w:ascii="宋体" w:hAnsi="宋体" w:cs="宋体"/>
                <w:sz w:val="18"/>
                <w:szCs w:val="18"/>
              </w:rPr>
              <w:t>创业大赛、</w:t>
            </w:r>
            <w:r>
              <w:rPr>
                <w:rFonts w:hint="eastAsia"/>
                <w:sz w:val="18"/>
                <w:szCs w:val="18"/>
              </w:rPr>
              <w:t>职业技能大赛</w:t>
            </w:r>
            <w:r>
              <w:rPr>
                <w:rFonts w:hint="eastAsia" w:ascii="宋体" w:hAnsi="宋体" w:cs="宋体"/>
                <w:sz w:val="18"/>
                <w:szCs w:val="18"/>
              </w:rPr>
              <w:t>活动经费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1" w:type="dxa"/>
            <w:gridSpan w:val="3"/>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主管部门及代码</w:t>
            </w:r>
          </w:p>
        </w:tc>
        <w:tc>
          <w:tcPr>
            <w:tcW w:w="4053" w:type="dxa"/>
            <w:gridSpan w:val="5"/>
            <w:tcMar>
              <w:top w:w="15" w:type="dxa"/>
              <w:left w:w="108" w:type="dxa"/>
              <w:bottom w:w="15" w:type="dxa"/>
              <w:right w:w="108" w:type="dxa"/>
            </w:tcMar>
            <w:vAlign w:val="center"/>
          </w:tcPr>
          <w:p>
            <w:pPr>
              <w:spacing w:line="300" w:lineRule="exact"/>
              <w:jc w:val="both"/>
              <w:rPr>
                <w:rFonts w:ascii="宋体" w:hAnsi="宋体" w:cs="宋体"/>
                <w:sz w:val="18"/>
                <w:szCs w:val="18"/>
              </w:rPr>
            </w:pPr>
            <w:r>
              <w:rPr>
                <w:rFonts w:hint="eastAsia" w:ascii="宋体" w:hAnsi="宋体" w:cs="宋体"/>
                <w:sz w:val="18"/>
                <w:szCs w:val="18"/>
              </w:rPr>
              <w:t>[401]淄博市临淄区人力资源和社会保障局</w:t>
            </w:r>
          </w:p>
        </w:tc>
        <w:tc>
          <w:tcPr>
            <w:tcW w:w="1164"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实施单位</w:t>
            </w:r>
          </w:p>
        </w:tc>
        <w:tc>
          <w:tcPr>
            <w:tcW w:w="2922" w:type="dxa"/>
            <w:gridSpan w:val="5"/>
            <w:tcMar>
              <w:top w:w="15" w:type="dxa"/>
              <w:left w:w="108" w:type="dxa"/>
              <w:bottom w:w="15" w:type="dxa"/>
              <w:right w:w="108" w:type="dxa"/>
            </w:tcMar>
            <w:vAlign w:val="center"/>
          </w:tcPr>
          <w:p>
            <w:pPr>
              <w:spacing w:line="300" w:lineRule="exact"/>
              <w:jc w:val="both"/>
              <w:rPr>
                <w:rFonts w:ascii="宋体" w:hAnsi="宋体" w:cs="宋体"/>
                <w:sz w:val="18"/>
                <w:szCs w:val="18"/>
              </w:rPr>
            </w:pPr>
            <w:r>
              <w:rPr>
                <w:rFonts w:hint="eastAsia" w:ascii="宋体" w:hAnsi="宋体" w:cs="宋体"/>
                <w:sz w:val="18"/>
                <w:szCs w:val="18"/>
              </w:rPr>
              <w:t>[401001]淄博市临淄区人力资源和社会保障局本级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1" w:type="dxa"/>
            <w:gridSpan w:val="3"/>
            <w:vMerge w:val="restart"/>
            <w:tcMar>
              <w:top w:w="15" w:type="dxa"/>
              <w:left w:w="108" w:type="dxa"/>
              <w:bottom w:w="15" w:type="dxa"/>
              <w:right w:w="108" w:type="dxa"/>
            </w:tcMar>
            <w:vAlign w:val="center"/>
          </w:tcPr>
          <w:p>
            <w:pPr>
              <w:spacing w:line="300" w:lineRule="exact"/>
              <w:jc w:val="center"/>
              <w:rPr>
                <w:rFonts w:ascii="宋体" w:hAnsi="宋体" w:eastAsia="宋体" w:cs="宋体"/>
                <w:sz w:val="18"/>
                <w:szCs w:val="18"/>
              </w:rPr>
            </w:pPr>
            <w:r>
              <w:rPr>
                <w:rFonts w:hint="eastAsia" w:ascii="宋体" w:hAnsi="宋体" w:cs="宋体"/>
                <w:sz w:val="18"/>
                <w:szCs w:val="18"/>
              </w:rPr>
              <w:t>项目资金</w:t>
            </w:r>
          </w:p>
          <w:p>
            <w:pPr>
              <w:spacing w:line="300" w:lineRule="exact"/>
              <w:jc w:val="center"/>
              <w:rPr>
                <w:rFonts w:ascii="宋体" w:hAnsi="宋体" w:cs="宋体"/>
                <w:sz w:val="18"/>
                <w:szCs w:val="18"/>
              </w:rPr>
            </w:pPr>
            <w:r>
              <w:rPr>
                <w:rFonts w:hint="eastAsia" w:ascii="宋体" w:hAnsi="宋体" w:cs="宋体"/>
                <w:sz w:val="18"/>
                <w:szCs w:val="18"/>
              </w:rPr>
              <w:t>（万元）</w:t>
            </w:r>
          </w:p>
        </w:tc>
        <w:tc>
          <w:tcPr>
            <w:tcW w:w="1651" w:type="dxa"/>
            <w:gridSpan w:val="2"/>
            <w:tcMar>
              <w:top w:w="15" w:type="dxa"/>
              <w:left w:w="108" w:type="dxa"/>
              <w:bottom w:w="15" w:type="dxa"/>
              <w:right w:w="108" w:type="dxa"/>
            </w:tcMar>
            <w:vAlign w:val="center"/>
          </w:tcPr>
          <w:p>
            <w:pPr>
              <w:spacing w:line="300" w:lineRule="exact"/>
              <w:rPr>
                <w:rFonts w:ascii="宋体" w:hAnsi="宋体" w:cs="宋体"/>
                <w:sz w:val="18"/>
                <w:szCs w:val="18"/>
              </w:rPr>
            </w:pPr>
          </w:p>
        </w:tc>
        <w:tc>
          <w:tcPr>
            <w:tcW w:w="1164"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年初预算数</w:t>
            </w:r>
          </w:p>
        </w:tc>
        <w:tc>
          <w:tcPr>
            <w:tcW w:w="123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全年预算数</w:t>
            </w:r>
          </w:p>
        </w:tc>
        <w:tc>
          <w:tcPr>
            <w:tcW w:w="1164"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全年执行数</w:t>
            </w:r>
          </w:p>
        </w:tc>
        <w:tc>
          <w:tcPr>
            <w:tcW w:w="825"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分值</w:t>
            </w:r>
          </w:p>
        </w:tc>
        <w:tc>
          <w:tcPr>
            <w:tcW w:w="128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执行率</w:t>
            </w:r>
          </w:p>
        </w:tc>
        <w:tc>
          <w:tcPr>
            <w:tcW w:w="80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1" w:type="dxa"/>
            <w:gridSpan w:val="3"/>
            <w:vMerge w:val="continue"/>
            <w:vAlign w:val="center"/>
          </w:tcPr>
          <w:p>
            <w:pPr>
              <w:rPr>
                <w:rFonts w:ascii="宋体" w:hAnsi="宋体" w:cs="宋体"/>
                <w:sz w:val="18"/>
                <w:szCs w:val="18"/>
              </w:rPr>
            </w:pPr>
          </w:p>
        </w:tc>
        <w:tc>
          <w:tcPr>
            <w:tcW w:w="1651" w:type="dxa"/>
            <w:gridSpan w:val="2"/>
            <w:tcMar>
              <w:top w:w="15" w:type="dxa"/>
              <w:left w:w="108" w:type="dxa"/>
              <w:bottom w:w="15" w:type="dxa"/>
              <w:right w:w="108" w:type="dxa"/>
            </w:tcMar>
            <w:vAlign w:val="center"/>
          </w:tcPr>
          <w:p>
            <w:pPr>
              <w:spacing w:line="300" w:lineRule="exact"/>
              <w:rPr>
                <w:rFonts w:ascii="宋体" w:hAnsi="宋体" w:cs="宋体"/>
                <w:sz w:val="18"/>
                <w:szCs w:val="18"/>
              </w:rPr>
            </w:pPr>
            <w:r>
              <w:rPr>
                <w:rFonts w:hint="eastAsia" w:ascii="宋体" w:hAnsi="宋体" w:cs="宋体"/>
                <w:sz w:val="18"/>
                <w:szCs w:val="18"/>
              </w:rPr>
              <w:t>年度资金总额</w:t>
            </w:r>
          </w:p>
        </w:tc>
        <w:tc>
          <w:tcPr>
            <w:tcW w:w="1164"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10.9522</w:t>
            </w:r>
          </w:p>
        </w:tc>
        <w:tc>
          <w:tcPr>
            <w:tcW w:w="123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10.9522</w:t>
            </w:r>
          </w:p>
        </w:tc>
        <w:tc>
          <w:tcPr>
            <w:tcW w:w="1164"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10.9522</w:t>
            </w:r>
          </w:p>
        </w:tc>
        <w:tc>
          <w:tcPr>
            <w:tcW w:w="825"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28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80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1" w:type="dxa"/>
            <w:gridSpan w:val="3"/>
            <w:vMerge w:val="continue"/>
            <w:vAlign w:val="center"/>
          </w:tcPr>
          <w:p>
            <w:pPr>
              <w:rPr>
                <w:rFonts w:ascii="宋体" w:hAnsi="宋体" w:cs="宋体"/>
                <w:sz w:val="18"/>
                <w:szCs w:val="18"/>
              </w:rPr>
            </w:pPr>
          </w:p>
        </w:tc>
        <w:tc>
          <w:tcPr>
            <w:tcW w:w="1651" w:type="dxa"/>
            <w:gridSpan w:val="2"/>
            <w:tcMar>
              <w:top w:w="15" w:type="dxa"/>
              <w:left w:w="108" w:type="dxa"/>
              <w:bottom w:w="15" w:type="dxa"/>
              <w:right w:w="108" w:type="dxa"/>
            </w:tcMar>
            <w:vAlign w:val="center"/>
          </w:tcPr>
          <w:p>
            <w:pPr>
              <w:spacing w:line="300" w:lineRule="exact"/>
              <w:jc w:val="both"/>
              <w:rPr>
                <w:rFonts w:ascii="宋体" w:hAnsi="宋体" w:cs="宋体"/>
                <w:sz w:val="18"/>
                <w:szCs w:val="18"/>
              </w:rPr>
            </w:pPr>
            <w:r>
              <w:rPr>
                <w:rFonts w:hint="eastAsia" w:ascii="宋体" w:hAnsi="宋体" w:cs="宋体"/>
                <w:sz w:val="18"/>
                <w:szCs w:val="18"/>
              </w:rPr>
              <w:t>其中：财政拨款</w:t>
            </w:r>
          </w:p>
        </w:tc>
        <w:tc>
          <w:tcPr>
            <w:tcW w:w="1164"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10.9522</w:t>
            </w:r>
          </w:p>
        </w:tc>
        <w:tc>
          <w:tcPr>
            <w:tcW w:w="123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10.9522</w:t>
            </w:r>
          </w:p>
        </w:tc>
        <w:tc>
          <w:tcPr>
            <w:tcW w:w="1164"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10.9522</w:t>
            </w:r>
          </w:p>
        </w:tc>
        <w:tc>
          <w:tcPr>
            <w:tcW w:w="825"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8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80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1" w:type="dxa"/>
            <w:gridSpan w:val="3"/>
            <w:vMerge w:val="continue"/>
            <w:vAlign w:val="center"/>
          </w:tcPr>
          <w:p>
            <w:pPr>
              <w:rPr>
                <w:rFonts w:ascii="宋体" w:hAnsi="宋体" w:cs="宋体"/>
                <w:sz w:val="18"/>
                <w:szCs w:val="18"/>
              </w:rPr>
            </w:pPr>
          </w:p>
        </w:tc>
        <w:tc>
          <w:tcPr>
            <w:tcW w:w="1651" w:type="dxa"/>
            <w:gridSpan w:val="2"/>
            <w:tcMar>
              <w:top w:w="15" w:type="dxa"/>
              <w:left w:w="108" w:type="dxa"/>
              <w:bottom w:w="15" w:type="dxa"/>
              <w:right w:w="108" w:type="dxa"/>
            </w:tcMar>
            <w:vAlign w:val="center"/>
          </w:tcPr>
          <w:p>
            <w:pPr>
              <w:spacing w:line="300" w:lineRule="exact"/>
              <w:jc w:val="both"/>
              <w:rPr>
                <w:rFonts w:ascii="宋体" w:hAnsi="宋体" w:cs="宋体"/>
                <w:sz w:val="18"/>
                <w:szCs w:val="18"/>
              </w:rPr>
            </w:pPr>
            <w:r>
              <w:rPr>
                <w:rFonts w:hint="eastAsia" w:ascii="宋体" w:hAnsi="宋体" w:cs="宋体"/>
                <w:sz w:val="18"/>
                <w:szCs w:val="18"/>
              </w:rPr>
              <w:t>上年结转资金</w:t>
            </w:r>
          </w:p>
        </w:tc>
        <w:tc>
          <w:tcPr>
            <w:tcW w:w="1164"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3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164"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25"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8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0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1521" w:type="dxa"/>
            <w:gridSpan w:val="3"/>
            <w:vMerge w:val="continue"/>
            <w:vAlign w:val="center"/>
          </w:tcPr>
          <w:p>
            <w:pPr>
              <w:rPr>
                <w:rFonts w:ascii="宋体" w:hAnsi="宋体" w:cs="宋体"/>
                <w:sz w:val="18"/>
                <w:szCs w:val="18"/>
              </w:rPr>
            </w:pPr>
          </w:p>
        </w:tc>
        <w:tc>
          <w:tcPr>
            <w:tcW w:w="1651" w:type="dxa"/>
            <w:gridSpan w:val="2"/>
            <w:tcMar>
              <w:top w:w="15" w:type="dxa"/>
              <w:left w:w="108" w:type="dxa"/>
              <w:bottom w:w="15" w:type="dxa"/>
              <w:right w:w="108" w:type="dxa"/>
            </w:tcMar>
            <w:vAlign w:val="center"/>
          </w:tcPr>
          <w:p>
            <w:pPr>
              <w:spacing w:line="300" w:lineRule="exact"/>
              <w:jc w:val="both"/>
              <w:rPr>
                <w:rFonts w:ascii="宋体" w:hAnsi="宋体" w:cs="宋体"/>
                <w:sz w:val="18"/>
                <w:szCs w:val="18"/>
              </w:rPr>
            </w:pPr>
            <w:r>
              <w:rPr>
                <w:rFonts w:hint="eastAsia" w:ascii="宋体" w:hAnsi="宋体" w:cs="宋体"/>
                <w:sz w:val="18"/>
                <w:szCs w:val="18"/>
              </w:rPr>
              <w:t>其他资金</w:t>
            </w:r>
          </w:p>
        </w:tc>
        <w:tc>
          <w:tcPr>
            <w:tcW w:w="1164"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3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164"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25"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288"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80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9660" w:type="dxa"/>
            <w:gridSpan w:val="15"/>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项目绩效年度目标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vMerge w:val="restart"/>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年度总体目标</w:t>
            </w:r>
          </w:p>
        </w:tc>
        <w:tc>
          <w:tcPr>
            <w:tcW w:w="5154" w:type="dxa"/>
            <w:gridSpan w:val="7"/>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预期目标</w:t>
            </w:r>
          </w:p>
        </w:tc>
        <w:tc>
          <w:tcPr>
            <w:tcW w:w="4086" w:type="dxa"/>
            <w:gridSpan w:val="7"/>
            <w:tcMar>
              <w:top w:w="15" w:type="dxa"/>
              <w:left w:w="108" w:type="dxa"/>
              <w:bottom w:w="15" w:type="dxa"/>
              <w:right w:w="108" w:type="dxa"/>
            </w:tcMar>
            <w:vAlign w:val="center"/>
          </w:tcPr>
          <w:p>
            <w:pPr>
              <w:spacing w:line="300" w:lineRule="exact"/>
              <w:jc w:val="center"/>
              <w:rPr>
                <w:rFonts w:ascii="宋体" w:hAnsi="宋体" w:cs="宋体"/>
                <w:sz w:val="18"/>
                <w:szCs w:val="18"/>
                <w:highlight w:val="yellow"/>
              </w:rPr>
            </w:pPr>
            <w:r>
              <w:rPr>
                <w:rFonts w:hint="eastAsia" w:ascii="宋体" w:hAnsi="宋体" w:cs="宋体"/>
                <w:sz w:val="18"/>
                <w:szCs w:val="18"/>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0" w:type="dxa"/>
            <w:vMerge w:val="continue"/>
            <w:vAlign w:val="center"/>
          </w:tcPr>
          <w:p>
            <w:pPr>
              <w:rPr>
                <w:rFonts w:ascii="宋体" w:hAnsi="宋体" w:cs="宋体"/>
                <w:sz w:val="18"/>
                <w:szCs w:val="18"/>
              </w:rPr>
            </w:pPr>
          </w:p>
        </w:tc>
        <w:tc>
          <w:tcPr>
            <w:tcW w:w="5154" w:type="dxa"/>
            <w:gridSpan w:val="7"/>
            <w:tcMar>
              <w:top w:w="15" w:type="dxa"/>
              <w:left w:w="108" w:type="dxa"/>
              <w:bottom w:w="15" w:type="dxa"/>
              <w:right w:w="108" w:type="dxa"/>
            </w:tcMar>
          </w:tcPr>
          <w:p>
            <w:pPr>
              <w:spacing w:line="300" w:lineRule="exact"/>
              <w:jc w:val="both"/>
              <w:rPr>
                <w:rFonts w:ascii="宋体" w:hAnsi="宋体" w:cs="宋体"/>
                <w:sz w:val="18"/>
                <w:szCs w:val="18"/>
              </w:rPr>
            </w:pPr>
            <w:r>
              <w:rPr>
                <w:rFonts w:hint="eastAsia" w:ascii="宋体" w:hAnsi="宋体" w:cs="宋体"/>
                <w:sz w:val="18"/>
                <w:szCs w:val="18"/>
              </w:rPr>
              <w:t>用于支付举办创业大赛、职业技能大赛活动经费，人员劳务费等。</w:t>
            </w:r>
          </w:p>
        </w:tc>
        <w:tc>
          <w:tcPr>
            <w:tcW w:w="4086" w:type="dxa"/>
            <w:gridSpan w:val="7"/>
            <w:tcMar>
              <w:top w:w="15" w:type="dxa"/>
              <w:left w:w="108" w:type="dxa"/>
              <w:bottom w:w="15" w:type="dxa"/>
              <w:right w:w="108" w:type="dxa"/>
            </w:tcMar>
          </w:tcPr>
          <w:p>
            <w:pPr>
              <w:spacing w:line="300" w:lineRule="exact"/>
              <w:jc w:val="both"/>
              <w:rPr>
                <w:rFonts w:ascii="宋体" w:hAnsi="宋体" w:cs="宋体"/>
                <w:sz w:val="18"/>
                <w:szCs w:val="18"/>
                <w:highlight w:val="yellow"/>
              </w:rPr>
            </w:pPr>
            <w:r>
              <w:rPr>
                <w:rFonts w:hint="eastAsia" w:ascii="宋体" w:hAnsi="宋体" w:cs="宋体"/>
                <w:sz w:val="18"/>
                <w:szCs w:val="18"/>
              </w:rPr>
              <w:t>支付举办第八届创业创新大赛、职业技能大赛的欠款及聘请专家等人员的劳务费10.9522万元。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vMerge w:val="restart"/>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年度绩效</w:t>
            </w:r>
            <w:r>
              <w:rPr>
                <w:rFonts w:hint="eastAsia" w:ascii="宋体" w:hAnsi="宋体" w:cs="宋体"/>
                <w:sz w:val="18"/>
                <w:szCs w:val="18"/>
              </w:rPr>
              <w:br w:type="textWrapping"/>
            </w:r>
            <w:r>
              <w:rPr>
                <w:rFonts w:hint="eastAsia" w:ascii="宋体" w:hAnsi="宋体" w:cs="宋体"/>
                <w:sz w:val="18"/>
                <w:szCs w:val="18"/>
              </w:rPr>
              <w:t>指标（90分）</w:t>
            </w:r>
          </w:p>
        </w:tc>
        <w:tc>
          <w:tcPr>
            <w:tcW w:w="964"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一级指标</w:t>
            </w:r>
          </w:p>
        </w:tc>
        <w:tc>
          <w:tcPr>
            <w:tcW w:w="1332"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二级指标</w:t>
            </w:r>
          </w:p>
        </w:tc>
        <w:tc>
          <w:tcPr>
            <w:tcW w:w="1816" w:type="dxa"/>
            <w:gridSpan w:val="3"/>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三级指标</w:t>
            </w:r>
          </w:p>
        </w:tc>
        <w:tc>
          <w:tcPr>
            <w:tcW w:w="1042" w:type="dxa"/>
            <w:tcMar>
              <w:top w:w="15" w:type="dxa"/>
              <w:left w:w="108" w:type="dxa"/>
              <w:bottom w:w="15" w:type="dxa"/>
              <w:right w:w="108" w:type="dxa"/>
            </w:tcMar>
            <w:vAlign w:val="center"/>
          </w:tcPr>
          <w:p>
            <w:pPr>
              <w:pStyle w:val="10"/>
              <w:widowControl/>
              <w:spacing w:before="128" w:line="213" w:lineRule="exact"/>
              <w:ind w:right="53"/>
              <w:jc w:val="center"/>
              <w:rPr>
                <w:kern w:val="2"/>
                <w:sz w:val="18"/>
                <w:szCs w:val="18"/>
              </w:rPr>
            </w:pPr>
            <w:r>
              <w:rPr>
                <w:rFonts w:cs="宋体"/>
                <w:kern w:val="2"/>
                <w:sz w:val="18"/>
                <w:szCs w:val="18"/>
              </w:rPr>
              <w:t>年度指标值</w:t>
            </w:r>
          </w:p>
        </w:tc>
        <w:tc>
          <w:tcPr>
            <w:tcW w:w="88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实际完成值</w:t>
            </w:r>
          </w:p>
        </w:tc>
        <w:tc>
          <w:tcPr>
            <w:tcW w:w="68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分值</w:t>
            </w:r>
          </w:p>
        </w:tc>
        <w:tc>
          <w:tcPr>
            <w:tcW w:w="763"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得分</w:t>
            </w:r>
          </w:p>
        </w:tc>
        <w:tc>
          <w:tcPr>
            <w:tcW w:w="174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vMerge w:val="continue"/>
            <w:vAlign w:val="center"/>
          </w:tcPr>
          <w:p>
            <w:pPr>
              <w:rPr>
                <w:rFonts w:ascii="宋体" w:hAnsi="宋体" w:cs="宋体"/>
                <w:sz w:val="18"/>
                <w:szCs w:val="18"/>
              </w:rPr>
            </w:pPr>
          </w:p>
        </w:tc>
        <w:tc>
          <w:tcPr>
            <w:tcW w:w="964"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项目产出（50分）</w:t>
            </w:r>
          </w:p>
        </w:tc>
        <w:tc>
          <w:tcPr>
            <w:tcW w:w="1332"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数量指标</w:t>
            </w:r>
          </w:p>
        </w:tc>
        <w:tc>
          <w:tcPr>
            <w:tcW w:w="1816" w:type="dxa"/>
            <w:gridSpan w:val="3"/>
            <w:tcMar>
              <w:top w:w="15" w:type="dxa"/>
              <w:left w:w="108" w:type="dxa"/>
              <w:bottom w:w="15" w:type="dxa"/>
              <w:right w:w="108" w:type="dxa"/>
            </w:tcMar>
            <w:vAlign w:val="center"/>
          </w:tcPr>
          <w:p>
            <w:pPr>
              <w:jc w:val="center"/>
              <w:textAlignment w:val="center"/>
              <w:rPr>
                <w:rFonts w:ascii="宋体" w:hAnsi="宋体" w:cs="宋体"/>
                <w:kern w:val="2"/>
              </w:rPr>
            </w:pPr>
            <w:r>
              <w:rPr>
                <w:rFonts w:hint="eastAsia" w:ascii="宋体" w:hAnsi="宋体" w:cs="宋体"/>
                <w:sz w:val="18"/>
                <w:szCs w:val="18"/>
              </w:rPr>
              <w:t>获奖数量</w:t>
            </w:r>
          </w:p>
        </w:tc>
        <w:tc>
          <w:tcPr>
            <w:tcW w:w="1042"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≥10个</w:t>
            </w:r>
          </w:p>
        </w:tc>
        <w:tc>
          <w:tcPr>
            <w:tcW w:w="88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10个</w:t>
            </w:r>
          </w:p>
        </w:tc>
        <w:tc>
          <w:tcPr>
            <w:tcW w:w="68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20分</w:t>
            </w:r>
          </w:p>
        </w:tc>
        <w:tc>
          <w:tcPr>
            <w:tcW w:w="763"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20分</w:t>
            </w:r>
          </w:p>
        </w:tc>
        <w:tc>
          <w:tcPr>
            <w:tcW w:w="1747" w:type="dxa"/>
            <w:gridSpan w:val="2"/>
            <w:tcMar>
              <w:top w:w="15" w:type="dxa"/>
              <w:left w:w="108" w:type="dxa"/>
              <w:bottom w:w="15" w:type="dxa"/>
              <w:right w:w="108" w:type="dxa"/>
            </w:tcMa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vMerge w:val="continue"/>
            <w:vAlign w:val="center"/>
          </w:tcPr>
          <w:p>
            <w:pPr>
              <w:rPr>
                <w:rFonts w:ascii="宋体" w:hAnsi="宋体" w:cs="宋体"/>
                <w:sz w:val="18"/>
                <w:szCs w:val="18"/>
              </w:rPr>
            </w:pPr>
          </w:p>
        </w:tc>
        <w:tc>
          <w:tcPr>
            <w:tcW w:w="964" w:type="dxa"/>
            <w:tcMar>
              <w:top w:w="15" w:type="dxa"/>
              <w:left w:w="108" w:type="dxa"/>
              <w:bottom w:w="15" w:type="dxa"/>
              <w:right w:w="108" w:type="dxa"/>
            </w:tcMar>
          </w:tcPr>
          <w:p>
            <w:pPr>
              <w:spacing w:line="300" w:lineRule="exact"/>
              <w:rPr>
                <w:rFonts w:ascii="宋体" w:hAnsi="宋体" w:cs="宋体"/>
                <w:sz w:val="18"/>
                <w:szCs w:val="18"/>
              </w:rPr>
            </w:pPr>
          </w:p>
        </w:tc>
        <w:tc>
          <w:tcPr>
            <w:tcW w:w="1332"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质量指标</w:t>
            </w:r>
          </w:p>
        </w:tc>
        <w:tc>
          <w:tcPr>
            <w:tcW w:w="1816" w:type="dxa"/>
            <w:gridSpan w:val="3"/>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保障创业大赛项目评选质量</w:t>
            </w:r>
          </w:p>
        </w:tc>
        <w:tc>
          <w:tcPr>
            <w:tcW w:w="1042"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优</w:t>
            </w:r>
          </w:p>
        </w:tc>
        <w:tc>
          <w:tcPr>
            <w:tcW w:w="88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优</w:t>
            </w:r>
          </w:p>
        </w:tc>
        <w:tc>
          <w:tcPr>
            <w:tcW w:w="68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763"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747" w:type="dxa"/>
            <w:gridSpan w:val="2"/>
            <w:tcMar>
              <w:top w:w="15" w:type="dxa"/>
              <w:left w:w="108" w:type="dxa"/>
              <w:bottom w:w="15" w:type="dxa"/>
              <w:right w:w="108" w:type="dxa"/>
            </w:tcMa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vMerge w:val="continue"/>
            <w:vAlign w:val="center"/>
          </w:tcPr>
          <w:p>
            <w:pPr>
              <w:rPr>
                <w:rFonts w:ascii="宋体" w:hAnsi="宋体" w:cs="宋体"/>
                <w:sz w:val="18"/>
                <w:szCs w:val="18"/>
              </w:rPr>
            </w:pPr>
          </w:p>
        </w:tc>
        <w:tc>
          <w:tcPr>
            <w:tcW w:w="964" w:type="dxa"/>
            <w:tcMar>
              <w:top w:w="15" w:type="dxa"/>
              <w:left w:w="108" w:type="dxa"/>
              <w:bottom w:w="15" w:type="dxa"/>
              <w:right w:w="108" w:type="dxa"/>
            </w:tcMar>
          </w:tcPr>
          <w:p>
            <w:pPr>
              <w:spacing w:line="300" w:lineRule="exact"/>
              <w:rPr>
                <w:rFonts w:ascii="宋体" w:hAnsi="宋体" w:cs="宋体"/>
                <w:sz w:val="18"/>
                <w:szCs w:val="18"/>
              </w:rPr>
            </w:pPr>
          </w:p>
        </w:tc>
        <w:tc>
          <w:tcPr>
            <w:tcW w:w="1332"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时效指标</w:t>
            </w:r>
          </w:p>
        </w:tc>
        <w:tc>
          <w:tcPr>
            <w:tcW w:w="1816" w:type="dxa"/>
            <w:gridSpan w:val="3"/>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支付资金及时</w:t>
            </w:r>
          </w:p>
        </w:tc>
        <w:tc>
          <w:tcPr>
            <w:tcW w:w="1042" w:type="dxa"/>
            <w:tcMar>
              <w:top w:w="15" w:type="dxa"/>
              <w:left w:w="108" w:type="dxa"/>
              <w:bottom w:w="15" w:type="dxa"/>
              <w:right w:w="108" w:type="dxa"/>
            </w:tcMar>
            <w:vAlign w:val="center"/>
          </w:tcPr>
          <w:p>
            <w:pPr>
              <w:jc w:val="center"/>
              <w:textAlignment w:val="center"/>
              <w:rPr>
                <w:rFonts w:ascii="宋体" w:hAnsi="宋体" w:cs="宋体"/>
                <w:kern w:val="2"/>
              </w:rPr>
            </w:pPr>
            <w:r>
              <w:rPr>
                <w:rFonts w:hint="eastAsia" w:ascii="宋体" w:hAnsi="宋体" w:cs="宋体"/>
                <w:sz w:val="18"/>
                <w:szCs w:val="18"/>
              </w:rPr>
              <w:t>及时</w:t>
            </w:r>
          </w:p>
        </w:tc>
        <w:tc>
          <w:tcPr>
            <w:tcW w:w="88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及时</w:t>
            </w:r>
          </w:p>
        </w:tc>
        <w:tc>
          <w:tcPr>
            <w:tcW w:w="68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763"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747" w:type="dxa"/>
            <w:gridSpan w:val="2"/>
            <w:tcMar>
              <w:top w:w="15" w:type="dxa"/>
              <w:left w:w="108" w:type="dxa"/>
              <w:bottom w:w="15" w:type="dxa"/>
              <w:right w:w="108" w:type="dxa"/>
            </w:tcMa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vMerge w:val="continue"/>
            <w:vAlign w:val="center"/>
          </w:tcPr>
          <w:p>
            <w:pPr>
              <w:rPr>
                <w:rFonts w:ascii="宋体" w:hAnsi="宋体" w:cs="宋体"/>
                <w:sz w:val="18"/>
                <w:szCs w:val="18"/>
              </w:rPr>
            </w:pPr>
          </w:p>
        </w:tc>
        <w:tc>
          <w:tcPr>
            <w:tcW w:w="964" w:type="dxa"/>
            <w:tcMar>
              <w:top w:w="15" w:type="dxa"/>
              <w:left w:w="108" w:type="dxa"/>
              <w:bottom w:w="15" w:type="dxa"/>
              <w:right w:w="108" w:type="dxa"/>
            </w:tcMar>
          </w:tcPr>
          <w:p>
            <w:pPr>
              <w:spacing w:line="300" w:lineRule="exact"/>
              <w:rPr>
                <w:rFonts w:ascii="宋体" w:hAnsi="宋体" w:cs="宋体"/>
                <w:sz w:val="18"/>
                <w:szCs w:val="18"/>
              </w:rPr>
            </w:pPr>
          </w:p>
        </w:tc>
        <w:tc>
          <w:tcPr>
            <w:tcW w:w="1332"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成本指标</w:t>
            </w:r>
          </w:p>
        </w:tc>
        <w:tc>
          <w:tcPr>
            <w:tcW w:w="1816" w:type="dxa"/>
            <w:gridSpan w:val="3"/>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创业大赛、职业技能大赛成本费用</w:t>
            </w:r>
          </w:p>
        </w:tc>
        <w:tc>
          <w:tcPr>
            <w:tcW w:w="1042"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≤10.9522万元</w:t>
            </w:r>
          </w:p>
        </w:tc>
        <w:tc>
          <w:tcPr>
            <w:tcW w:w="88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10.9522万元</w:t>
            </w:r>
          </w:p>
        </w:tc>
        <w:tc>
          <w:tcPr>
            <w:tcW w:w="68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763"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747" w:type="dxa"/>
            <w:gridSpan w:val="2"/>
            <w:tcMar>
              <w:top w:w="15" w:type="dxa"/>
              <w:left w:w="108" w:type="dxa"/>
              <w:bottom w:w="15" w:type="dxa"/>
              <w:right w:w="108" w:type="dxa"/>
            </w:tcMa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vMerge w:val="continue"/>
            <w:vAlign w:val="center"/>
          </w:tcPr>
          <w:p>
            <w:pPr>
              <w:rPr>
                <w:rFonts w:ascii="宋体" w:hAnsi="宋体" w:cs="宋体"/>
                <w:sz w:val="18"/>
                <w:szCs w:val="18"/>
              </w:rPr>
            </w:pPr>
          </w:p>
        </w:tc>
        <w:tc>
          <w:tcPr>
            <w:tcW w:w="964"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项目效益（30分）</w:t>
            </w:r>
          </w:p>
        </w:tc>
        <w:tc>
          <w:tcPr>
            <w:tcW w:w="1332"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可持续影响</w:t>
            </w:r>
          </w:p>
        </w:tc>
        <w:tc>
          <w:tcPr>
            <w:tcW w:w="1816" w:type="dxa"/>
            <w:gridSpan w:val="3"/>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创业人员积极性提高</w:t>
            </w:r>
          </w:p>
        </w:tc>
        <w:tc>
          <w:tcPr>
            <w:tcW w:w="1042"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提高</w:t>
            </w:r>
          </w:p>
        </w:tc>
        <w:tc>
          <w:tcPr>
            <w:tcW w:w="88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提高</w:t>
            </w:r>
          </w:p>
        </w:tc>
        <w:tc>
          <w:tcPr>
            <w:tcW w:w="68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20分</w:t>
            </w:r>
          </w:p>
        </w:tc>
        <w:tc>
          <w:tcPr>
            <w:tcW w:w="763"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20分</w:t>
            </w:r>
          </w:p>
        </w:tc>
        <w:tc>
          <w:tcPr>
            <w:tcW w:w="1747" w:type="dxa"/>
            <w:gridSpan w:val="2"/>
            <w:tcMar>
              <w:top w:w="15" w:type="dxa"/>
              <w:left w:w="108" w:type="dxa"/>
              <w:bottom w:w="15" w:type="dxa"/>
              <w:right w:w="108" w:type="dxa"/>
            </w:tcMa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vMerge w:val="continue"/>
            <w:vAlign w:val="center"/>
          </w:tcPr>
          <w:p>
            <w:pPr>
              <w:rPr>
                <w:rFonts w:ascii="宋体" w:hAnsi="宋体" w:cs="宋体"/>
                <w:sz w:val="18"/>
                <w:szCs w:val="18"/>
              </w:rPr>
            </w:pPr>
          </w:p>
        </w:tc>
        <w:tc>
          <w:tcPr>
            <w:tcW w:w="964" w:type="dxa"/>
            <w:tcMar>
              <w:top w:w="15" w:type="dxa"/>
              <w:left w:w="108" w:type="dxa"/>
              <w:bottom w:w="15" w:type="dxa"/>
              <w:right w:w="108" w:type="dxa"/>
            </w:tcMar>
            <w:vAlign w:val="center"/>
          </w:tcPr>
          <w:p>
            <w:pPr>
              <w:spacing w:line="300" w:lineRule="exact"/>
              <w:jc w:val="center"/>
              <w:rPr>
                <w:rFonts w:ascii="宋体" w:hAnsi="宋体" w:cs="宋体"/>
                <w:kern w:val="2"/>
                <w:sz w:val="18"/>
                <w:szCs w:val="18"/>
              </w:rPr>
            </w:pPr>
          </w:p>
        </w:tc>
        <w:tc>
          <w:tcPr>
            <w:tcW w:w="1332" w:type="dxa"/>
            <w:gridSpan w:val="2"/>
            <w:tcMar>
              <w:top w:w="15" w:type="dxa"/>
              <w:left w:w="108" w:type="dxa"/>
              <w:bottom w:w="15" w:type="dxa"/>
              <w:right w:w="108" w:type="dxa"/>
            </w:tcMar>
            <w:vAlign w:val="center"/>
          </w:tcPr>
          <w:p>
            <w:pPr>
              <w:spacing w:line="300" w:lineRule="exact"/>
              <w:jc w:val="center"/>
              <w:rPr>
                <w:rFonts w:ascii="宋体" w:hAnsi="宋体" w:cs="宋体"/>
                <w:kern w:val="2"/>
                <w:sz w:val="18"/>
                <w:szCs w:val="18"/>
              </w:rPr>
            </w:pPr>
            <w:r>
              <w:rPr>
                <w:rFonts w:hint="eastAsia" w:ascii="宋体" w:hAnsi="宋体" w:cs="宋体"/>
                <w:sz w:val="18"/>
                <w:szCs w:val="18"/>
              </w:rPr>
              <w:t>社会效益</w:t>
            </w:r>
          </w:p>
        </w:tc>
        <w:tc>
          <w:tcPr>
            <w:tcW w:w="1816" w:type="dxa"/>
            <w:gridSpan w:val="3"/>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我区技能人才水平提升率</w:t>
            </w:r>
          </w:p>
        </w:tc>
        <w:tc>
          <w:tcPr>
            <w:tcW w:w="1042"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88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68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763"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747" w:type="dxa"/>
            <w:gridSpan w:val="2"/>
            <w:tcMar>
              <w:top w:w="15" w:type="dxa"/>
              <w:left w:w="108" w:type="dxa"/>
              <w:bottom w:w="15" w:type="dxa"/>
              <w:right w:w="108" w:type="dxa"/>
            </w:tcMa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vMerge w:val="continue"/>
            <w:vAlign w:val="center"/>
          </w:tcPr>
          <w:p>
            <w:pPr>
              <w:rPr>
                <w:rFonts w:ascii="宋体" w:hAnsi="宋体" w:cs="宋体"/>
                <w:sz w:val="18"/>
                <w:szCs w:val="18"/>
              </w:rPr>
            </w:pPr>
          </w:p>
        </w:tc>
        <w:tc>
          <w:tcPr>
            <w:tcW w:w="964"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满意度指标（20分）</w:t>
            </w:r>
          </w:p>
        </w:tc>
        <w:tc>
          <w:tcPr>
            <w:tcW w:w="1332"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社会公众或服务对象满意度</w:t>
            </w:r>
          </w:p>
        </w:tc>
        <w:tc>
          <w:tcPr>
            <w:tcW w:w="1816" w:type="dxa"/>
            <w:gridSpan w:val="3"/>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创业大赛获奖选手满意度</w:t>
            </w:r>
          </w:p>
        </w:tc>
        <w:tc>
          <w:tcPr>
            <w:tcW w:w="1042"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889" w:type="dxa"/>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68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763"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747" w:type="dxa"/>
            <w:gridSpan w:val="2"/>
            <w:tcMar>
              <w:top w:w="15" w:type="dxa"/>
              <w:left w:w="108" w:type="dxa"/>
              <w:bottom w:w="15" w:type="dxa"/>
              <w:right w:w="108" w:type="dxa"/>
            </w:tcMa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420" w:type="dxa"/>
            <w:tcMar>
              <w:top w:w="15" w:type="dxa"/>
              <w:left w:w="108" w:type="dxa"/>
              <w:bottom w:w="15" w:type="dxa"/>
              <w:right w:w="108" w:type="dxa"/>
            </w:tcMar>
          </w:tcPr>
          <w:p>
            <w:pPr>
              <w:spacing w:line="300" w:lineRule="exact"/>
              <w:jc w:val="both"/>
              <w:rPr>
                <w:rFonts w:ascii="宋体" w:hAnsi="宋体" w:cs="宋体"/>
                <w:kern w:val="2"/>
                <w:sz w:val="18"/>
                <w:szCs w:val="18"/>
              </w:rPr>
            </w:pPr>
          </w:p>
        </w:tc>
        <w:tc>
          <w:tcPr>
            <w:tcW w:w="964" w:type="dxa"/>
            <w:tcMar>
              <w:top w:w="15" w:type="dxa"/>
              <w:left w:w="108" w:type="dxa"/>
              <w:bottom w:w="15" w:type="dxa"/>
              <w:right w:w="108" w:type="dxa"/>
            </w:tcMar>
            <w:vAlign w:val="center"/>
          </w:tcPr>
          <w:p>
            <w:pPr>
              <w:spacing w:line="300" w:lineRule="exact"/>
              <w:jc w:val="center"/>
              <w:rPr>
                <w:rFonts w:ascii="宋体" w:hAnsi="宋体" w:cs="宋体"/>
                <w:kern w:val="2"/>
                <w:sz w:val="18"/>
                <w:szCs w:val="18"/>
              </w:rPr>
            </w:pPr>
          </w:p>
        </w:tc>
        <w:tc>
          <w:tcPr>
            <w:tcW w:w="1332" w:type="dxa"/>
            <w:gridSpan w:val="2"/>
            <w:tcMar>
              <w:top w:w="15" w:type="dxa"/>
              <w:left w:w="108" w:type="dxa"/>
              <w:bottom w:w="15" w:type="dxa"/>
              <w:right w:w="108" w:type="dxa"/>
            </w:tcMar>
            <w:vAlign w:val="center"/>
          </w:tcPr>
          <w:p>
            <w:pPr>
              <w:spacing w:line="300" w:lineRule="exact"/>
              <w:jc w:val="center"/>
              <w:rPr>
                <w:rFonts w:ascii="宋体" w:hAnsi="宋体" w:cs="宋体"/>
                <w:kern w:val="2"/>
                <w:sz w:val="18"/>
                <w:szCs w:val="18"/>
              </w:rPr>
            </w:pPr>
            <w:r>
              <w:rPr>
                <w:rFonts w:hint="eastAsia" w:ascii="宋体" w:hAnsi="宋体" w:cs="宋体"/>
                <w:sz w:val="18"/>
                <w:szCs w:val="18"/>
              </w:rPr>
              <w:t>社会公众或服务对象满意度</w:t>
            </w:r>
          </w:p>
        </w:tc>
        <w:tc>
          <w:tcPr>
            <w:tcW w:w="1816" w:type="dxa"/>
            <w:gridSpan w:val="3"/>
            <w:tcMar>
              <w:top w:w="15" w:type="dxa"/>
              <w:left w:w="108" w:type="dxa"/>
              <w:bottom w:w="15" w:type="dxa"/>
              <w:right w:w="108" w:type="dxa"/>
            </w:tcMar>
            <w:vAlign w:val="center"/>
          </w:tcPr>
          <w:p>
            <w:pPr>
              <w:spacing w:line="300" w:lineRule="exact"/>
              <w:jc w:val="center"/>
              <w:rPr>
                <w:rFonts w:ascii="宋体" w:hAnsi="宋体" w:cs="宋体"/>
                <w:kern w:val="2"/>
                <w:sz w:val="18"/>
                <w:szCs w:val="18"/>
              </w:rPr>
            </w:pPr>
            <w:r>
              <w:rPr>
                <w:rFonts w:hint="eastAsia" w:ascii="宋体" w:hAnsi="宋体" w:cs="宋体"/>
                <w:sz w:val="18"/>
                <w:szCs w:val="18"/>
              </w:rPr>
              <w:t>技能大赛获奖选手满意度</w:t>
            </w:r>
          </w:p>
        </w:tc>
        <w:tc>
          <w:tcPr>
            <w:tcW w:w="1042" w:type="dxa"/>
            <w:tcMar>
              <w:top w:w="15" w:type="dxa"/>
              <w:left w:w="108" w:type="dxa"/>
              <w:bottom w:w="15" w:type="dxa"/>
              <w:right w:w="108" w:type="dxa"/>
            </w:tcMar>
            <w:vAlign w:val="center"/>
          </w:tcPr>
          <w:p>
            <w:pPr>
              <w:spacing w:line="300" w:lineRule="exact"/>
              <w:jc w:val="center"/>
              <w:rPr>
                <w:rFonts w:ascii="宋体" w:hAnsi="宋体" w:cs="宋体"/>
                <w:kern w:val="2"/>
                <w:sz w:val="18"/>
                <w:szCs w:val="18"/>
              </w:rPr>
            </w:pPr>
            <w:r>
              <w:rPr>
                <w:rFonts w:hint="eastAsia" w:ascii="宋体" w:hAnsi="宋体" w:cs="宋体"/>
                <w:sz w:val="18"/>
                <w:szCs w:val="18"/>
              </w:rPr>
              <w:t>＝100%</w:t>
            </w:r>
          </w:p>
        </w:tc>
        <w:tc>
          <w:tcPr>
            <w:tcW w:w="889" w:type="dxa"/>
            <w:tcMar>
              <w:top w:w="15" w:type="dxa"/>
              <w:left w:w="108" w:type="dxa"/>
              <w:bottom w:w="15" w:type="dxa"/>
              <w:right w:w="108" w:type="dxa"/>
            </w:tcMar>
            <w:vAlign w:val="center"/>
          </w:tcPr>
          <w:p>
            <w:pPr>
              <w:spacing w:line="300" w:lineRule="exact"/>
              <w:jc w:val="center"/>
              <w:rPr>
                <w:rFonts w:ascii="宋体" w:hAnsi="宋体" w:cs="宋体"/>
                <w:kern w:val="2"/>
                <w:sz w:val="18"/>
                <w:szCs w:val="18"/>
              </w:rPr>
            </w:pPr>
            <w:r>
              <w:rPr>
                <w:rFonts w:hint="eastAsia" w:ascii="宋体" w:hAnsi="宋体" w:cs="宋体"/>
                <w:sz w:val="18"/>
                <w:szCs w:val="18"/>
              </w:rPr>
              <w:t>100%</w:t>
            </w:r>
          </w:p>
        </w:tc>
        <w:tc>
          <w:tcPr>
            <w:tcW w:w="687"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763" w:type="dxa"/>
            <w:gridSpan w:val="2"/>
            <w:tcMar>
              <w:top w:w="15" w:type="dxa"/>
              <w:left w:w="108" w:type="dxa"/>
              <w:bottom w:w="15" w:type="dxa"/>
              <w:right w:w="108" w:type="dxa"/>
            </w:tcMar>
            <w:vAlign w:val="center"/>
          </w:tcPr>
          <w:p>
            <w:pPr>
              <w:spacing w:line="300" w:lineRule="exact"/>
              <w:jc w:val="center"/>
              <w:rPr>
                <w:rFonts w:ascii="宋体" w:hAnsi="宋体" w:cs="宋体"/>
                <w:sz w:val="18"/>
                <w:szCs w:val="18"/>
              </w:rPr>
            </w:pPr>
            <w:r>
              <w:rPr>
                <w:rFonts w:hint="eastAsia" w:ascii="宋体" w:hAnsi="宋体" w:cs="宋体"/>
                <w:sz w:val="18"/>
                <w:szCs w:val="18"/>
              </w:rPr>
              <w:t>10分</w:t>
            </w:r>
          </w:p>
        </w:tc>
        <w:tc>
          <w:tcPr>
            <w:tcW w:w="1747" w:type="dxa"/>
            <w:gridSpan w:val="2"/>
            <w:tcMar>
              <w:top w:w="15" w:type="dxa"/>
              <w:left w:w="108" w:type="dxa"/>
              <w:bottom w:w="15" w:type="dxa"/>
              <w:right w:w="108" w:type="dxa"/>
            </w:tcMar>
          </w:tcPr>
          <w:p>
            <w:pPr>
              <w:spacing w:line="300" w:lineRule="exact"/>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463" w:type="dxa"/>
            <w:gridSpan w:val="9"/>
            <w:tcMar>
              <w:top w:w="15" w:type="dxa"/>
              <w:left w:w="108" w:type="dxa"/>
              <w:bottom w:w="15" w:type="dxa"/>
              <w:right w:w="108" w:type="dxa"/>
            </w:tcMar>
          </w:tcPr>
          <w:p>
            <w:pPr>
              <w:spacing w:line="300" w:lineRule="exact"/>
              <w:jc w:val="center"/>
              <w:rPr>
                <w:rFonts w:ascii="宋体" w:hAnsi="宋体" w:cs="宋体"/>
                <w:sz w:val="18"/>
                <w:szCs w:val="18"/>
              </w:rPr>
            </w:pPr>
            <w:r>
              <w:rPr>
                <w:rFonts w:hint="eastAsia" w:ascii="宋体" w:hAnsi="宋体" w:cs="宋体"/>
                <w:sz w:val="18"/>
                <w:szCs w:val="18"/>
              </w:rPr>
              <w:t>总分</w:t>
            </w:r>
          </w:p>
        </w:tc>
        <w:tc>
          <w:tcPr>
            <w:tcW w:w="687" w:type="dxa"/>
            <w:gridSpan w:val="2"/>
            <w:tcMar>
              <w:top w:w="15" w:type="dxa"/>
              <w:left w:w="108" w:type="dxa"/>
              <w:bottom w:w="15" w:type="dxa"/>
              <w:right w:w="108" w:type="dxa"/>
            </w:tcMar>
          </w:tcPr>
          <w:p>
            <w:pPr>
              <w:spacing w:line="300" w:lineRule="exact"/>
              <w:jc w:val="center"/>
              <w:rPr>
                <w:rFonts w:ascii="宋体" w:hAnsi="宋体" w:cs="宋体"/>
                <w:sz w:val="18"/>
                <w:szCs w:val="18"/>
              </w:rPr>
            </w:pPr>
            <w:r>
              <w:rPr>
                <w:rFonts w:hint="eastAsia" w:ascii="宋体" w:hAnsi="宋体" w:cs="宋体"/>
                <w:sz w:val="18"/>
                <w:szCs w:val="18"/>
              </w:rPr>
              <w:t>100分</w:t>
            </w:r>
          </w:p>
        </w:tc>
        <w:tc>
          <w:tcPr>
            <w:tcW w:w="763" w:type="dxa"/>
            <w:gridSpan w:val="2"/>
            <w:tcMar>
              <w:top w:w="15" w:type="dxa"/>
              <w:left w:w="108" w:type="dxa"/>
              <w:bottom w:w="15" w:type="dxa"/>
              <w:right w:w="108" w:type="dxa"/>
            </w:tcMar>
          </w:tcPr>
          <w:p>
            <w:pPr>
              <w:spacing w:line="300" w:lineRule="exact"/>
              <w:jc w:val="center"/>
              <w:rPr>
                <w:rFonts w:ascii="宋体" w:hAnsi="宋体" w:eastAsia="宋体" w:cs="宋体"/>
                <w:sz w:val="18"/>
                <w:szCs w:val="18"/>
              </w:rPr>
            </w:pPr>
            <w:r>
              <w:rPr>
                <w:rFonts w:hint="eastAsia" w:ascii="宋体" w:hAnsi="宋体" w:cs="宋体"/>
                <w:sz w:val="18"/>
                <w:szCs w:val="18"/>
              </w:rPr>
              <w:t>100</w:t>
            </w:r>
          </w:p>
          <w:p>
            <w:pPr>
              <w:spacing w:line="300" w:lineRule="exact"/>
              <w:jc w:val="center"/>
              <w:rPr>
                <w:rFonts w:ascii="宋体" w:hAnsi="宋体" w:cs="宋体"/>
                <w:sz w:val="18"/>
                <w:szCs w:val="18"/>
              </w:rPr>
            </w:pPr>
            <w:r>
              <w:rPr>
                <w:rFonts w:hint="eastAsia" w:ascii="宋体" w:hAnsi="宋体" w:cs="宋体"/>
                <w:sz w:val="18"/>
                <w:szCs w:val="18"/>
              </w:rPr>
              <w:t>分</w:t>
            </w:r>
          </w:p>
        </w:tc>
        <w:tc>
          <w:tcPr>
            <w:tcW w:w="1747" w:type="dxa"/>
            <w:gridSpan w:val="2"/>
            <w:tcMar>
              <w:top w:w="15" w:type="dxa"/>
              <w:left w:w="108" w:type="dxa"/>
              <w:bottom w:w="15" w:type="dxa"/>
              <w:right w:w="108" w:type="dxa"/>
            </w:tcMar>
          </w:tcPr>
          <w:p>
            <w:pPr>
              <w:spacing w:line="300" w:lineRule="exact"/>
              <w:rPr>
                <w:rFonts w:ascii="宋体" w:hAnsi="宋体" w:cs="宋体"/>
                <w:sz w:val="18"/>
                <w:szCs w:val="18"/>
              </w:rPr>
            </w:pPr>
          </w:p>
        </w:tc>
      </w:tr>
    </w:tbl>
    <w:p>
      <w:pPr>
        <w:rPr>
          <w:rFonts w:ascii="Times New Roman" w:hAnsi="Times New Roman" w:cs="Times New Roman"/>
          <w:kern w:val="2"/>
          <w:sz w:val="21"/>
        </w:rPr>
      </w:pPr>
    </w:p>
    <w:p/>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hint="eastAsia"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黑体" w:hAnsi="黑体" w:eastAsia="黑体"/>
          <w:sz w:val="32"/>
          <w:szCs w:val="32"/>
        </w:rPr>
      </w:pPr>
      <w:r>
        <w:rPr>
          <w:rFonts w:hint="eastAsia" w:ascii="方正小标宋简体" w:hAnsi="黑体" w:eastAsia="方正小标宋简体"/>
          <w:sz w:val="44"/>
          <w:szCs w:val="44"/>
        </w:rPr>
        <w:t>第二部分 区级预算重点项目绩效评价报告</w:t>
      </w: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both"/>
        <w:rPr>
          <w:rFonts w:ascii="方正小标宋简体" w:hAnsi="黑体" w:eastAsia="方正小标宋简体"/>
          <w:sz w:val="44"/>
          <w:szCs w:val="44"/>
        </w:rPr>
      </w:pPr>
    </w:p>
    <w:p>
      <w:pPr>
        <w:widowControl w:val="0"/>
        <w:overflowPunct w:val="0"/>
        <w:spacing w:after="0" w:line="360" w:lineRule="auto"/>
        <w:jc w:val="center"/>
        <w:rPr>
          <w:rFonts w:hint="eastAsia" w:ascii="方正小标宋简体" w:hAnsi="方正小标宋简体" w:eastAsia="方正小标宋简体" w:cs="方正小标宋简体"/>
          <w:kern w:val="2"/>
          <w:sz w:val="44"/>
          <w:szCs w:val="44"/>
        </w:rPr>
      </w:pPr>
    </w:p>
    <w:p>
      <w:pPr>
        <w:widowControl w:val="0"/>
        <w:overflowPunct w:val="0"/>
        <w:spacing w:after="0" w:line="360" w:lineRule="auto"/>
        <w:jc w:val="center"/>
        <w:rPr>
          <w:rFonts w:ascii="方正小标宋简体" w:hAnsi="方正小标宋简体" w:eastAsia="方正小标宋简体" w:cs="方正小标宋简体"/>
          <w:kern w:val="2"/>
          <w:sz w:val="44"/>
          <w:szCs w:val="44"/>
        </w:rPr>
      </w:pPr>
    </w:p>
    <w:p>
      <w:pPr>
        <w:pStyle w:val="19"/>
        <w:adjustRightInd/>
        <w:snapToGrid/>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临淄区社会养老保险区级政府补贴资金</w:t>
      </w:r>
    </w:p>
    <w:p>
      <w:pPr>
        <w:pStyle w:val="19"/>
        <w:adjustRightInd/>
        <w:snapToGrid/>
        <w:spacing w:line="560" w:lineRule="exact"/>
        <w:ind w:firstLine="0" w:firstLineChars="0"/>
        <w:jc w:val="center"/>
        <w:rPr>
          <w:rFonts w:ascii="方正小标宋简体" w:hAnsi="华文中宋" w:eastAsia="方正小标宋简体"/>
          <w:sz w:val="44"/>
          <w:szCs w:val="44"/>
        </w:rPr>
      </w:pPr>
      <w:r>
        <w:rPr>
          <w:rFonts w:hint="eastAsia" w:ascii="方正小标宋简体" w:eastAsia="方正小标宋简体"/>
          <w:sz w:val="44"/>
          <w:szCs w:val="44"/>
        </w:rPr>
        <w:t>项目绩效评价报告</w:t>
      </w:r>
    </w:p>
    <w:p>
      <w:pPr>
        <w:snapToGrid/>
        <w:spacing w:after="0" w:line="560" w:lineRule="exact"/>
        <w:ind w:firstLine="600"/>
        <w:jc w:val="both"/>
        <w:rPr>
          <w:rFonts w:ascii="仿宋_GB2312" w:hAnsi="黑体" w:eastAsia="仿宋_GB2312" w:cs="黑体"/>
          <w:sz w:val="32"/>
          <w:szCs w:val="32"/>
        </w:rPr>
      </w:pPr>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一、项目基本情况及实施目的</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（一）项目立项背景</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为贯彻落实省政府《关于建立居民基本养老保险制度的实施意见》（鲁政发〔2013〕13号），省人社厅、省财政厅《山东省机关事业单位养老保险制度改革实施办法》（鲁人社发〔2015〕46号）等文件要求，切实做好离退休人员养老金发放工作，区人社局于2022年继续实施社会养老保险区级政府补贴资金项目，以保障离退休人员养老金及时足额发放，确保基金安全。</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（二）项目预算安排和支出情况</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2022年，临淄区社会养老保险区级政府补贴资金项目区级预算38800万元，其中城乡居民养老保险基金区级财政补助8800万元（含财政代缴人员补贴100万元）；机关事业单位养老保险基金区级财政补助30000万元。截至2022年底，项目实际支出区级资金31529.65万元；其中发放城乡居民养老保险费8322.51万元，发放机关事业单位养老保险费23207.14万元。</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（三）项目主要内容和实施情况</w:t>
      </w:r>
    </w:p>
    <w:p>
      <w:pPr>
        <w:snapToGrid/>
        <w:spacing w:after="0" w:line="560" w:lineRule="exact"/>
        <w:ind w:firstLine="643" w:firstLineChars="200"/>
        <w:jc w:val="both"/>
        <w:rPr>
          <w:rFonts w:ascii="仿宋_GB2312" w:hAnsi="楷体" w:eastAsia="仿宋_GB2312" w:cs="楷体"/>
          <w:b/>
          <w:bCs/>
          <w:sz w:val="32"/>
          <w:szCs w:val="32"/>
        </w:rPr>
      </w:pPr>
      <w:r>
        <w:rPr>
          <w:rFonts w:hint="eastAsia" w:ascii="仿宋_GB2312" w:hAnsi="楷体" w:eastAsia="仿宋_GB2312" w:cs="楷体"/>
          <w:b/>
          <w:bCs/>
          <w:sz w:val="32"/>
          <w:szCs w:val="32"/>
        </w:rPr>
        <w:t>1.项目主要内容</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（1）落实区级财政对城乡居民养老保险基金的补助，合并征缴收入及其他补贴收入，用于为城乡居民发放养老待遇；</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定期核对机关事业单位养老保险基金支出情况，及时掌握区级机关事业单位养老保险基金结余情况，并根据结余情况向区财政局提出资金缺口补贴申请，合并征缴收入及其他补贴收入，用于为机关事业单位人员发放养老待遇。</w:t>
      </w:r>
    </w:p>
    <w:p>
      <w:pPr>
        <w:snapToGrid/>
        <w:spacing w:after="0" w:line="560" w:lineRule="exact"/>
        <w:ind w:firstLine="643" w:firstLineChars="200"/>
        <w:jc w:val="both"/>
        <w:rPr>
          <w:rFonts w:ascii="仿宋_GB2312" w:hAnsi="楷体" w:eastAsia="仿宋_GB2312" w:cs="楷体"/>
          <w:b/>
          <w:bCs/>
          <w:sz w:val="32"/>
          <w:szCs w:val="32"/>
        </w:rPr>
      </w:pPr>
      <w:r>
        <w:rPr>
          <w:rFonts w:hint="eastAsia" w:ascii="仿宋_GB2312" w:hAnsi="楷体" w:eastAsia="仿宋_GB2312" w:cs="楷体"/>
          <w:b/>
          <w:bCs/>
          <w:sz w:val="32"/>
          <w:szCs w:val="32"/>
        </w:rPr>
        <w:t>2.项目实施情况</w:t>
      </w:r>
    </w:p>
    <w:p>
      <w:pPr>
        <w:pStyle w:val="19"/>
        <w:snapToGrid/>
        <w:spacing w:line="560" w:lineRule="exact"/>
        <w:rPr>
          <w:rFonts w:ascii="仿宋_GB2312" w:hAnsi="Calibri" w:eastAsia="仿宋_GB2312" w:cs="Times New Roman"/>
          <w:sz w:val="32"/>
          <w:szCs w:val="32"/>
        </w:rPr>
      </w:pPr>
      <w:r>
        <w:rPr>
          <w:rFonts w:hint="eastAsia" w:ascii="仿宋_GB2312" w:hAnsi="Calibri" w:eastAsia="仿宋_GB2312" w:cs="Times New Roman"/>
          <w:sz w:val="32"/>
          <w:szCs w:val="32"/>
        </w:rPr>
        <w:t>（1）城乡居民养老保险</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2022年，区社保中心根据市政府《关于进一步完善居民基本养老保险制度的意见》（淄政发〔2018〕32号）规定的个人缴费政府补贴标准和基础养老金政府补贴标准，落实区级财政补助8322.51万元。截至2022年12月末，城乡居民参保人员共计216090人，缴费人员98230人，领取养老金人员89197人，本年新增领取养老金人员5077人。</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（2）机关事业单位养老保险</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2022年，区社保中心根据机关事业单位养老保险基金收支缺口，申请区级财政补助23207.14万元。截至2022年12月末，机关事业单位参保人员共计18235人，其中缴费人员11300人，领取养老金退休退职人员6935人，本年新增领取养老金人员321人。</w:t>
      </w:r>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二、项目绩效目标</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（一）总体绩效目标</w:t>
      </w:r>
    </w:p>
    <w:p>
      <w:pPr>
        <w:snapToGrid/>
        <w:spacing w:after="0" w:line="560" w:lineRule="exact"/>
        <w:ind w:firstLine="640" w:firstLineChars="20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通过开展社会养老保险区级政府补贴资金项目，加强城乡居民对于养老保险认识及参与度，确保机关事业单位退休人员养老金和居民养老金按时发放</w:t>
      </w:r>
      <w:r>
        <w:rPr>
          <w:rFonts w:hint="eastAsia" w:ascii="仿宋_GB2312" w:eastAsia="仿宋_GB2312" w:cs="Times New Roman"/>
          <w:kern w:val="2"/>
          <w:sz w:val="32"/>
          <w:szCs w:val="32"/>
        </w:rPr>
        <w:t>，</w:t>
      </w:r>
      <w:r>
        <w:rPr>
          <w:rFonts w:hint="eastAsia" w:ascii="仿宋_GB2312" w:hAnsi="Calibri" w:eastAsia="仿宋_GB2312" w:cs="Times New Roman"/>
          <w:kern w:val="2"/>
          <w:sz w:val="32"/>
          <w:szCs w:val="32"/>
        </w:rPr>
        <w:t>提高社会保障水平，使老百姓能够做到老有所依，提高全社会的社会幸福感以及参与感。</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（二）年度绩效目标</w:t>
      </w:r>
    </w:p>
    <w:p>
      <w:pPr>
        <w:snapToGrid/>
        <w:spacing w:after="0" w:line="560" w:lineRule="exact"/>
        <w:ind w:firstLine="640" w:firstLineChars="200"/>
        <w:jc w:val="both"/>
        <w:rPr>
          <w:rFonts w:ascii="仿宋_GB2312" w:hAnsi="Calibri" w:eastAsia="仿宋_GB2312" w:cs="Times New Roman"/>
          <w:kern w:val="2"/>
          <w:sz w:val="32"/>
          <w:szCs w:val="32"/>
        </w:rPr>
      </w:pPr>
      <w:r>
        <w:rPr>
          <w:rFonts w:hint="eastAsia" w:ascii="仿宋_GB2312" w:eastAsia="仿宋_GB2312" w:cs="Times New Roman"/>
          <w:kern w:val="2"/>
          <w:sz w:val="32"/>
          <w:szCs w:val="32"/>
        </w:rPr>
        <w:t>2022年计划为89184名城乡居民退休人员和7084名机关退休人员按时</w:t>
      </w:r>
      <w:r>
        <w:rPr>
          <w:rFonts w:hint="eastAsia" w:ascii="仿宋_GB2312" w:hAnsi="Calibri" w:eastAsia="仿宋_GB2312" w:cs="Times New Roman"/>
          <w:kern w:val="2"/>
          <w:sz w:val="32"/>
          <w:szCs w:val="32"/>
        </w:rPr>
        <w:t>发放居民</w:t>
      </w:r>
      <w:r>
        <w:rPr>
          <w:rFonts w:hint="eastAsia" w:ascii="仿宋_GB2312" w:eastAsia="仿宋_GB2312" w:cs="Times New Roman"/>
          <w:kern w:val="2"/>
          <w:sz w:val="32"/>
          <w:szCs w:val="32"/>
        </w:rPr>
        <w:t>和</w:t>
      </w:r>
      <w:r>
        <w:rPr>
          <w:rFonts w:hint="eastAsia" w:ascii="仿宋_GB2312" w:hAnsi="Calibri" w:eastAsia="仿宋_GB2312" w:cs="Times New Roman"/>
          <w:kern w:val="2"/>
          <w:sz w:val="32"/>
          <w:szCs w:val="32"/>
        </w:rPr>
        <w:t>机关养老保险，保障各项基金的正常运行，缓解社会不平等现象，减少贫富差距，促进社会公正与和谐。</w:t>
      </w:r>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三、评价基本情况</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（一）绩效评价目的、对象和范围</w:t>
      </w:r>
    </w:p>
    <w:p>
      <w:pPr>
        <w:snapToGrid/>
        <w:spacing w:after="0" w:line="560" w:lineRule="exact"/>
        <w:ind w:firstLine="643" w:firstLineChars="200"/>
        <w:jc w:val="both"/>
        <w:rPr>
          <w:rFonts w:ascii="仿宋_GB2312" w:hAnsi="楷体" w:eastAsia="仿宋_GB2312" w:cs="楷体"/>
          <w:b/>
          <w:bCs/>
          <w:sz w:val="32"/>
          <w:szCs w:val="32"/>
        </w:rPr>
      </w:pPr>
      <w:r>
        <w:rPr>
          <w:rFonts w:hint="eastAsia" w:ascii="仿宋_GB2312" w:hAnsi="楷体" w:eastAsia="仿宋_GB2312" w:cs="楷体"/>
          <w:b/>
          <w:bCs/>
          <w:sz w:val="32"/>
          <w:szCs w:val="32"/>
        </w:rPr>
        <w:t>1.绩效评价的目的</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通过开展绩效评价，全面了解、分析、衡量项目资金管理和使用情况，了解资金的发放和管理等环节是否规范；项目实施过程与政策衔接是否有效。根据项目的执行及完成情况，运用科学、规范的绩效评价方法，依据评价指标体系，对资金的使用进行综合评判，客观反映其社会效益、可持续影响；进一步规范资金的分配和使用，强化监督管理机制，抓实措施，保障资金投入目标的落实，确保项目资金充分发挥效益。</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通过绩效评价，发现项目实施过程中存在的问题，提出有针对性的意见和建议，采取切实可行的改进措施，加强项目管理，提高资金管理水平；总结预算管理经验，查找资金使用和管理中的薄弱环节，为进一步完善财政政策、改进预算管理、提高财政资源配置效率和使用效益提供依据，为后续资金安排提供重要参考。</w:t>
      </w:r>
    </w:p>
    <w:p>
      <w:pPr>
        <w:snapToGrid/>
        <w:spacing w:after="0" w:line="560" w:lineRule="exact"/>
        <w:ind w:firstLine="643" w:firstLineChars="200"/>
        <w:jc w:val="both"/>
        <w:rPr>
          <w:rFonts w:ascii="仿宋_GB2312" w:hAnsi="楷体" w:eastAsia="仿宋_GB2312" w:cs="楷体"/>
          <w:b/>
          <w:bCs/>
          <w:sz w:val="32"/>
          <w:szCs w:val="32"/>
        </w:rPr>
      </w:pPr>
      <w:r>
        <w:rPr>
          <w:rFonts w:hint="eastAsia" w:ascii="仿宋_GB2312" w:hAnsi="楷体" w:eastAsia="仿宋_GB2312" w:cs="楷体"/>
          <w:b/>
          <w:bCs/>
          <w:sz w:val="32"/>
          <w:szCs w:val="32"/>
        </w:rPr>
        <w:t>2.绩效评价对象</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Times New Roman"/>
          <w:sz w:val="32"/>
          <w:szCs w:val="32"/>
        </w:rPr>
        <w:t>本次评价的对象是</w:t>
      </w:r>
      <w:r>
        <w:rPr>
          <w:rFonts w:hint="eastAsia" w:ascii="仿宋_GB2312" w:eastAsia="仿宋_GB2312" w:cs="Times New Roman"/>
          <w:sz w:val="32"/>
          <w:szCs w:val="32"/>
        </w:rPr>
        <w:t>本项目</w:t>
      </w:r>
      <w:r>
        <w:rPr>
          <w:rFonts w:hint="eastAsia" w:ascii="仿宋_GB2312" w:hAnsi="宋体" w:eastAsia="仿宋_GB2312" w:cs="Times New Roman"/>
          <w:sz w:val="32"/>
          <w:szCs w:val="32"/>
        </w:rPr>
        <w:t>实施情况及财政资源配置效率和使用效益情况，结合项目立项、项目实施、基金管理、项目产出和绩效等</w:t>
      </w:r>
      <w:r>
        <w:rPr>
          <w:rFonts w:hint="eastAsia" w:ascii="仿宋_GB2312" w:eastAsia="仿宋_GB2312" w:cs="Times New Roman"/>
          <w:sz w:val="32"/>
          <w:szCs w:val="32"/>
        </w:rPr>
        <w:t>。</w:t>
      </w:r>
    </w:p>
    <w:p>
      <w:pPr>
        <w:snapToGrid/>
        <w:spacing w:after="0" w:line="560" w:lineRule="exact"/>
        <w:ind w:firstLine="643" w:firstLineChars="200"/>
        <w:jc w:val="both"/>
        <w:rPr>
          <w:rFonts w:ascii="仿宋_GB2312" w:hAnsi="楷体" w:eastAsia="仿宋_GB2312" w:cs="楷体"/>
          <w:b/>
          <w:bCs/>
          <w:sz w:val="32"/>
          <w:szCs w:val="32"/>
        </w:rPr>
      </w:pPr>
      <w:r>
        <w:rPr>
          <w:rFonts w:hint="eastAsia" w:ascii="仿宋_GB2312" w:hAnsi="楷体" w:eastAsia="仿宋_GB2312" w:cs="楷体"/>
          <w:b/>
          <w:bCs/>
          <w:sz w:val="32"/>
          <w:szCs w:val="32"/>
        </w:rPr>
        <w:t>3.绩效评价范围</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（1）项目决策情况，包括项目立项、绩效目标、基金预算安排情况。</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（2）项目主管部门及相关部门、单位对项目实施过程的监督管理情况及项目执行情况。</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（3）基金管理及使用情况，包括基金收入、支出预算执行情况、结余情况、收益情况、基金管理情况。</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（4）项目目标的实现程度及效果情况。</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（5）根据项目实际情况确定的其他评价内容。</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（二）绩效评价原则、评价指标体系、评价方法、评价标准</w:t>
      </w:r>
    </w:p>
    <w:p>
      <w:pPr>
        <w:snapToGrid/>
        <w:spacing w:after="0" w:line="560" w:lineRule="exact"/>
        <w:ind w:firstLine="643" w:firstLineChars="200"/>
        <w:jc w:val="both"/>
        <w:rPr>
          <w:rFonts w:ascii="仿宋_GB2312" w:hAnsi="楷体" w:eastAsia="仿宋_GB2312" w:cs="楷体"/>
          <w:b/>
          <w:bCs/>
          <w:sz w:val="32"/>
          <w:szCs w:val="32"/>
        </w:rPr>
      </w:pPr>
      <w:r>
        <w:rPr>
          <w:rFonts w:hint="eastAsia" w:ascii="仿宋_GB2312" w:hAnsi="楷体" w:eastAsia="仿宋_GB2312" w:cs="楷体"/>
          <w:b/>
          <w:bCs/>
          <w:sz w:val="32"/>
          <w:szCs w:val="32"/>
        </w:rPr>
        <w:t>1.绩效评价原则</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（1）科学公正。运用科学合理的方法，按照规范的程序，对项目绩效进行客观、公正的反映。</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（2）统筹兼顾。职责明确，各有侧重，相互衔接。</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（3）激励约束。绩效评价结果与预算安排、政策调整、改进管理实质性挂钩，体现奖优罚劣和激励相容导向，有效要安排、低效要压减、无效要问责。</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（4）公开透明。绩效评价结果依法依规公开，并自觉接受社会监督。</w:t>
      </w:r>
    </w:p>
    <w:p>
      <w:pPr>
        <w:snapToGrid/>
        <w:spacing w:after="0" w:line="560" w:lineRule="exact"/>
        <w:ind w:firstLine="643" w:firstLineChars="200"/>
        <w:jc w:val="both"/>
        <w:rPr>
          <w:rFonts w:ascii="仿宋_GB2312" w:hAnsi="楷体" w:eastAsia="仿宋_GB2312" w:cs="楷体"/>
          <w:b/>
          <w:bCs/>
          <w:sz w:val="32"/>
          <w:szCs w:val="32"/>
        </w:rPr>
      </w:pPr>
      <w:r>
        <w:rPr>
          <w:rFonts w:hint="eastAsia" w:ascii="仿宋_GB2312" w:hAnsi="楷体" w:eastAsia="仿宋_GB2312" w:cs="楷体"/>
          <w:b/>
          <w:bCs/>
          <w:sz w:val="32"/>
          <w:szCs w:val="32"/>
        </w:rPr>
        <w:t>2.评价指标体系</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根据绩效评价相关制度，结合本项目实际特点，我们组织专业力量成立绩效评价工作组进行指标体系的构建。绩效评价指标的研发遵循定量、定性相结合的原则，参照行业、专业标准及采集的相关数据材料制订评价标准，采用“以结果为导向、突出绩效”的绩效评价方法，对评价项目进行逐步分解，评价资金使用的效率与效益。评价采用预期目标与实施效果比较方法，将绩效目标与其实际所产生的效益进行对比，对项目资金的使用绩效作出全面评价。</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根据归纳的上述政策法规等五个方面的评价依据，针对项目的实施特点和过程，我们在深入分析的基础上，从决策、过程、产出和效益四个方面来设置评价指标体系。</w:t>
      </w:r>
    </w:p>
    <w:p>
      <w:pPr>
        <w:snapToGrid/>
        <w:spacing w:after="0" w:line="560" w:lineRule="exact"/>
        <w:ind w:firstLine="643" w:firstLineChars="200"/>
        <w:jc w:val="both"/>
        <w:rPr>
          <w:rFonts w:ascii="仿宋_GB2312" w:hAnsi="楷体" w:eastAsia="仿宋_GB2312" w:cs="楷体"/>
          <w:b/>
          <w:bCs/>
          <w:sz w:val="32"/>
          <w:szCs w:val="32"/>
        </w:rPr>
      </w:pPr>
      <w:r>
        <w:rPr>
          <w:rFonts w:hint="eastAsia" w:ascii="仿宋_GB2312" w:hAnsi="楷体" w:eastAsia="仿宋_GB2312" w:cs="楷体"/>
          <w:b/>
          <w:bCs/>
          <w:sz w:val="32"/>
          <w:szCs w:val="32"/>
        </w:rPr>
        <w:t>3.评价方法</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通过研究分析本项目实施情况，根据公司所确定的技术原则，采取成本效益分析法、比较法、因素分析法、最低成本法中的一种或多种方法相结合的方式进行评价。</w:t>
      </w:r>
    </w:p>
    <w:p>
      <w:pPr>
        <w:snapToGrid/>
        <w:spacing w:after="0" w:line="560" w:lineRule="exact"/>
        <w:ind w:firstLine="643" w:firstLineChars="200"/>
        <w:jc w:val="both"/>
        <w:rPr>
          <w:rFonts w:ascii="仿宋_GB2312" w:hAnsi="楷体" w:eastAsia="仿宋_GB2312" w:cs="楷体"/>
          <w:b/>
          <w:bCs/>
          <w:sz w:val="32"/>
          <w:szCs w:val="32"/>
        </w:rPr>
      </w:pPr>
      <w:r>
        <w:rPr>
          <w:rFonts w:hint="eastAsia" w:ascii="仿宋_GB2312" w:hAnsi="楷体" w:eastAsia="仿宋_GB2312" w:cs="楷体"/>
          <w:b/>
          <w:bCs/>
          <w:sz w:val="32"/>
          <w:szCs w:val="32"/>
        </w:rPr>
        <w:t>4.评价标准</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经过我们深入研究，分析项目的全过程，总结归纳政策法规、管理办法和技术规范、实施过程文件、参考资料和监督文件等五个方面（详见正文），作为本次“临淄区社会养老保险区级政府补贴资金项目”项目绩效评价的评价依据。</w:t>
      </w:r>
    </w:p>
    <w:p>
      <w:pPr>
        <w:widowControl w:val="0"/>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（三）绩效评价工作过程</w:t>
      </w:r>
    </w:p>
    <w:p>
      <w:pPr>
        <w:pStyle w:val="11"/>
        <w:snapToGrid/>
        <w:spacing w:line="560" w:lineRule="exact"/>
        <w:ind w:firstLine="643"/>
        <w:rPr>
          <w:rFonts w:hint="default" w:ascii="仿宋_GB2312" w:hAnsi="楷体" w:eastAsia="仿宋_GB2312"/>
          <w:b/>
          <w:sz w:val="32"/>
          <w:szCs w:val="32"/>
        </w:rPr>
      </w:pPr>
      <w:r>
        <w:rPr>
          <w:rFonts w:ascii="仿宋_GB2312" w:hAnsi="楷体" w:eastAsia="仿宋_GB2312"/>
          <w:b/>
          <w:sz w:val="32"/>
          <w:szCs w:val="32"/>
        </w:rPr>
        <w:t>1.评价准备阶段</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（1）成立绩效评价工作组。</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（2）开展前期调研。</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（3）设计绩效评价指标体系。</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（4）制定评价实施方案。</w:t>
      </w:r>
    </w:p>
    <w:p>
      <w:pPr>
        <w:pStyle w:val="11"/>
        <w:snapToGrid/>
        <w:spacing w:line="560" w:lineRule="exact"/>
        <w:ind w:firstLine="643"/>
        <w:rPr>
          <w:rFonts w:hint="default" w:ascii="仿宋_GB2312" w:hAnsi="楷体" w:eastAsia="仿宋_GB2312"/>
          <w:b/>
          <w:sz w:val="32"/>
          <w:szCs w:val="32"/>
        </w:rPr>
      </w:pPr>
      <w:r>
        <w:rPr>
          <w:rFonts w:ascii="仿宋_GB2312" w:hAnsi="楷体" w:eastAsia="仿宋_GB2312"/>
          <w:b/>
          <w:sz w:val="32"/>
          <w:szCs w:val="32"/>
        </w:rPr>
        <w:t>2.评价实施阶段</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（1）现场评价。</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（2）非现场评价。</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（3）综合分析，形成评价初步结论。</w:t>
      </w:r>
    </w:p>
    <w:p>
      <w:pPr>
        <w:pStyle w:val="11"/>
        <w:snapToGrid/>
        <w:spacing w:line="560" w:lineRule="exact"/>
        <w:ind w:firstLine="842" w:firstLineChars="262"/>
        <w:rPr>
          <w:rFonts w:hint="default" w:ascii="仿宋_GB2312" w:hAnsi="楷体" w:eastAsia="仿宋_GB2312"/>
          <w:b/>
          <w:sz w:val="32"/>
          <w:szCs w:val="32"/>
        </w:rPr>
      </w:pPr>
      <w:r>
        <w:rPr>
          <w:rFonts w:ascii="仿宋_GB2312" w:hAnsi="楷体" w:eastAsia="仿宋_GB2312"/>
          <w:b/>
          <w:sz w:val="32"/>
          <w:szCs w:val="32"/>
        </w:rPr>
        <w:t>3.评价总结阶段</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（1）拟定绩效评价报告初稿；</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（2）与被评价单位及项目主管部门交换意见，评价工作组根据其合理意见，对报告进行修改；</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（3）形成新的绩效评价报告并在规定时间内提交；</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 xml:space="preserve">（4）委托方、被评价单位及项目主管部门参与报告评审会，共同对报告进行确认； </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（5）区财政局对评价工作组的评价报告进行复审；</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（6）评价工作组根据评审意见对评价报告进行修改调整，形成最终评价结果和等次；</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（7）将正式绩效评价报告报送区财政局。</w:t>
      </w:r>
    </w:p>
    <w:p>
      <w:pPr>
        <w:pStyle w:val="11"/>
        <w:snapToGrid/>
        <w:spacing w:line="560" w:lineRule="exact"/>
        <w:ind w:firstLine="842" w:firstLineChars="262"/>
        <w:rPr>
          <w:rFonts w:hint="default" w:ascii="仿宋_GB2312" w:hAnsi="楷体" w:eastAsia="仿宋_GB2312"/>
          <w:b/>
          <w:sz w:val="32"/>
          <w:szCs w:val="32"/>
        </w:rPr>
      </w:pPr>
      <w:r>
        <w:rPr>
          <w:rFonts w:ascii="仿宋_GB2312" w:hAnsi="楷体" w:eastAsia="仿宋_GB2312"/>
          <w:b/>
          <w:sz w:val="32"/>
          <w:szCs w:val="32"/>
        </w:rPr>
        <w:t>4.档案归集</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对部门单位报送的项目资料、现场评价资料、非现场评价资料进行分类归纳，形成本项目资料档案包，归入公司档案库，以备存查。</w:t>
      </w:r>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四、评价结论和绩效分析</w:t>
      </w:r>
    </w:p>
    <w:p>
      <w:pPr>
        <w:snapToGrid/>
        <w:spacing w:after="0" w:line="560" w:lineRule="exact"/>
        <w:ind w:firstLine="640" w:firstLineChars="200"/>
        <w:jc w:val="both"/>
        <w:rPr>
          <w:rFonts w:ascii="仿宋_GB2312" w:eastAsia="仿宋_GB2312" w:cs="Times New Roman"/>
          <w:sz w:val="32"/>
          <w:szCs w:val="32"/>
        </w:rPr>
      </w:pPr>
      <w:r>
        <w:rPr>
          <w:rFonts w:hint="eastAsia" w:ascii="楷体_GB2312" w:eastAsia="楷体_GB2312" w:hAnsiTheme="minorHAnsi"/>
          <w:kern w:val="2"/>
          <w:sz w:val="32"/>
          <w:szCs w:val="32"/>
        </w:rPr>
        <w:t>（一）综合评价结论</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根据本项目绩效评价指标打分情况，临淄区社会养老保险区级政府补贴资金项目的最终得分为83.85分，评价等级为“良”。其中决策得分9.5分，过程得分25.96分，产出得分34.68分，效益得分13.71分。</w:t>
      </w:r>
    </w:p>
    <w:p>
      <w:pPr>
        <w:widowControl w:val="0"/>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（二）绩效分析</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临淄区社会养老保险区级政府补贴资金项目，在项目决策方面，项目立项符合国家政策和客观实际，财政能够有效保障养老基金缺口补助，预算内容与项目实际内容相匹配，资金投入到位及时，但项目绩效目标编制不够规范，且预算申请金额偏高。</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在项目过程方面，基金收入预算执行率高，基金使用合规，城乡居民养老保险基金支撑能力强，基金收益良好，政策宣传有效，基础保障工作到位、人员增减动态管理及时，基金监管有效，业务经办规范，权益告知充分，但部分制度不健全，城乡居民养老保险支出预算执行率低。</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在项目产出方面，机关事业单位养老保险征缴人数达到年初目标，全面覆盖基础养老保险应发放人数，养老金给付标准合规，给付对象真实，基本养老金发放及时，但城乡居民养老保险征缴人数未达到年初目标，基金成本节约率低。</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在项目效益方面，机关事业单位养老保险持续运转情况良好，待遇保障水平较高，受益群众满意度高，但城乡居民养老保险持续运转能力及养老金保障功能有待进一步提高。</w:t>
      </w:r>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五、存在问题及原因分析</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（一）部分管理制度不健全</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淄博市机关事业单位工作人员基本养老保险经办规程》规定“社保经办机构按照有关规定建立健全机关事业单位养老保险稽核制度和内控制度”“社保经办机构应建立异常业务审查和处理机制”“社保经办机构应建立业务纠错机制”，但区人社局因管理不到位，未能按要求制定《机关事业单位养老保险稽核制度》《异常业务审查和处理机制》《业务纠错机制》，管理制度制定不健全。</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（二）城乡居民缴费档次低，基金保障功能较弱</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受参保人经济能力有限以及农村居民对养老保险的了解和认知程度较低等因素影响，城乡居民参保人员个人缴费档次较低，选择300—500元缴费档次参保缴费的占比87.91%，最高档次以下的共占95.67%。因个人缴费档次偏低，且累计缴费年限较短，导致养老保险社会保障能力比较弱：2022年度城乡居民养老保险月人均养老金为199.47元，仅占2022年淄博市农村居民人均可支配收入月人均标准2047.67元的9.74%。</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（三）城乡居民养老金持续运转一般</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2022年城乡居民养老保险基金收入较2021年增长2.76%，支出较2021年减少25.27%；2021年城乡居民养老保险基金收入较2020年增加2.38%，但支出较2020年增加48.18%，城乡居民养老保险支出变动较收入变动差别较大，基金的持续运转情况一般，但目前城乡居民养老保险结转结余资金量基数较大，尚能保障现阶段的基金运转。</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（四）绩效目标填报有不足之处</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预算绩效目标是预算绩效管理的重要内容，是实施绩效监控、开展绩效评价等的重要基础和依据。由于相关人员填报水平欠缺，绩效目标填报有以下不规范之处：一是项目长期目标和年度目标未描述预期的产出情况，无法清晰反映项目年度具体完成任务；二是质量指标“发放到位率”错设为数量指标。</w:t>
      </w:r>
    </w:p>
    <w:p>
      <w:pPr>
        <w:snapToGrid/>
        <w:spacing w:after="0" w:line="560" w:lineRule="exact"/>
        <w:ind w:firstLine="640" w:firstLineChars="200"/>
        <w:jc w:val="both"/>
        <w:rPr>
          <w:rFonts w:ascii="楷体_GB2312" w:eastAsia="楷体_GB2312" w:hAnsiTheme="minorHAnsi"/>
          <w:kern w:val="2"/>
          <w:sz w:val="32"/>
          <w:szCs w:val="32"/>
        </w:rPr>
      </w:pPr>
      <w:r>
        <w:rPr>
          <w:rFonts w:hint="eastAsia" w:ascii="楷体_GB2312" w:eastAsia="楷体_GB2312" w:hAnsiTheme="minorHAnsi"/>
          <w:kern w:val="2"/>
          <w:sz w:val="32"/>
          <w:szCs w:val="32"/>
        </w:rPr>
        <w:t>（五）支出预算编制准确性有待提高</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区人社局在测算养老保险预算资金时，一是因未根据以往年度城乡居民保险提高比例预估本年度提高标准范围，导致城乡居民养老保险费用计划支付额低于实际支付额，致使支出预算执行率偏高；二是未考虑事业单位人员变动情况，导致年底发放人数较年初计划增加149人，占实际发放人数的2.15%。支出预算编制准确性有待提高。</w:t>
      </w:r>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六、有关建议</w:t>
      </w:r>
    </w:p>
    <w:p>
      <w:pPr>
        <w:snapToGrid/>
        <w:spacing w:after="0" w:line="560" w:lineRule="exact"/>
        <w:ind w:firstLine="640" w:firstLineChars="200"/>
        <w:jc w:val="both"/>
        <w:rPr>
          <w:rFonts w:ascii="黑体" w:hAnsi="黑体" w:eastAsia="黑体" w:cs="黑体"/>
          <w:sz w:val="32"/>
          <w:szCs w:val="32"/>
        </w:rPr>
      </w:pPr>
      <w:r>
        <w:rPr>
          <w:rFonts w:hint="eastAsia" w:ascii="楷体_GB2312" w:eastAsia="楷体_GB2312" w:hAnsiTheme="minorHAnsi"/>
          <w:kern w:val="2"/>
          <w:sz w:val="32"/>
          <w:szCs w:val="32"/>
        </w:rPr>
        <w:t>（一）完善制度建设，提高工作保障</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为了防范和化解基金运行风险，调整和规范社会保险管理服务工作，确保机关事业单位保险基金安全，建议项目单位完善各项规章制度，一是建立机关事业单位养老保险稽核制度，对社会保险费缴纳情况和社会保险待遇领取情况进行核查。</w:t>
      </w:r>
      <w:r>
        <w:rPr>
          <w:rFonts w:hint="eastAsia" w:eastAsia="仿宋_GB2312" w:cs="Times New Roman"/>
          <w:sz w:val="32"/>
          <w:szCs w:val="32"/>
        </w:rPr>
        <w:t> </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二是建立异常业务审查和处理机制。对疑似违规办理的业务，发出异常业务预警，进行核查处理。根据内部监督记录和有关证据提出整改意见，并跟踪监督。</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三是建立业务纠错机制。当发生业务经办错误，需要回退纠错时，对出错原因、错误类型、责任人等进行记录。相关经办人员填写回退纠错审批表，经负责人批准后，按照纠错时限要求，进行回退纠错业务处理。</w:t>
      </w:r>
    </w:p>
    <w:p>
      <w:pPr>
        <w:snapToGrid/>
        <w:spacing w:after="0" w:line="560" w:lineRule="exact"/>
        <w:ind w:firstLine="640" w:firstLineChars="200"/>
        <w:jc w:val="both"/>
        <w:rPr>
          <w:rFonts w:ascii="仿宋_GB2312" w:eastAsia="仿宋_GB2312" w:cs="Times New Roman"/>
          <w:sz w:val="32"/>
          <w:szCs w:val="32"/>
        </w:rPr>
      </w:pPr>
      <w:r>
        <w:rPr>
          <w:rFonts w:hint="eastAsia" w:ascii="楷体_GB2312" w:eastAsia="楷体_GB2312" w:hAnsiTheme="minorHAnsi"/>
          <w:kern w:val="2"/>
          <w:sz w:val="32"/>
          <w:szCs w:val="32"/>
        </w:rPr>
        <w:t>（二）进一步加强参保宣传，让养老保险政策入脑入心</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建议区人社局充分运用报纸、刊物、信息平台、网络、宣传资料等多种方式，建立建成宣传工作的长效机制，实现宣传工作的常态化、动态化、制度化运行；同时，组织社保政策宣传员深入到乡镇、村、社区和农户家里进行宣传，真正做到镇不漏村、村不漏户、户不漏人，确保广人城乡居民正确理解和准确把握城乡居民社会养老保险政策的实惠与好处，充分调动其参保的积极性、主动性，不断扩大参保覆盖面。</w:t>
      </w:r>
    </w:p>
    <w:p>
      <w:pPr>
        <w:snapToGrid/>
        <w:spacing w:after="0" w:line="560" w:lineRule="exact"/>
        <w:ind w:firstLine="640" w:firstLineChars="200"/>
        <w:jc w:val="both"/>
        <w:rPr>
          <w:rFonts w:ascii="仿宋_GB2312" w:eastAsia="仿宋_GB2312" w:cs="Times New Roman"/>
          <w:sz w:val="32"/>
          <w:szCs w:val="32"/>
        </w:rPr>
      </w:pPr>
      <w:r>
        <w:rPr>
          <w:rFonts w:hint="eastAsia" w:ascii="楷体_GB2312" w:eastAsia="楷体_GB2312" w:hAnsiTheme="minorHAnsi"/>
          <w:kern w:val="2"/>
          <w:sz w:val="32"/>
          <w:szCs w:val="32"/>
        </w:rPr>
        <w:t>（三）强化基金管理，保障基金运行持续性</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建议区人社局一是加强对养老保险基金的监管，确保养老金缴费资金的安全和合理使用，合理投资运营养老保险基金，提高基金收益率，从而增加城乡居民养老金发放能力；二是拓宽城乡居民基本养老保险基金筹集渠道，积极引导村集体经济组织、其他社会经济组织、公益慈善组织和个人等为参保人缴费提供资助，拓宽城乡居民基本养老保险基金筹集渠道，增加基金积累；三是建立定期的监测和评估机制，设立监测指标，跟踪养老保险基金支出的实际情况，及时发现偏差并采取调整措施，以保障基金运行的持续性。</w:t>
      </w:r>
    </w:p>
    <w:p>
      <w:pPr>
        <w:snapToGrid/>
        <w:spacing w:after="0" w:line="560" w:lineRule="exact"/>
        <w:ind w:firstLine="640" w:firstLineChars="200"/>
        <w:jc w:val="both"/>
        <w:rPr>
          <w:rFonts w:ascii="仿宋_GB2312" w:eastAsia="仿宋_GB2312" w:cs="Times New Roman"/>
          <w:sz w:val="32"/>
          <w:szCs w:val="32"/>
        </w:rPr>
      </w:pPr>
      <w:r>
        <w:rPr>
          <w:rFonts w:hint="eastAsia" w:ascii="楷体_GB2312" w:eastAsia="楷体_GB2312" w:hAnsiTheme="minorHAnsi"/>
          <w:kern w:val="2"/>
          <w:sz w:val="32"/>
          <w:szCs w:val="32"/>
        </w:rPr>
        <w:t>（四）强化绩效目标编报质量，提高部门绩效管理水平</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建议区人社局一是严格按照《临淄区区级部门单位预算绩效管理办法》相关要求，规范填报项目绩效目标申报表，制定可以体现项目长期可持续发展的长期目标与体现本年度工作的年度目标，使项目绩效目标能反映项目的真实情况，能够为实施绩效监控、开展绩效评价等提供真实有效的基础依据；二是在明确项目长期目标和年度目标后，根据既定目标计划预期完成情况、实现程度和影响情况设定绩效指标。在确定指标时，充分考虑项目实际，设置能够合理准确衡量绩效目标完成程度和尺度的指标值，并做到与绩效指标逐一对应。</w:t>
      </w:r>
    </w:p>
    <w:p>
      <w:pPr>
        <w:snapToGrid/>
        <w:spacing w:after="0" w:line="560" w:lineRule="exact"/>
        <w:ind w:firstLine="640" w:firstLineChars="200"/>
        <w:jc w:val="both"/>
        <w:rPr>
          <w:rFonts w:ascii="仿宋_GB2312" w:eastAsia="仿宋_GB2312" w:cs="Times New Roman"/>
          <w:sz w:val="32"/>
          <w:szCs w:val="32"/>
        </w:rPr>
      </w:pPr>
      <w:r>
        <w:rPr>
          <w:rFonts w:hint="eastAsia" w:ascii="楷体_GB2312" w:eastAsia="楷体_GB2312" w:hAnsiTheme="minorHAnsi"/>
          <w:kern w:val="2"/>
          <w:sz w:val="32"/>
          <w:szCs w:val="32"/>
        </w:rPr>
        <w:t>（五）重视预算编制基础工作，确保预算编制准确、细化</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建议区人社局一是建立完善的数据系统，收集和整理养老保险相关的数据，包括人口统计、就业状况、经济指标等，以便为预测提供可靠的数据基础；二是强化基础编制工作，按照标准的预算框架体系，结合历史数据充分考虑和预估上级补助资金的到位情况以及当年养老金工资调整情况，科学、合理确定项目支出预算数，真正做到预算编制精细化、科学化；三是强化预算编制前对业务人员的培训，提高预算编制业务水平，使编制人员在思想上重视，在业务能力上适应预算编制工作的需要。</w:t>
      </w:r>
    </w:p>
    <w:p>
      <w:pPr>
        <w:widowControl w:val="0"/>
        <w:overflowPunct w:val="0"/>
        <w:snapToGrid/>
        <w:spacing w:after="0" w:line="560" w:lineRule="exact"/>
        <w:jc w:val="both"/>
        <w:rPr>
          <w:rFonts w:ascii="仿宋_GB2312" w:hAnsi="宋体" w:eastAsia="仿宋_GB2312" w:cs="Times New Roman"/>
          <w:b/>
          <w:bCs/>
          <w:kern w:val="44"/>
          <w:sz w:val="32"/>
          <w:szCs w:val="32"/>
        </w:rPr>
      </w:pPr>
    </w:p>
    <w:p>
      <w:pPr>
        <w:widowControl w:val="0"/>
        <w:overflowPunct w:val="0"/>
        <w:snapToGrid/>
        <w:spacing w:after="0" w:line="560" w:lineRule="exact"/>
        <w:jc w:val="both"/>
        <w:rPr>
          <w:rFonts w:ascii="仿宋_GB2312" w:hAnsi="宋体" w:eastAsia="仿宋_GB2312" w:cs="Times New Roman"/>
          <w:b/>
          <w:bCs/>
          <w:kern w:val="44"/>
          <w:sz w:val="32"/>
          <w:szCs w:val="32"/>
        </w:rPr>
      </w:pPr>
    </w:p>
    <w:p>
      <w:pPr>
        <w:snapToGrid/>
        <w:spacing w:after="0" w:line="560" w:lineRule="exact"/>
        <w:jc w:val="center"/>
        <w:rPr>
          <w:rFonts w:ascii="方正小标宋简体" w:hAnsi="宋体" w:eastAsia="方正小标宋简体" w:cs="Times New Roman"/>
          <w:bCs/>
          <w:kern w:val="44"/>
          <w:sz w:val="44"/>
          <w:szCs w:val="44"/>
        </w:rPr>
      </w:pPr>
      <w:r>
        <w:rPr>
          <w:rFonts w:hint="eastAsia" w:ascii="方正小标宋简体" w:hAnsi="宋体" w:eastAsia="方正小标宋简体" w:cs="Times New Roman"/>
          <w:bCs/>
          <w:kern w:val="44"/>
          <w:sz w:val="44"/>
          <w:szCs w:val="44"/>
        </w:rPr>
        <w:t>临淄区惠民消费购车补贴项目绩效评价报告</w:t>
      </w:r>
    </w:p>
    <w:p>
      <w:pPr>
        <w:snapToGrid/>
        <w:spacing w:after="0" w:line="560" w:lineRule="exact"/>
        <w:ind w:firstLine="640" w:firstLineChars="200"/>
        <w:jc w:val="both"/>
        <w:rPr>
          <w:rFonts w:ascii="仿宋_GB2312" w:hAnsi="宋体" w:eastAsia="仿宋_GB2312" w:cs="宋体"/>
          <w:sz w:val="32"/>
          <w:szCs w:val="32"/>
        </w:rPr>
      </w:pP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宋体"/>
          <w:sz w:val="32"/>
          <w:szCs w:val="32"/>
        </w:rPr>
        <w:t>为进一步规范和加强预算资金管理，优化财政支出结构，提高资金使用效益和管理水平，淄博市临淄区财政局委托淄博晨光有限责任会计师事务所对临淄区惠民消费购车补贴项目实施绩效评价。本公司根据《财政部关于印发&lt;项目支出绩效评价管理办法&gt;的通知》（财预</w:t>
      </w:r>
      <w:r>
        <w:rPr>
          <w:rFonts w:hint="eastAsia" w:ascii="仿宋_GB2312" w:hAnsi="宋体" w:cs="宋体"/>
          <w:sz w:val="32"/>
          <w:szCs w:val="32"/>
        </w:rPr>
        <w:t>﹝</w:t>
      </w:r>
      <w:r>
        <w:rPr>
          <w:rFonts w:hint="eastAsia" w:ascii="仿宋_GB2312" w:hAnsi="宋体" w:eastAsia="仿宋_GB2312" w:cs="宋体"/>
          <w:sz w:val="32"/>
          <w:szCs w:val="32"/>
        </w:rPr>
        <w:t>2020</w:t>
      </w:r>
      <w:r>
        <w:rPr>
          <w:rFonts w:hint="eastAsia" w:ascii="仿宋_GB2312" w:hAnsi="宋体" w:cs="宋体"/>
          <w:sz w:val="32"/>
          <w:szCs w:val="32"/>
        </w:rPr>
        <w:t>﹞</w:t>
      </w:r>
      <w:r>
        <w:rPr>
          <w:rFonts w:hint="eastAsia" w:ascii="仿宋_GB2312" w:hAnsi="宋体" w:eastAsia="仿宋_GB2312" w:cs="宋体"/>
          <w:sz w:val="32"/>
          <w:szCs w:val="32"/>
        </w:rPr>
        <w:t>10号）、《临淄区级财政项目支出绩效目标管理办法（试行）》（临财绩</w:t>
      </w:r>
      <w:r>
        <w:rPr>
          <w:rFonts w:hint="eastAsia" w:ascii="仿宋_GB2312" w:hAnsi="宋体" w:cs="宋体"/>
          <w:sz w:val="32"/>
          <w:szCs w:val="32"/>
        </w:rPr>
        <w:t>﹝</w:t>
      </w:r>
      <w:r>
        <w:rPr>
          <w:rFonts w:hint="eastAsia" w:ascii="仿宋_GB2312" w:hAnsi="宋体" w:eastAsia="仿宋_GB2312" w:cs="宋体"/>
          <w:sz w:val="32"/>
          <w:szCs w:val="32"/>
        </w:rPr>
        <w:t>2017</w:t>
      </w:r>
      <w:r>
        <w:rPr>
          <w:rFonts w:hint="eastAsia" w:ascii="仿宋_GB2312" w:hAnsi="宋体" w:cs="宋体"/>
          <w:sz w:val="32"/>
          <w:szCs w:val="32"/>
        </w:rPr>
        <w:t>﹞</w:t>
      </w:r>
      <w:r>
        <w:rPr>
          <w:rFonts w:hint="eastAsia" w:ascii="仿宋_GB2312" w:hAnsi="宋体" w:eastAsia="仿宋_GB2312" w:cs="宋体"/>
          <w:sz w:val="32"/>
          <w:szCs w:val="32"/>
        </w:rPr>
        <w:t>2号）、临淄区财政局《2022年度预算项目财政评价通知书》等有关规定，本着科学规范、公正公开、绩效相关、客观独立的原则，通过查阅项目实施单位提供的相关材料并经过实地调查等程序，对临淄区惠民消费购车补贴项目决策、资金管理情况和项目单位管理、项目实施产出效益情况进行了绩效评价，形成评价报告。</w:t>
      </w:r>
    </w:p>
    <w:p>
      <w:pPr>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本报告根据临淄区惠民消费购车补贴项目的基础数据，对项目立项、绩效目标、资金投入、资金管理、项目产出、项目效益、服务对象满意度等数据进行整理和分析，通过指标分析、问卷分析、实地调查取得资料的分析，得出综合绩效评价。并且与项目实施单位进行研究与探讨，在评价过程中总结归纳相关政策法规、管理办法、实施过程文件、监督文件等四个方面作为评价依据和标准，建立临淄区惠民消费购车补贴项目绩效评价指标体系，综合评价项目情况，发现其中的问题，分析原因并提出相应建议。</w:t>
      </w:r>
    </w:p>
    <w:p>
      <w:pPr>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补贴项目已经全面完成。在项目实施过程方面，临淄区商务局职能分工明确；项目进度、资金使用符合相关规定和要求；组织实施管理基本符合相关制度和程序。在项目产出方面，基本按照绩效目标设定的完成进度和完成质量等要求进行实施。在项目效果方面，拉动了内需，有效激发了居民购车消费活力，推动了零售业稳定增长。</w:t>
      </w:r>
      <w:bookmarkStart w:id="0" w:name="_Toc111729885"/>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一、项目基本情况</w:t>
      </w:r>
      <w:bookmarkEnd w:id="0"/>
    </w:p>
    <w:p>
      <w:pPr>
        <w:widowControl w:val="0"/>
        <w:adjustRightInd/>
        <w:snapToGrid/>
        <w:spacing w:after="0" w:line="560" w:lineRule="exact"/>
        <w:ind w:firstLine="640" w:firstLineChars="200"/>
        <w:jc w:val="both"/>
        <w:outlineLvl w:val="1"/>
        <w:rPr>
          <w:rFonts w:ascii="楷体_GB2312" w:eastAsia="楷体_GB2312" w:hAnsiTheme="minorHAnsi"/>
          <w:kern w:val="2"/>
          <w:sz w:val="32"/>
          <w:szCs w:val="32"/>
        </w:rPr>
      </w:pPr>
      <w:bookmarkStart w:id="1" w:name="_Toc111729886"/>
      <w:r>
        <w:rPr>
          <w:rFonts w:hint="eastAsia" w:ascii="楷体_GB2312" w:eastAsia="楷体_GB2312" w:hAnsiTheme="minorHAnsi"/>
          <w:kern w:val="2"/>
          <w:sz w:val="32"/>
          <w:szCs w:val="32"/>
        </w:rPr>
        <w:t>（一）项目立项背景及实施目的</w:t>
      </w:r>
      <w:bookmarkEnd w:id="1"/>
    </w:p>
    <w:p>
      <w:pPr>
        <w:snapToGrid/>
        <w:spacing w:after="0" w:line="560" w:lineRule="exact"/>
        <w:jc w:val="both"/>
        <w:outlineLvl w:val="1"/>
        <w:rPr>
          <w:rFonts w:ascii="仿宋_GB2312" w:hAnsi="宋体" w:eastAsia="仿宋_GB2312" w:cs="宋体"/>
          <w:sz w:val="32"/>
          <w:szCs w:val="32"/>
        </w:rPr>
      </w:pPr>
      <w:r>
        <w:rPr>
          <w:rFonts w:hint="eastAsia" w:ascii="仿宋_GB2312" w:hAnsi="宋体" w:eastAsia="仿宋_GB2312" w:cs="仿宋"/>
          <w:b/>
          <w:sz w:val="32"/>
          <w:szCs w:val="32"/>
        </w:rPr>
        <w:t xml:space="preserve">   </w:t>
      </w:r>
      <w:r>
        <w:rPr>
          <w:rFonts w:hint="eastAsia" w:ascii="仿宋_GB2312" w:hAnsi="宋体" w:eastAsia="仿宋_GB2312" w:cs="仿宋"/>
          <w:sz w:val="32"/>
          <w:szCs w:val="32"/>
        </w:rPr>
        <w:t xml:space="preserve"> </w:t>
      </w:r>
      <w:r>
        <w:rPr>
          <w:rFonts w:hint="eastAsia" w:ascii="仿宋_GB2312" w:hAnsi="宋体" w:eastAsia="仿宋_GB2312" w:cs="宋体"/>
          <w:sz w:val="32"/>
          <w:szCs w:val="32"/>
        </w:rPr>
        <w:t>自疫情以来，各行各业的生产经营遭受重创，复工复产压力巨大，严重影响了居民的消费信心。为了更好地激发消费活力，满足居民消费需求，繁荣终端消费市场，临淄区政府积极落实山东省商务厅、省发展改革委、省财政厅、山东省统计局联合印发《关于促进汽车消费若干措施的通知》，临淄区决定开展惠民购车补贴活动。</w:t>
      </w:r>
    </w:p>
    <w:p>
      <w:pPr>
        <w:widowControl w:val="0"/>
        <w:adjustRightInd/>
        <w:snapToGrid/>
        <w:spacing w:after="0" w:line="560" w:lineRule="exact"/>
        <w:ind w:firstLine="640" w:firstLineChars="200"/>
        <w:jc w:val="both"/>
        <w:outlineLvl w:val="1"/>
        <w:rPr>
          <w:rFonts w:ascii="楷体_GB2312" w:eastAsia="楷体_GB2312" w:hAnsiTheme="minorHAnsi"/>
          <w:kern w:val="2"/>
          <w:sz w:val="32"/>
          <w:szCs w:val="32"/>
        </w:rPr>
      </w:pPr>
      <w:bookmarkStart w:id="2" w:name="_Toc111729888"/>
      <w:r>
        <w:rPr>
          <w:rFonts w:hint="eastAsia" w:ascii="楷体_GB2312" w:eastAsia="楷体_GB2312" w:hAnsiTheme="minorHAnsi"/>
          <w:kern w:val="2"/>
          <w:sz w:val="32"/>
          <w:szCs w:val="32"/>
        </w:rPr>
        <w:t>（二）项目预算和支出情况</w:t>
      </w:r>
      <w:bookmarkEnd w:id="2"/>
    </w:p>
    <w:p>
      <w:pPr>
        <w:snapToGrid/>
        <w:spacing w:after="0" w:line="560" w:lineRule="exact"/>
        <w:ind w:firstLine="640" w:firstLineChars="200"/>
        <w:jc w:val="both"/>
        <w:outlineLvl w:val="1"/>
        <w:rPr>
          <w:rFonts w:ascii="仿宋_GB2312" w:hAnsi="宋体" w:eastAsia="仿宋_GB2312" w:cs="Times New Roman"/>
          <w:sz w:val="32"/>
          <w:szCs w:val="32"/>
        </w:rPr>
      </w:pPr>
      <w:bookmarkStart w:id="3" w:name="_Toc111729889"/>
      <w:r>
        <w:rPr>
          <w:rFonts w:hint="eastAsia" w:ascii="仿宋_GB2312" w:hAnsi="宋体" w:eastAsia="仿宋_GB2312" w:cs="Times New Roman"/>
          <w:sz w:val="32"/>
          <w:szCs w:val="32"/>
        </w:rPr>
        <w:t>临淄区商务局申请100万元用于居民购车消费补贴。项目由临淄区商务局和中国银联股份有限公司山东分公司联合实施，项目支出</w:t>
      </w:r>
      <w:bookmarkEnd w:id="3"/>
      <w:r>
        <w:rPr>
          <w:rFonts w:hint="eastAsia" w:ascii="仿宋_GB2312" w:hAnsi="宋体" w:eastAsia="仿宋_GB2312" w:cs="Times New Roman"/>
          <w:sz w:val="32"/>
          <w:szCs w:val="32"/>
        </w:rPr>
        <w:t>100万元全部用于居民购车消费补贴。</w:t>
      </w:r>
    </w:p>
    <w:p>
      <w:pPr>
        <w:widowControl w:val="0"/>
        <w:adjustRightInd/>
        <w:snapToGrid/>
        <w:spacing w:after="0" w:line="560" w:lineRule="exact"/>
        <w:ind w:firstLine="640" w:firstLineChars="200"/>
        <w:jc w:val="both"/>
        <w:outlineLvl w:val="1"/>
        <w:rPr>
          <w:rFonts w:ascii="楷体_GB2312" w:eastAsia="楷体_GB2312" w:hAnsiTheme="minorHAnsi"/>
          <w:kern w:val="2"/>
          <w:sz w:val="32"/>
          <w:szCs w:val="32"/>
        </w:rPr>
      </w:pPr>
      <w:bookmarkStart w:id="4" w:name="_Toc111729890"/>
      <w:r>
        <w:rPr>
          <w:rFonts w:hint="eastAsia" w:ascii="楷体_GB2312" w:eastAsia="楷体_GB2312" w:hAnsiTheme="minorHAnsi"/>
          <w:kern w:val="2"/>
          <w:sz w:val="32"/>
          <w:szCs w:val="32"/>
        </w:rPr>
        <w:t>（三）项目主要内容和实施情况</w:t>
      </w:r>
      <w:bookmarkEnd w:id="4"/>
    </w:p>
    <w:p>
      <w:pPr>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项目主要内容：购车补贴采用“政府补贴+商家促销”的形式，临淄区政府补贴100万元，按照“先购先得、补完为止”的原则，在活动规定时间内，对从临淄区内限额以上汽车零售企业购买家用汽车的个人消费者，以裸车开票价为基准价，10万元（不含）以下，单车补贴1500元；10万元（含）-20万元（不含），单车补贴2000元；20万元（含）以上，单车补贴3000元。区级购车补贴资金与省级补贴资金可叠加享受。</w:t>
      </w:r>
    </w:p>
    <w:p>
      <w:pPr>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项目实施情况：按照预定的绩效目标，项目实施单位协同汽车销售企业和银联按照《临淄区惠民消费活动实施方案》完成了该项目。共补贴462名符合条件的购车个人，补贴总金额100万元，资金到位率100%。</w:t>
      </w:r>
    </w:p>
    <w:p>
      <w:pPr>
        <w:snapToGrid/>
        <w:spacing w:after="0" w:line="560" w:lineRule="exact"/>
        <w:ind w:firstLine="640" w:firstLineChars="200"/>
        <w:jc w:val="both"/>
        <w:rPr>
          <w:rFonts w:ascii="黑体" w:hAnsi="黑体" w:eastAsia="黑体" w:cs="黑体"/>
          <w:sz w:val="32"/>
          <w:szCs w:val="32"/>
        </w:rPr>
      </w:pPr>
      <w:bookmarkStart w:id="5" w:name="_Toc111729891"/>
      <w:r>
        <w:rPr>
          <w:rFonts w:hint="eastAsia" w:ascii="黑体" w:hAnsi="黑体" w:eastAsia="黑体" w:cs="黑体"/>
          <w:sz w:val="32"/>
          <w:szCs w:val="32"/>
        </w:rPr>
        <w:t>二、项目绩效目标</w:t>
      </w:r>
      <w:bookmarkEnd w:id="5"/>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为更好地激发民众消费活力，满足居民消费需求，通过政府补贴资金投入，撬动汽车终端消费市场繁荣，有效促进汽车终端消费市场活跃。</w:t>
      </w:r>
    </w:p>
    <w:p>
      <w:pPr>
        <w:snapToGrid/>
        <w:spacing w:after="0" w:line="560" w:lineRule="exact"/>
        <w:ind w:firstLine="600"/>
        <w:jc w:val="both"/>
        <w:rPr>
          <w:rFonts w:ascii="黑体" w:hAnsi="黑体" w:eastAsia="黑体" w:cs="黑体"/>
          <w:sz w:val="32"/>
          <w:szCs w:val="32"/>
        </w:rPr>
      </w:pPr>
      <w:bookmarkStart w:id="6" w:name="_Toc111729894"/>
      <w:r>
        <w:rPr>
          <w:rFonts w:hint="eastAsia" w:ascii="黑体" w:hAnsi="黑体" w:eastAsia="黑体" w:cs="黑体"/>
          <w:sz w:val="32"/>
          <w:szCs w:val="32"/>
        </w:rPr>
        <w:t>三、评价基本情况</w:t>
      </w:r>
      <w:bookmarkEnd w:id="6"/>
    </w:p>
    <w:p>
      <w:pPr>
        <w:pStyle w:val="24"/>
        <w:snapToGrid/>
        <w:spacing w:line="560" w:lineRule="exact"/>
        <w:ind w:firstLine="640"/>
        <w:outlineLvl w:val="9"/>
        <w:rPr>
          <w:rFonts w:ascii="楷体_GB2312" w:eastAsia="楷体_GB2312"/>
          <w:b w:val="0"/>
          <w:sz w:val="32"/>
          <w:szCs w:val="32"/>
        </w:rPr>
      </w:pPr>
      <w:bookmarkStart w:id="7" w:name="_Toc111729895"/>
      <w:r>
        <w:rPr>
          <w:rFonts w:hint="eastAsia" w:ascii="楷体_GB2312" w:eastAsia="楷体_GB2312"/>
          <w:b w:val="0"/>
          <w:sz w:val="32"/>
          <w:szCs w:val="32"/>
        </w:rPr>
        <w:t>（一）绩效评价目的、对象和范围</w:t>
      </w:r>
      <w:bookmarkEnd w:id="7"/>
    </w:p>
    <w:p>
      <w:pPr>
        <w:snapToGrid/>
        <w:spacing w:after="0" w:line="560" w:lineRule="exact"/>
        <w:ind w:firstLine="643" w:firstLineChars="200"/>
        <w:jc w:val="both"/>
        <w:outlineLvl w:val="1"/>
        <w:rPr>
          <w:rFonts w:ascii="仿宋_GB2312" w:hAnsi="宋体" w:eastAsia="仿宋_GB2312" w:cs="仿宋"/>
          <w:b/>
          <w:sz w:val="32"/>
          <w:szCs w:val="32"/>
        </w:rPr>
      </w:pPr>
      <w:bookmarkStart w:id="8" w:name="_Toc111729896"/>
      <w:r>
        <w:rPr>
          <w:rFonts w:hint="eastAsia" w:ascii="仿宋_GB2312" w:hAnsi="宋体" w:eastAsia="仿宋_GB2312" w:cs="仿宋"/>
          <w:b/>
          <w:sz w:val="32"/>
          <w:szCs w:val="32"/>
        </w:rPr>
        <w:t>1、绩效评价目的</w:t>
      </w:r>
      <w:bookmarkEnd w:id="8"/>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通过对临淄区惠民消费购车补贴项目的绩效评价，了解和掌握项目实施的具体情况，评价其项目资金安排的科学性、合理性、规范性和资金使用成效，及时总结项目管理经验，完善项目管理办法，提高项目管理水平和资金的使用效益。</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2）促使项目承担单位根据绩效评价中发现的问题，认真加以整改，及时调整和完善单位的工作计划和绩效目标并加强项目管理，提高管理水平，同时为项目后续资金投入、分配、管理以及预算编制提供决策依据。</w:t>
      </w:r>
    </w:p>
    <w:p>
      <w:pPr>
        <w:snapToGrid/>
        <w:spacing w:after="0" w:line="560" w:lineRule="exact"/>
        <w:ind w:firstLine="643" w:firstLineChars="200"/>
        <w:jc w:val="both"/>
        <w:outlineLvl w:val="1"/>
        <w:rPr>
          <w:rFonts w:ascii="仿宋_GB2312" w:hAnsi="宋体" w:eastAsia="仿宋_GB2312" w:cs="仿宋"/>
          <w:b/>
          <w:sz w:val="32"/>
          <w:szCs w:val="32"/>
        </w:rPr>
      </w:pPr>
      <w:bookmarkStart w:id="9" w:name="_Toc111729897"/>
      <w:r>
        <w:rPr>
          <w:rFonts w:hint="eastAsia" w:ascii="仿宋_GB2312" w:hAnsi="宋体" w:eastAsia="仿宋_GB2312" w:cs="仿宋"/>
          <w:b/>
          <w:sz w:val="32"/>
          <w:szCs w:val="32"/>
        </w:rPr>
        <w:t>2、评价对象与范围</w:t>
      </w:r>
      <w:bookmarkEnd w:id="9"/>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（1）绩效评价的对象：临淄区惠民消费购车补贴项目。</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（2）绩效评价的范围：</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①项目范围：临淄区惠民消费购车补贴项目的完成情况、项目实施后产生的绩效情况。</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②时间范围：2022年度（项目实施是在2022年度，项目资金拨付是2023年5月）。</w:t>
      </w:r>
    </w:p>
    <w:p>
      <w:pPr>
        <w:pStyle w:val="24"/>
        <w:snapToGrid/>
        <w:spacing w:line="560" w:lineRule="exact"/>
        <w:ind w:firstLine="640"/>
        <w:outlineLvl w:val="9"/>
        <w:rPr>
          <w:rFonts w:ascii="仿宋_GB2312" w:hAnsi="宋体" w:eastAsia="仿宋_GB2312"/>
          <w:b w:val="0"/>
          <w:sz w:val="32"/>
          <w:szCs w:val="32"/>
        </w:rPr>
      </w:pPr>
      <w:bookmarkStart w:id="10" w:name="_Toc111729898"/>
      <w:r>
        <w:rPr>
          <w:rFonts w:hint="eastAsia" w:ascii="楷体_GB2312" w:eastAsia="楷体_GB2312"/>
          <w:b w:val="0"/>
          <w:sz w:val="32"/>
          <w:szCs w:val="32"/>
        </w:rPr>
        <w:t>（二）绩效评价原则、评价指标体系、评价方法、评价标准</w:t>
      </w:r>
      <w:bookmarkEnd w:id="10"/>
    </w:p>
    <w:p>
      <w:pPr>
        <w:snapToGrid/>
        <w:spacing w:after="0" w:line="560" w:lineRule="exact"/>
        <w:ind w:firstLine="643" w:firstLineChars="200"/>
        <w:jc w:val="both"/>
        <w:outlineLvl w:val="1"/>
        <w:rPr>
          <w:rFonts w:ascii="仿宋_GB2312" w:hAnsi="宋体" w:eastAsia="仿宋_GB2312" w:cs="仿宋"/>
          <w:b/>
          <w:sz w:val="32"/>
          <w:szCs w:val="32"/>
        </w:rPr>
      </w:pPr>
      <w:bookmarkStart w:id="11" w:name="_Toc111729899"/>
      <w:r>
        <w:rPr>
          <w:rFonts w:hint="eastAsia" w:ascii="仿宋_GB2312" w:hAnsi="宋体" w:eastAsia="仿宋_GB2312" w:cs="仿宋"/>
          <w:b/>
          <w:sz w:val="32"/>
          <w:szCs w:val="32"/>
        </w:rPr>
        <w:t>1、评价原则</w:t>
      </w:r>
      <w:bookmarkEnd w:id="11"/>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宋体"/>
          <w:sz w:val="32"/>
          <w:szCs w:val="32"/>
        </w:rPr>
        <w:t xml:space="preserve">（1）科学公正原则。严格按照规定的程序，运用科学合理的方法，开展绩效评价各个环节的工作，对项目绩效进行客观公正的反映。 </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宋体"/>
          <w:sz w:val="32"/>
          <w:szCs w:val="32"/>
        </w:rPr>
        <w:t xml:space="preserve">（2）政策相符原则。绩效评价严格按照项目工程的政策要求、规章制度、技术标准、行业特点组织实施。 </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宋体"/>
          <w:sz w:val="32"/>
          <w:szCs w:val="32"/>
        </w:rPr>
        <w:t xml:space="preserve">（3）绩效相关原则。绩效评价针对具体项目预算及其产出绩效进行，评价结果清晰反映支出和产出绩效之间的关联关系。 </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宋体"/>
          <w:sz w:val="32"/>
          <w:szCs w:val="32"/>
        </w:rPr>
        <w:t xml:space="preserve">（4）依据充分原则。绩效评价建立在大量、充分掌握相关数据、证据基础上，通过科学的分析方法，得出客观的结论、意见和建议。 </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宋体"/>
          <w:sz w:val="32"/>
          <w:szCs w:val="32"/>
        </w:rPr>
        <w:t xml:space="preserve">（5）公正透明原则。绩效评价要符合真实、客观、公正的要求，依法依规公开并自觉接受监督。 </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宋体"/>
          <w:sz w:val="32"/>
          <w:szCs w:val="32"/>
        </w:rPr>
        <w:t>（6）独立评价原则。通过道德自律和制度约束，排除内在、外在因素的干扰和影响，保持绩效评价的独立性、客观性、公正性。</w:t>
      </w:r>
    </w:p>
    <w:p>
      <w:pPr>
        <w:snapToGrid/>
        <w:spacing w:after="0" w:line="560" w:lineRule="exact"/>
        <w:ind w:firstLine="643" w:firstLineChars="200"/>
        <w:jc w:val="both"/>
        <w:outlineLvl w:val="1"/>
        <w:rPr>
          <w:rFonts w:ascii="仿宋_GB2312" w:hAnsi="宋体" w:eastAsia="仿宋_GB2312" w:cs="仿宋"/>
          <w:b/>
          <w:sz w:val="32"/>
          <w:szCs w:val="32"/>
        </w:rPr>
      </w:pPr>
      <w:bookmarkStart w:id="12" w:name="_Toc111729900"/>
      <w:r>
        <w:rPr>
          <w:rFonts w:hint="eastAsia" w:ascii="仿宋_GB2312" w:hAnsi="宋体" w:eastAsia="仿宋_GB2312" w:cs="仿宋"/>
          <w:b/>
          <w:sz w:val="32"/>
          <w:szCs w:val="32"/>
        </w:rPr>
        <w:t>2、评价方法</w:t>
      </w:r>
      <w:bookmarkEnd w:id="12"/>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根据临淄区惠民消费购车补贴项目的实际情况，我们决定采取比较法、因素分析法、公众评判法相结合的方法开展评价工作。</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（1）比较法。是指将实施情况与绩效目标、历史情况进行比较的方法。</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（2）因素分析法。是指综合分析影响绩效目标实现、实施效果的内外部因素的方法。</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（3）公众评判法。是指通过专家评估、公众问卷及抽样调查等方式进行评判的方法。</w:t>
      </w:r>
    </w:p>
    <w:p>
      <w:pPr>
        <w:snapToGrid/>
        <w:spacing w:after="0" w:line="560" w:lineRule="exact"/>
        <w:ind w:firstLine="643" w:firstLineChars="200"/>
        <w:jc w:val="both"/>
        <w:outlineLvl w:val="1"/>
        <w:rPr>
          <w:rFonts w:ascii="仿宋_GB2312" w:hAnsi="宋体" w:eastAsia="仿宋_GB2312" w:cs="仿宋"/>
          <w:b/>
          <w:sz w:val="32"/>
          <w:szCs w:val="32"/>
        </w:rPr>
      </w:pPr>
      <w:bookmarkStart w:id="13" w:name="_Toc111729901"/>
      <w:r>
        <w:rPr>
          <w:rFonts w:hint="eastAsia" w:ascii="仿宋_GB2312" w:hAnsi="宋体" w:eastAsia="仿宋_GB2312" w:cs="仿宋"/>
          <w:b/>
          <w:sz w:val="32"/>
          <w:szCs w:val="32"/>
        </w:rPr>
        <w:t>3、绩效评价指标体系及标准</w:t>
      </w:r>
      <w:bookmarkEnd w:id="13"/>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根据《财政部关于印发&lt;项目支出绩效评价管理办法&gt;的通知》（财预〔2020〕10号）文件要求，以财政部《项目支出绩效评价管理办法》项目支出绩效评价指标体系框架为基础，在体系框架中选取最能体现评价对象特征的共性指标，并根据项目实际情况在共性指标体系框架内进一步细化设置个性指标。指标体系从决策、过程、产出、效果四个维度</w:t>
      </w:r>
      <w:r>
        <w:rPr>
          <w:rFonts w:hint="eastAsia" w:ascii="仿宋_GB2312" w:hAnsi="宋体" w:eastAsia="仿宋_GB2312" w:cs="宋体"/>
          <w:bCs/>
          <w:sz w:val="32"/>
          <w:szCs w:val="32"/>
        </w:rPr>
        <w:t>，综合考察项目的投入、管理、产出以及取得的成绩和效益，</w:t>
      </w:r>
      <w:r>
        <w:rPr>
          <w:rFonts w:hint="eastAsia" w:ascii="仿宋_GB2312" w:hAnsi="宋体" w:eastAsia="仿宋_GB2312" w:cs="Times New Roman"/>
          <w:sz w:val="32"/>
          <w:szCs w:val="32"/>
        </w:rPr>
        <w:t>制定本项目的绩效评价指标体系，具体指标分值设置为：决策权重分值19分、过程管理权重分值20分、项目产出权重分值31分、项目效益权重分值30分，共计100分。</w:t>
      </w:r>
    </w:p>
    <w:p>
      <w:pPr>
        <w:snapToGrid/>
        <w:spacing w:after="0" w:line="560" w:lineRule="exact"/>
        <w:ind w:firstLine="640" w:firstLineChars="200"/>
        <w:jc w:val="both"/>
        <w:rPr>
          <w:rFonts w:ascii="仿宋_GB2312" w:hAnsi="宋体" w:eastAsia="仿宋_GB2312" w:cs="仿宋"/>
          <w:sz w:val="32"/>
          <w:szCs w:val="32"/>
        </w:rPr>
      </w:pPr>
      <w:r>
        <w:rPr>
          <w:rFonts w:hint="eastAsia" w:ascii="仿宋_GB2312" w:hAnsi="宋体" w:eastAsia="仿宋_GB2312" w:cs="Times New Roman"/>
          <w:sz w:val="32"/>
          <w:szCs w:val="32"/>
        </w:rPr>
        <w:t>评价指标体系的设置详见附件1《临淄区惠民消费购车补贴项目绩效评价指标体系》。</w:t>
      </w:r>
    </w:p>
    <w:p>
      <w:pPr>
        <w:pStyle w:val="24"/>
        <w:snapToGrid/>
        <w:spacing w:line="560" w:lineRule="exact"/>
        <w:ind w:firstLine="640"/>
        <w:outlineLvl w:val="9"/>
        <w:rPr>
          <w:rFonts w:ascii="楷体_GB2312" w:eastAsia="楷体_GB2312"/>
          <w:b w:val="0"/>
          <w:sz w:val="32"/>
          <w:szCs w:val="32"/>
        </w:rPr>
      </w:pPr>
      <w:bookmarkStart w:id="14" w:name="_Toc111729902"/>
      <w:r>
        <w:rPr>
          <w:rFonts w:hint="eastAsia" w:ascii="楷体_GB2312" w:eastAsia="楷体_GB2312"/>
          <w:b w:val="0"/>
          <w:sz w:val="32"/>
          <w:szCs w:val="32"/>
        </w:rPr>
        <w:t>（三）绩效评价工作过程</w:t>
      </w:r>
      <w:bookmarkEnd w:id="14"/>
    </w:p>
    <w:p>
      <w:pPr>
        <w:snapToGrid/>
        <w:spacing w:after="0" w:line="560" w:lineRule="exact"/>
        <w:ind w:firstLine="643" w:firstLineChars="200"/>
        <w:jc w:val="both"/>
        <w:outlineLvl w:val="1"/>
        <w:rPr>
          <w:rFonts w:ascii="仿宋_GB2312" w:hAnsi="宋体" w:eastAsia="仿宋_GB2312" w:cs="仿宋"/>
          <w:b/>
          <w:sz w:val="32"/>
          <w:szCs w:val="32"/>
        </w:rPr>
      </w:pPr>
      <w:bookmarkStart w:id="15" w:name="_Toc111729903"/>
      <w:r>
        <w:rPr>
          <w:rFonts w:hint="eastAsia" w:ascii="仿宋_GB2312" w:hAnsi="宋体" w:eastAsia="仿宋_GB2312" w:cs="仿宋"/>
          <w:b/>
          <w:sz w:val="32"/>
          <w:szCs w:val="32"/>
        </w:rPr>
        <w:t>（Ⅰ）评价前期准备</w:t>
      </w:r>
      <w:bookmarkEnd w:id="15"/>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明确评价对象、评价范围及评价目的，成立绩效评价工作组；了解项目基本情况，设计资料清单、绩效评价指标体系、访谈提纲、调查表及调查问卷等，制定评价实施方案。</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1、成立</w:t>
      </w:r>
      <w:r>
        <w:rPr>
          <w:rFonts w:hint="eastAsia" w:ascii="仿宋_GB2312" w:hAnsi="宋体" w:eastAsia="仿宋_GB2312" w:cs="宋体"/>
          <w:sz w:val="32"/>
          <w:szCs w:val="32"/>
        </w:rPr>
        <w:t>绩效评价工作组</w:t>
      </w:r>
      <w:r>
        <w:rPr>
          <w:rFonts w:hint="eastAsia" w:ascii="仿宋_GB2312" w:hAnsi="宋体" w:eastAsia="仿宋_GB2312" w:cs="Times New Roman"/>
          <w:sz w:val="32"/>
          <w:szCs w:val="32"/>
        </w:rPr>
        <w:t>，明确工作范围和职责，召开评价组会议，提出对本次绩效评价的要求，初步确定评价的总体时间安排。</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2、组织评价组进行业务培训。学习财政支出绩效评价和项目管理方面的政策，有关项目实施依据、实施方案、项目经费管理等文件精神；学习项目评价指标体系和项目评价方案，使各参评人员对项目情况作进一步了解，明确评价工作程序及要求，解析评价指标体系。</w:t>
      </w:r>
    </w:p>
    <w:p>
      <w:pPr>
        <w:pStyle w:val="22"/>
        <w:spacing w:line="560" w:lineRule="exact"/>
        <w:ind w:firstLine="643"/>
        <w:rPr>
          <w:rFonts w:ascii="仿宋_GB2312" w:hAnsi="宋体" w:eastAsia="仿宋_GB2312"/>
          <w:b/>
          <w:sz w:val="32"/>
          <w:szCs w:val="32"/>
        </w:rPr>
      </w:pPr>
      <w:r>
        <w:rPr>
          <w:rFonts w:hint="eastAsia" w:ascii="仿宋_GB2312" w:hAnsi="宋体" w:eastAsia="仿宋_GB2312"/>
          <w:b/>
          <w:sz w:val="32"/>
          <w:szCs w:val="32"/>
        </w:rPr>
        <w:t>（Ⅱ）评价指标体系及方案设计阶段</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1、接受委托后,组织评价组对项目基础资料进行认真学习和了解，拟定《临淄区惠民消费购车补贴项目绩效评价指标体系》。</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2、拟定的指标体系，在征求相关专家意见后，对实施方案和指标体系进行补充和完善。</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3、拟定的评价实施方案，征求区财政局及咨询专家意见后定稿，提交区财政局，供其了解评价工作动态，便于进行指导和监督。</w:t>
      </w:r>
    </w:p>
    <w:p>
      <w:pPr>
        <w:pStyle w:val="22"/>
        <w:spacing w:line="560" w:lineRule="exact"/>
        <w:ind w:firstLine="643"/>
        <w:rPr>
          <w:rFonts w:ascii="仿宋_GB2312" w:hAnsi="宋体" w:eastAsia="仿宋_GB2312"/>
          <w:b/>
          <w:sz w:val="32"/>
          <w:szCs w:val="32"/>
        </w:rPr>
      </w:pPr>
      <w:r>
        <w:rPr>
          <w:rFonts w:hint="eastAsia" w:ascii="仿宋_GB2312" w:hAnsi="宋体" w:eastAsia="仿宋_GB2312"/>
          <w:b/>
          <w:sz w:val="32"/>
          <w:szCs w:val="32"/>
        </w:rPr>
        <w:t>（Ⅲ）评价实施阶段</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1、评价组到现场收集、汇总、整理项目资料，检查、核实项目资料中的数据后，确定实地检查的重点和疑点问题、检查方法及具体的时间安排等。</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2、对项目实施情况进行检查：</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（1）在听取淄博市临淄区商务局对项目实施情况汇报的基础上，核实相关资料的真实性、合理性，对项目资料中反映的或分析中发现的问题进行重点检查。</w:t>
      </w:r>
    </w:p>
    <w:p>
      <w:pPr>
        <w:snapToGrid/>
        <w:spacing w:after="0" w:line="560" w:lineRule="exact"/>
        <w:ind w:firstLine="640" w:firstLineChars="200"/>
        <w:jc w:val="both"/>
        <w:rPr>
          <w:rFonts w:ascii="仿宋_GB2312" w:hAnsi="宋体" w:eastAsia="仿宋_GB2312" w:cs="Times New Roman"/>
          <w:bCs/>
          <w:sz w:val="32"/>
          <w:szCs w:val="32"/>
        </w:rPr>
      </w:pPr>
      <w:r>
        <w:rPr>
          <w:rFonts w:hint="eastAsia" w:ascii="仿宋_GB2312" w:hAnsi="宋体" w:eastAsia="仿宋_GB2312" w:cs="Times New Roman"/>
          <w:sz w:val="32"/>
          <w:szCs w:val="32"/>
        </w:rPr>
        <w:t>（2）进行实地核实，</w:t>
      </w:r>
      <w:r>
        <w:rPr>
          <w:rFonts w:hint="eastAsia" w:ascii="仿宋_GB2312" w:hAnsi="宋体" w:eastAsia="仿宋_GB2312" w:cs="Times New Roman"/>
          <w:bCs/>
          <w:sz w:val="32"/>
          <w:szCs w:val="32"/>
        </w:rPr>
        <w:t>采取的形式：座谈、现场核实、走访、调查问卷、查阅资料等方式。</w:t>
      </w:r>
    </w:p>
    <w:p>
      <w:pPr>
        <w:snapToGrid/>
        <w:spacing w:after="0" w:line="560" w:lineRule="exact"/>
        <w:ind w:firstLine="640" w:firstLineChars="200"/>
        <w:jc w:val="both"/>
        <w:rPr>
          <w:rFonts w:ascii="仿宋_GB2312" w:hAnsi="宋体" w:eastAsia="仿宋_GB2312" w:cs="Times New Roman"/>
          <w:bCs/>
          <w:sz w:val="32"/>
          <w:szCs w:val="32"/>
        </w:rPr>
      </w:pPr>
      <w:r>
        <w:rPr>
          <w:rFonts w:hint="eastAsia" w:ascii="仿宋_GB2312" w:hAnsi="宋体" w:eastAsia="仿宋_GB2312" w:cs="Times New Roman"/>
          <w:bCs/>
          <w:sz w:val="32"/>
          <w:szCs w:val="32"/>
        </w:rPr>
        <w:t>3、评价内容：</w:t>
      </w:r>
    </w:p>
    <w:p>
      <w:pPr>
        <w:snapToGrid/>
        <w:spacing w:after="0" w:line="56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（1）项目目标设置情况：以项目目标计划（或项目预期目标）作为评价标准。</w:t>
      </w:r>
    </w:p>
    <w:p>
      <w:pPr>
        <w:snapToGrid/>
        <w:spacing w:after="0" w:line="56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（2）项目决策情况：立项是否有设立依据，立项依据包括法律法规，中央、省、市、区党委政府文件或会议纪要等。</w:t>
      </w:r>
    </w:p>
    <w:p>
      <w:pPr>
        <w:snapToGrid/>
        <w:spacing w:after="0" w:line="56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（3）资金管理情况：是否进行了规范的会计核算，真实反映项目经费的收支情况。</w:t>
      </w:r>
    </w:p>
    <w:p>
      <w:pPr>
        <w:snapToGrid/>
        <w:spacing w:after="0" w:line="56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（4）项目申报情况：项目申报流程是否规范。</w:t>
      </w:r>
    </w:p>
    <w:p>
      <w:pPr>
        <w:snapToGrid/>
        <w:spacing w:after="0" w:line="56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（5）资金分配情况：资金分配是否符合资金管理办法等规定，是否突出重点、公平公正，支出方向是否明确。</w:t>
      </w:r>
    </w:p>
    <w:p>
      <w:pPr>
        <w:snapToGrid/>
        <w:spacing w:after="0" w:line="56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（6）资金下达情况：资金指标是否及时下达。</w:t>
      </w:r>
    </w:p>
    <w:p>
      <w:pPr>
        <w:snapToGrid/>
        <w:spacing w:after="0" w:line="560" w:lineRule="exact"/>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t>（7）资金使用情况：资金使用是否合规，有无挤占、挪用、截留、闲置等情况；绩效目标产出完成情况；资金使用是否对社会、经济、环境发展产生积极的促进作用，达到预期目的。</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仿宋_GB2312"/>
          <w:sz w:val="32"/>
          <w:szCs w:val="32"/>
        </w:rPr>
        <w:t>（8）财政拨款资金使用绩效情况：对项目的产出数量、产出质量、产出成本、社会效益和环境效益进行对比分析和归纳总结。</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4、结合检查情况，评价组针对项目情况设置问卷调查表，进行了项目的满意度问卷调查。</w:t>
      </w:r>
    </w:p>
    <w:p>
      <w:pPr>
        <w:snapToGrid/>
        <w:spacing w:after="0" w:line="560" w:lineRule="exact"/>
        <w:ind w:firstLine="643" w:firstLineChars="200"/>
        <w:jc w:val="both"/>
        <w:rPr>
          <w:rFonts w:ascii="仿宋_GB2312" w:hAnsi="宋体" w:eastAsia="仿宋_GB2312" w:cs="Times New Roman"/>
          <w:b/>
          <w:sz w:val="32"/>
          <w:szCs w:val="32"/>
        </w:rPr>
      </w:pPr>
      <w:r>
        <w:rPr>
          <w:rFonts w:hint="eastAsia" w:ascii="仿宋_GB2312" w:hAnsi="宋体" w:eastAsia="仿宋_GB2312" w:cs="Times New Roman"/>
          <w:b/>
          <w:sz w:val="32"/>
          <w:szCs w:val="32"/>
        </w:rPr>
        <w:t>（Ⅳ）综合评价</w:t>
      </w:r>
    </w:p>
    <w:p>
      <w:pPr>
        <w:snapToGrid/>
        <w:spacing w:after="0" w:line="560" w:lineRule="exact"/>
        <w:ind w:firstLine="640" w:firstLineChars="200"/>
        <w:jc w:val="both"/>
        <w:rPr>
          <w:rFonts w:ascii="仿宋_GB2312" w:hAnsi="宋体" w:eastAsia="仿宋_GB2312" w:cs="Times New Roman"/>
          <w:bCs/>
          <w:sz w:val="32"/>
          <w:szCs w:val="32"/>
        </w:rPr>
      </w:pPr>
      <w:r>
        <w:rPr>
          <w:rFonts w:hint="eastAsia" w:ascii="仿宋_GB2312" w:hAnsi="宋体" w:eastAsia="仿宋_GB2312" w:cs="Times New Roman"/>
          <w:sz w:val="32"/>
          <w:szCs w:val="32"/>
        </w:rPr>
        <w:t>评价组在全面分析整理被检查项目的相关数据资料的基础上，总结检查情况，对照评价指标和标准，进行综合评议与打分，得出评价结论。</w:t>
      </w:r>
    </w:p>
    <w:p>
      <w:pPr>
        <w:pStyle w:val="22"/>
        <w:spacing w:line="560" w:lineRule="exact"/>
        <w:ind w:firstLine="643"/>
        <w:rPr>
          <w:rFonts w:ascii="仿宋_GB2312" w:hAnsi="宋体" w:eastAsia="仿宋_GB2312"/>
          <w:b/>
          <w:sz w:val="32"/>
          <w:szCs w:val="32"/>
        </w:rPr>
      </w:pPr>
      <w:r>
        <w:rPr>
          <w:rFonts w:hint="eastAsia" w:ascii="仿宋_GB2312" w:hAnsi="宋体" w:eastAsia="仿宋_GB2312"/>
          <w:b/>
          <w:sz w:val="32"/>
          <w:szCs w:val="32"/>
        </w:rPr>
        <w:t>（Ⅴ）评价报告的提交</w:t>
      </w:r>
    </w:p>
    <w:p>
      <w:pPr>
        <w:snapToGrid/>
        <w:spacing w:after="0" w:line="560" w:lineRule="exact"/>
        <w:ind w:firstLine="640" w:firstLineChars="200"/>
        <w:jc w:val="both"/>
        <w:rPr>
          <w:rFonts w:ascii="仿宋_GB2312" w:hAnsi="宋体" w:eastAsia="仿宋_GB2312" w:cs="Times New Roman"/>
          <w:bCs/>
          <w:sz w:val="32"/>
          <w:szCs w:val="32"/>
        </w:rPr>
      </w:pPr>
      <w:r>
        <w:rPr>
          <w:rFonts w:hint="eastAsia" w:ascii="仿宋_GB2312" w:hAnsi="宋体" w:eastAsia="仿宋_GB2312" w:cs="Times New Roman"/>
          <w:bCs/>
          <w:sz w:val="32"/>
          <w:szCs w:val="32"/>
        </w:rPr>
        <w:t>主要工作包括：</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1、对被评价项目的相关资料进行分析汇总、复核；</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2、按照《财政部关于印发&lt;项目支出绩效评价管理办法&gt;的通知》（财预</w:t>
      </w:r>
      <w:r>
        <w:rPr>
          <w:rFonts w:hint="eastAsia" w:ascii="仿宋_GB2312" w:hAnsi="宋体" w:cs="Times New Roman"/>
          <w:bCs/>
          <w:kern w:val="44"/>
          <w:sz w:val="32"/>
          <w:szCs w:val="32"/>
        </w:rPr>
        <w:t>﹝</w:t>
      </w:r>
      <w:r>
        <w:rPr>
          <w:rFonts w:hint="eastAsia" w:ascii="仿宋_GB2312" w:hAnsi="宋体" w:eastAsia="仿宋_GB2312" w:cs="Times New Roman"/>
          <w:bCs/>
          <w:kern w:val="44"/>
          <w:sz w:val="32"/>
          <w:szCs w:val="32"/>
        </w:rPr>
        <w:t>2020</w:t>
      </w:r>
      <w:r>
        <w:rPr>
          <w:rFonts w:hint="eastAsia" w:ascii="仿宋_GB2312" w:hAnsi="宋体" w:cs="Times New Roman"/>
          <w:bCs/>
          <w:kern w:val="44"/>
          <w:sz w:val="32"/>
          <w:szCs w:val="32"/>
        </w:rPr>
        <w:t>﹞</w:t>
      </w:r>
      <w:r>
        <w:rPr>
          <w:rFonts w:hint="eastAsia" w:ascii="仿宋_GB2312" w:hAnsi="宋体" w:eastAsia="仿宋_GB2312" w:cs="Times New Roman"/>
          <w:sz w:val="32"/>
          <w:szCs w:val="32"/>
        </w:rPr>
        <w:t>10号）的规定要求，形成临淄区惠民消费购车补贴项目绩效评价报告初稿，征求临淄区商务局意见后，补充完善评价报告；</w:t>
      </w:r>
    </w:p>
    <w:p>
      <w:pPr>
        <w:snapToGrid/>
        <w:spacing w:after="0" w:line="560" w:lineRule="exact"/>
        <w:ind w:firstLine="640" w:firstLineChars="200"/>
        <w:jc w:val="both"/>
        <w:outlineLvl w:val="1"/>
        <w:rPr>
          <w:rFonts w:ascii="仿宋_GB2312" w:hAnsi="楷体" w:eastAsia="仿宋_GB2312" w:cs="仿宋"/>
          <w:b/>
          <w:sz w:val="32"/>
          <w:szCs w:val="32"/>
        </w:rPr>
      </w:pPr>
      <w:bookmarkStart w:id="16" w:name="_Toc111729904"/>
      <w:r>
        <w:rPr>
          <w:rFonts w:hint="eastAsia" w:ascii="仿宋_GB2312" w:hAnsi="宋体" w:eastAsia="仿宋_GB2312" w:cs="Times New Roman"/>
          <w:sz w:val="32"/>
          <w:szCs w:val="32"/>
        </w:rPr>
        <w:t>3、形成临淄区惠民消费购车补贴项目绩效评价报告（包括表格和文字部分），报临淄区财政局审核。</w:t>
      </w:r>
      <w:bookmarkEnd w:id="16"/>
    </w:p>
    <w:p>
      <w:pPr>
        <w:snapToGrid/>
        <w:spacing w:after="0" w:line="560" w:lineRule="exact"/>
        <w:ind w:firstLine="640" w:firstLineChars="200"/>
        <w:jc w:val="both"/>
        <w:rPr>
          <w:rFonts w:ascii="黑体" w:hAnsi="黑体" w:eastAsia="黑体" w:cs="黑体"/>
          <w:sz w:val="32"/>
          <w:szCs w:val="32"/>
        </w:rPr>
      </w:pPr>
      <w:bookmarkStart w:id="17" w:name="_Toc111729905"/>
      <w:r>
        <w:rPr>
          <w:rFonts w:hint="eastAsia" w:ascii="黑体" w:hAnsi="黑体" w:eastAsia="黑体" w:cs="黑体"/>
          <w:sz w:val="32"/>
          <w:szCs w:val="32"/>
        </w:rPr>
        <w:t>四、评价结论和绩效分析</w:t>
      </w:r>
      <w:bookmarkEnd w:id="17"/>
    </w:p>
    <w:p>
      <w:pPr>
        <w:pStyle w:val="24"/>
        <w:snapToGrid/>
        <w:spacing w:line="560" w:lineRule="exact"/>
        <w:ind w:firstLine="640"/>
        <w:outlineLvl w:val="9"/>
        <w:rPr>
          <w:rFonts w:ascii="仿宋_GB2312" w:eastAsia="仿宋_GB2312"/>
          <w:sz w:val="32"/>
          <w:szCs w:val="32"/>
        </w:rPr>
      </w:pPr>
      <w:bookmarkStart w:id="18" w:name="_Toc111729906"/>
      <w:bookmarkStart w:id="19" w:name="_Toc74767252"/>
      <w:r>
        <w:rPr>
          <w:rFonts w:hint="eastAsia" w:ascii="楷体_GB2312" w:eastAsia="楷体_GB2312"/>
          <w:b w:val="0"/>
          <w:sz w:val="32"/>
          <w:szCs w:val="32"/>
        </w:rPr>
        <w:t>（一）综合评价</w:t>
      </w:r>
      <w:bookmarkEnd w:id="18"/>
      <w:bookmarkEnd w:id="19"/>
      <w:r>
        <w:rPr>
          <w:rFonts w:hint="eastAsia" w:ascii="楷体_GB2312" w:eastAsia="楷体_GB2312"/>
          <w:b w:val="0"/>
          <w:sz w:val="32"/>
          <w:szCs w:val="32"/>
        </w:rPr>
        <w:t>结论</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本次绩效评价，经评价组实地调研、访谈问卷、资料采集、汇总整理、数据分析，依据报送审核的评价指标体系，采用定量与定性相结合的方法，针对项目实施的决策、过程管理、产出和效益等方面开展绩效评价工作。</w:t>
      </w:r>
    </w:p>
    <w:p>
      <w:pPr>
        <w:snapToGrid/>
        <w:spacing w:after="0" w:line="560" w:lineRule="exact"/>
        <w:ind w:firstLine="640" w:firstLineChars="200"/>
        <w:jc w:val="both"/>
        <w:rPr>
          <w:rFonts w:ascii="仿宋_GB2312" w:hAnsi="宋体" w:eastAsia="仿宋_GB2312" w:cs="Times New Roman"/>
          <w:sz w:val="32"/>
          <w:szCs w:val="32"/>
        </w:rPr>
      </w:pPr>
      <w:r>
        <w:rPr>
          <w:rFonts w:hint="eastAsia" w:ascii="仿宋_GB2312" w:hAnsi="宋体" w:eastAsia="仿宋_GB2312" w:cs="Times New Roman"/>
          <w:sz w:val="32"/>
          <w:szCs w:val="32"/>
        </w:rPr>
        <w:t>评价结果表明，</w:t>
      </w:r>
      <w:r>
        <w:rPr>
          <w:rFonts w:hint="eastAsia" w:ascii="仿宋_GB2312" w:hAnsi="宋体" w:eastAsia="仿宋_GB2312" w:cs="Times New Roman"/>
          <w:sz w:val="32"/>
          <w:szCs w:val="32"/>
          <w:lang w:bidi="en-US"/>
        </w:rPr>
        <w:t>临淄区惠民消费购车补贴项目</w:t>
      </w:r>
      <w:r>
        <w:rPr>
          <w:rFonts w:hint="eastAsia" w:ascii="仿宋_GB2312" w:hAnsi="宋体" w:eastAsia="仿宋_GB2312" w:cs="Times New Roman"/>
          <w:sz w:val="32"/>
          <w:szCs w:val="32"/>
        </w:rPr>
        <w:t>绩效评价综合得分83.50分，绩效评价等级为“良”。具体表现为：</w:t>
      </w:r>
    </w:p>
    <w:tbl>
      <w:tblPr>
        <w:tblStyle w:val="8"/>
        <w:tblW w:w="5000" w:type="pct"/>
        <w:tblInd w:w="0" w:type="dxa"/>
        <w:tblLayout w:type="autofit"/>
        <w:tblCellMar>
          <w:top w:w="0" w:type="dxa"/>
          <w:left w:w="108" w:type="dxa"/>
          <w:bottom w:w="0" w:type="dxa"/>
          <w:right w:w="108" w:type="dxa"/>
        </w:tblCellMar>
      </w:tblPr>
      <w:tblGrid>
        <w:gridCol w:w="2939"/>
        <w:gridCol w:w="2387"/>
        <w:gridCol w:w="2366"/>
        <w:gridCol w:w="2264"/>
      </w:tblGrid>
      <w:tr>
        <w:tblPrEx>
          <w:tblCellMar>
            <w:top w:w="0" w:type="dxa"/>
            <w:left w:w="108" w:type="dxa"/>
            <w:bottom w:w="0" w:type="dxa"/>
            <w:right w:w="108" w:type="dxa"/>
          </w:tblCellMar>
        </w:tblPrEx>
        <w:trPr>
          <w:trHeight w:val="360" w:hRule="atLeast"/>
        </w:trPr>
        <w:tc>
          <w:tcPr>
            <w:tcW w:w="1476" w:type="pct"/>
            <w:tcBorders>
              <w:top w:val="single" w:color="auto" w:sz="8" w:space="0"/>
              <w:left w:val="single" w:color="auto" w:sz="8" w:space="0"/>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评价指标</w:t>
            </w:r>
          </w:p>
        </w:tc>
        <w:tc>
          <w:tcPr>
            <w:tcW w:w="1199" w:type="pct"/>
            <w:tcBorders>
              <w:top w:val="single" w:color="auto" w:sz="8" w:space="0"/>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权重</w:t>
            </w:r>
          </w:p>
        </w:tc>
        <w:tc>
          <w:tcPr>
            <w:tcW w:w="1188" w:type="pct"/>
            <w:tcBorders>
              <w:top w:val="single" w:color="auto" w:sz="8" w:space="0"/>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评价得分</w:t>
            </w:r>
          </w:p>
        </w:tc>
        <w:tc>
          <w:tcPr>
            <w:tcW w:w="1137" w:type="pct"/>
            <w:tcBorders>
              <w:top w:val="single" w:color="auto" w:sz="8" w:space="0"/>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得分率</w:t>
            </w:r>
          </w:p>
        </w:tc>
      </w:tr>
      <w:tr>
        <w:tblPrEx>
          <w:tblCellMar>
            <w:top w:w="0" w:type="dxa"/>
            <w:left w:w="108" w:type="dxa"/>
            <w:bottom w:w="0" w:type="dxa"/>
            <w:right w:w="108" w:type="dxa"/>
          </w:tblCellMar>
        </w:tblPrEx>
        <w:trPr>
          <w:trHeight w:val="360" w:hRule="atLeast"/>
        </w:trPr>
        <w:tc>
          <w:tcPr>
            <w:tcW w:w="1476" w:type="pct"/>
            <w:tcBorders>
              <w:top w:val="nil"/>
              <w:left w:val="single" w:color="auto" w:sz="8" w:space="0"/>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决策</w:t>
            </w:r>
          </w:p>
        </w:tc>
        <w:tc>
          <w:tcPr>
            <w:tcW w:w="1199"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19</w:t>
            </w:r>
          </w:p>
        </w:tc>
        <w:tc>
          <w:tcPr>
            <w:tcW w:w="1188"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16</w:t>
            </w:r>
          </w:p>
        </w:tc>
        <w:tc>
          <w:tcPr>
            <w:tcW w:w="1137"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84.21%</w:t>
            </w:r>
          </w:p>
        </w:tc>
      </w:tr>
      <w:tr>
        <w:tblPrEx>
          <w:tblCellMar>
            <w:top w:w="0" w:type="dxa"/>
            <w:left w:w="108" w:type="dxa"/>
            <w:bottom w:w="0" w:type="dxa"/>
            <w:right w:w="108" w:type="dxa"/>
          </w:tblCellMar>
        </w:tblPrEx>
        <w:trPr>
          <w:trHeight w:val="360" w:hRule="atLeast"/>
        </w:trPr>
        <w:tc>
          <w:tcPr>
            <w:tcW w:w="1476" w:type="pct"/>
            <w:tcBorders>
              <w:top w:val="nil"/>
              <w:left w:val="single" w:color="auto" w:sz="8" w:space="0"/>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过程</w:t>
            </w:r>
          </w:p>
        </w:tc>
        <w:tc>
          <w:tcPr>
            <w:tcW w:w="1199"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20</w:t>
            </w:r>
          </w:p>
        </w:tc>
        <w:tc>
          <w:tcPr>
            <w:tcW w:w="1188"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12.5</w:t>
            </w:r>
          </w:p>
        </w:tc>
        <w:tc>
          <w:tcPr>
            <w:tcW w:w="1137"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62.50%</w:t>
            </w:r>
          </w:p>
        </w:tc>
      </w:tr>
      <w:tr>
        <w:tblPrEx>
          <w:tblCellMar>
            <w:top w:w="0" w:type="dxa"/>
            <w:left w:w="108" w:type="dxa"/>
            <w:bottom w:w="0" w:type="dxa"/>
            <w:right w:w="108" w:type="dxa"/>
          </w:tblCellMar>
        </w:tblPrEx>
        <w:trPr>
          <w:trHeight w:val="360" w:hRule="atLeast"/>
        </w:trPr>
        <w:tc>
          <w:tcPr>
            <w:tcW w:w="1476" w:type="pct"/>
            <w:tcBorders>
              <w:top w:val="nil"/>
              <w:left w:val="single" w:color="auto" w:sz="8" w:space="0"/>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产出</w:t>
            </w:r>
          </w:p>
        </w:tc>
        <w:tc>
          <w:tcPr>
            <w:tcW w:w="1199"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31</w:t>
            </w:r>
          </w:p>
        </w:tc>
        <w:tc>
          <w:tcPr>
            <w:tcW w:w="1188"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27</w:t>
            </w:r>
          </w:p>
        </w:tc>
        <w:tc>
          <w:tcPr>
            <w:tcW w:w="1137"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87.10%</w:t>
            </w:r>
          </w:p>
        </w:tc>
      </w:tr>
      <w:tr>
        <w:tblPrEx>
          <w:tblCellMar>
            <w:top w:w="0" w:type="dxa"/>
            <w:left w:w="108" w:type="dxa"/>
            <w:bottom w:w="0" w:type="dxa"/>
            <w:right w:w="108" w:type="dxa"/>
          </w:tblCellMar>
        </w:tblPrEx>
        <w:trPr>
          <w:trHeight w:val="360" w:hRule="atLeast"/>
        </w:trPr>
        <w:tc>
          <w:tcPr>
            <w:tcW w:w="1476" w:type="pct"/>
            <w:tcBorders>
              <w:top w:val="nil"/>
              <w:left w:val="single" w:color="auto" w:sz="8" w:space="0"/>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效益</w:t>
            </w:r>
          </w:p>
        </w:tc>
        <w:tc>
          <w:tcPr>
            <w:tcW w:w="1199"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30</w:t>
            </w:r>
          </w:p>
        </w:tc>
        <w:tc>
          <w:tcPr>
            <w:tcW w:w="1188"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28</w:t>
            </w:r>
          </w:p>
        </w:tc>
        <w:tc>
          <w:tcPr>
            <w:tcW w:w="1137"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93.33%</w:t>
            </w:r>
          </w:p>
        </w:tc>
      </w:tr>
      <w:tr>
        <w:tblPrEx>
          <w:tblCellMar>
            <w:top w:w="0" w:type="dxa"/>
            <w:left w:w="108" w:type="dxa"/>
            <w:bottom w:w="0" w:type="dxa"/>
            <w:right w:w="108" w:type="dxa"/>
          </w:tblCellMar>
        </w:tblPrEx>
        <w:trPr>
          <w:trHeight w:val="360" w:hRule="atLeast"/>
        </w:trPr>
        <w:tc>
          <w:tcPr>
            <w:tcW w:w="1476" w:type="pct"/>
            <w:tcBorders>
              <w:top w:val="nil"/>
              <w:left w:val="single" w:color="auto" w:sz="8" w:space="0"/>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综合评价</w:t>
            </w:r>
          </w:p>
        </w:tc>
        <w:tc>
          <w:tcPr>
            <w:tcW w:w="1199"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100</w:t>
            </w:r>
          </w:p>
        </w:tc>
        <w:tc>
          <w:tcPr>
            <w:tcW w:w="1188"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83.5</w:t>
            </w:r>
          </w:p>
        </w:tc>
        <w:tc>
          <w:tcPr>
            <w:tcW w:w="1137" w:type="pct"/>
            <w:tcBorders>
              <w:top w:val="nil"/>
              <w:left w:val="nil"/>
              <w:bottom w:val="single" w:color="auto" w:sz="8" w:space="0"/>
              <w:right w:val="single" w:color="auto" w:sz="8" w:space="0"/>
            </w:tcBorders>
            <w:vAlign w:val="center"/>
          </w:tcPr>
          <w:p>
            <w:pPr>
              <w:snapToGrid/>
              <w:spacing w:after="0" w:line="560" w:lineRule="exact"/>
              <w:jc w:val="both"/>
              <w:rPr>
                <w:rFonts w:ascii="仿宋_GB2312" w:hAnsi="宋体" w:eastAsia="仿宋_GB2312" w:cs="Times New Roman"/>
                <w:sz w:val="32"/>
                <w:szCs w:val="32"/>
              </w:rPr>
            </w:pPr>
            <w:r>
              <w:rPr>
                <w:rFonts w:hint="eastAsia" w:ascii="仿宋_GB2312" w:hAnsi="宋体" w:eastAsia="仿宋_GB2312" w:cs="Times New Roman"/>
                <w:sz w:val="32"/>
                <w:szCs w:val="32"/>
              </w:rPr>
              <w:t>83.50%</w:t>
            </w:r>
          </w:p>
        </w:tc>
      </w:tr>
    </w:tbl>
    <w:p>
      <w:pPr>
        <w:pStyle w:val="24"/>
        <w:snapToGrid/>
        <w:spacing w:line="560" w:lineRule="exact"/>
        <w:ind w:firstLine="640"/>
        <w:outlineLvl w:val="9"/>
        <w:rPr>
          <w:rFonts w:ascii="楷体_GB2312" w:eastAsia="楷体_GB2312"/>
          <w:b w:val="0"/>
          <w:sz w:val="32"/>
          <w:szCs w:val="32"/>
        </w:rPr>
      </w:pPr>
      <w:bookmarkStart w:id="20" w:name="_Toc74767253"/>
      <w:bookmarkStart w:id="21" w:name="_Toc111729907"/>
      <w:r>
        <w:rPr>
          <w:rFonts w:hint="eastAsia" w:ascii="楷体_GB2312" w:eastAsia="楷体_GB2312"/>
          <w:b w:val="0"/>
          <w:sz w:val="32"/>
          <w:szCs w:val="32"/>
        </w:rPr>
        <w:t>（二）</w:t>
      </w:r>
      <w:bookmarkEnd w:id="20"/>
      <w:bookmarkEnd w:id="21"/>
      <w:r>
        <w:rPr>
          <w:rFonts w:hint="eastAsia" w:ascii="楷体_GB2312" w:eastAsia="楷体_GB2312"/>
          <w:b w:val="0"/>
          <w:sz w:val="32"/>
          <w:szCs w:val="32"/>
        </w:rPr>
        <w:t>绩效分析</w:t>
      </w:r>
    </w:p>
    <w:p>
      <w:pPr>
        <w:pStyle w:val="23"/>
        <w:spacing w:line="560" w:lineRule="exact"/>
        <w:ind w:firstLine="643"/>
        <w:rPr>
          <w:rFonts w:ascii="仿宋_GB2312" w:hAnsi="宋体" w:eastAsia="仿宋_GB2312"/>
          <w:sz w:val="32"/>
          <w:szCs w:val="32"/>
        </w:rPr>
      </w:pPr>
      <w:bookmarkStart w:id="22" w:name="_Toc74767254"/>
      <w:bookmarkStart w:id="23" w:name="_Hlk69196295"/>
      <w:r>
        <w:rPr>
          <w:rFonts w:hint="eastAsia" w:ascii="仿宋_GB2312" w:hAnsi="宋体" w:eastAsia="仿宋_GB2312"/>
          <w:sz w:val="32"/>
          <w:szCs w:val="32"/>
        </w:rPr>
        <w:t>1.评价计分方法</w:t>
      </w:r>
      <w:bookmarkEnd w:id="22"/>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Times New Roman"/>
          <w:sz w:val="32"/>
          <w:szCs w:val="32"/>
        </w:rPr>
        <w:t>本次绩效评价主要采用定量与定性相结合的方法，依据项目绩效指标体系进行分析打分，总分百分制，以最终得分确定评价等级。</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Times New Roman"/>
          <w:sz w:val="32"/>
          <w:szCs w:val="32"/>
        </w:rPr>
        <w:t>（1）项目的绩效评分采用量化打分，总分设置为100分。其中：“决策”分值19分、“过程”分值20分、“产出”分值31分、“效益”分值30分。</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Times New Roman"/>
          <w:sz w:val="32"/>
          <w:szCs w:val="32"/>
        </w:rPr>
        <w:t>（2）根据评价标准，达到要求的指标记标准分满分，不能达到标准的根据评分标准打分，得分最低为</w:t>
      </w:r>
      <w:r>
        <w:rPr>
          <w:rFonts w:hint="eastAsia" w:ascii="仿宋_GB2312" w:eastAsia="仿宋_GB2312" w:cs="Times New Roman"/>
          <w:sz w:val="32"/>
          <w:szCs w:val="32"/>
        </w:rPr>
        <w:t>0</w:t>
      </w:r>
      <w:r>
        <w:rPr>
          <w:rFonts w:hint="eastAsia" w:ascii="仿宋_GB2312" w:hAnsi="宋体" w:eastAsia="仿宋_GB2312" w:cs="Times New Roman"/>
          <w:sz w:val="32"/>
          <w:szCs w:val="32"/>
        </w:rPr>
        <w:t>分。</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Times New Roman"/>
          <w:sz w:val="32"/>
          <w:szCs w:val="32"/>
        </w:rPr>
        <w:t>（3）评分计算方法：项目的绩效得分等于绩效评价指标体系评价表中按评价标准计算所得的实际分值。</w:t>
      </w:r>
    </w:p>
    <w:p>
      <w:pPr>
        <w:snapToGrid/>
        <w:spacing w:after="0" w:line="560" w:lineRule="exact"/>
        <w:ind w:firstLine="640" w:firstLineChars="200"/>
        <w:jc w:val="both"/>
        <w:rPr>
          <w:rFonts w:ascii="仿宋_GB2312" w:eastAsia="仿宋_GB2312" w:cs="宋体"/>
          <w:bCs/>
          <w:sz w:val="32"/>
          <w:szCs w:val="32"/>
        </w:rPr>
      </w:pPr>
      <w:r>
        <w:rPr>
          <w:rFonts w:hint="eastAsia" w:ascii="仿宋_GB2312" w:hAnsi="宋体" w:eastAsia="仿宋_GB2312" w:cs="Times New Roman"/>
          <w:sz w:val="32"/>
          <w:szCs w:val="32"/>
        </w:rPr>
        <w:t>（4）评价结果：</w:t>
      </w:r>
      <w:r>
        <w:rPr>
          <w:rFonts w:hint="eastAsia" w:ascii="仿宋_GB2312" w:hAnsi="宋体" w:eastAsia="仿宋_GB2312" w:cs="宋体"/>
          <w:bCs/>
          <w:sz w:val="32"/>
          <w:szCs w:val="32"/>
        </w:rPr>
        <w:t>项目评价结果分为优（≥90分）、良（≥80分</w:t>
      </w:r>
      <w:r>
        <w:rPr>
          <w:rFonts w:hint="eastAsia" w:ascii="仿宋_GB2312" w:eastAsia="仿宋_GB2312" w:cs="宋体"/>
          <w:bCs/>
          <w:sz w:val="32"/>
          <w:szCs w:val="32"/>
        </w:rPr>
        <w:t>-</w:t>
      </w:r>
      <w:r>
        <w:rPr>
          <w:rFonts w:hint="eastAsia" w:ascii="仿宋_GB2312" w:hAnsi="宋体" w:eastAsia="仿宋_GB2312" w:cs="宋体"/>
          <w:bCs/>
          <w:sz w:val="32"/>
          <w:szCs w:val="32"/>
        </w:rPr>
        <w:t>＜90分）、中（≥60分</w:t>
      </w:r>
      <w:r>
        <w:rPr>
          <w:rFonts w:hint="eastAsia" w:ascii="仿宋_GB2312" w:eastAsia="仿宋_GB2312" w:cs="宋体"/>
          <w:bCs/>
          <w:sz w:val="32"/>
          <w:szCs w:val="32"/>
        </w:rPr>
        <w:t>-</w:t>
      </w:r>
      <w:r>
        <w:rPr>
          <w:rFonts w:hint="eastAsia" w:ascii="仿宋_GB2312" w:hAnsi="宋体" w:eastAsia="仿宋_GB2312" w:cs="宋体"/>
          <w:bCs/>
          <w:sz w:val="32"/>
          <w:szCs w:val="32"/>
        </w:rPr>
        <w:t>＜80分）、差（＜60分）四个等级，根据计算结果的分值，确定评价对象达到的等级。</w:t>
      </w:r>
    </w:p>
    <w:bookmarkEnd w:id="23"/>
    <w:p>
      <w:pPr>
        <w:pStyle w:val="23"/>
        <w:spacing w:line="560" w:lineRule="exact"/>
        <w:ind w:firstLine="643"/>
        <w:rPr>
          <w:rFonts w:ascii="仿宋_GB2312" w:hAnsi="宋体" w:eastAsia="仿宋_GB2312"/>
          <w:sz w:val="32"/>
          <w:szCs w:val="32"/>
        </w:rPr>
      </w:pPr>
      <w:bookmarkStart w:id="24" w:name="_Toc74767255"/>
      <w:bookmarkStart w:id="25" w:name="_Hlk69196367"/>
      <w:r>
        <w:rPr>
          <w:rFonts w:hint="eastAsia" w:ascii="仿宋_GB2312" w:hAnsi="宋体" w:eastAsia="仿宋_GB2312"/>
          <w:sz w:val="32"/>
          <w:szCs w:val="32"/>
        </w:rPr>
        <w:t>2.评价得分情况</w:t>
      </w:r>
      <w:bookmarkEnd w:id="24"/>
    </w:p>
    <w:bookmarkEnd w:id="25"/>
    <w:p>
      <w:pPr>
        <w:snapToGrid/>
        <w:spacing w:after="0" w:line="560" w:lineRule="exact"/>
        <w:ind w:firstLine="640" w:firstLineChars="200"/>
        <w:jc w:val="both"/>
        <w:rPr>
          <w:rFonts w:ascii="仿宋_GB2312" w:hAnsi="宋体" w:eastAsia="仿宋_GB2312" w:cs="宋体"/>
          <w:bCs/>
          <w:sz w:val="32"/>
          <w:szCs w:val="32"/>
        </w:rPr>
      </w:pPr>
      <w:r>
        <w:rPr>
          <w:rFonts w:hint="eastAsia" w:ascii="仿宋_GB2312" w:hAnsi="宋体" w:eastAsia="仿宋_GB2312" w:cs="宋体"/>
          <w:bCs/>
          <w:sz w:val="32"/>
          <w:szCs w:val="32"/>
        </w:rPr>
        <w:t>临淄区惠民消费购车补贴项目评价结果综合得分83.50分，绩效评价等级为“良”。</w:t>
      </w:r>
    </w:p>
    <w:p>
      <w:pPr>
        <w:snapToGrid/>
        <w:spacing w:after="0" w:line="560" w:lineRule="exact"/>
        <w:ind w:firstLine="600"/>
        <w:jc w:val="both"/>
        <w:rPr>
          <w:rFonts w:ascii="黑体" w:hAnsi="黑体" w:eastAsia="黑体" w:cs="黑体"/>
          <w:sz w:val="32"/>
          <w:szCs w:val="32"/>
        </w:rPr>
      </w:pPr>
      <w:bookmarkStart w:id="26" w:name="_Toc111729908"/>
      <w:r>
        <w:rPr>
          <w:rFonts w:hint="eastAsia" w:ascii="黑体" w:hAnsi="黑体" w:eastAsia="黑体" w:cs="黑体"/>
          <w:sz w:val="32"/>
          <w:szCs w:val="32"/>
        </w:rPr>
        <w:t>五、存在问题及原因分析</w:t>
      </w:r>
      <w:bookmarkEnd w:id="26"/>
    </w:p>
    <w:p>
      <w:pPr>
        <w:snapToGrid/>
        <w:spacing w:after="0" w:line="560" w:lineRule="exact"/>
        <w:ind w:firstLine="640" w:firstLineChars="200"/>
        <w:jc w:val="both"/>
        <w:rPr>
          <w:rFonts w:ascii="仿宋_GB2312" w:hAnsi="宋体" w:eastAsia="仿宋_GB2312" w:cs="宋体"/>
          <w:bCs/>
          <w:sz w:val="32"/>
          <w:szCs w:val="32"/>
        </w:rPr>
      </w:pPr>
      <w:r>
        <w:rPr>
          <w:rFonts w:hint="eastAsia" w:ascii="仿宋_GB2312" w:hAnsi="宋体" w:eastAsia="仿宋_GB2312" w:cs="宋体"/>
          <w:bCs/>
          <w:sz w:val="32"/>
          <w:szCs w:val="32"/>
        </w:rPr>
        <w:t>在临淄区人民政府的领导下，淄博市临淄区商务局等各部门、各单位齐心协力，共同努力，较好地完成了临淄区惠民消费购车补贴项目工作，基本实现了项目的预期目标和产出效益，但在绩效评价过程中仍然发现了一些问题，主要体现在以下几个方面：</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（一）发放消费券的平台反馈机制不到位</w:t>
      </w:r>
    </w:p>
    <w:p>
      <w:pPr>
        <w:pStyle w:val="2"/>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2022年临淄区惠民消费购车补贴项目在一定程度上缓解了消费者及商户因疫情受到的影响，消费拉动效益明显，在促进经济复苏的同时体现了政府执政为民、服务群众的理念。但选定中国银联有限公司山东分公司（云闪付）作为消费券发放平台不够理想，主要体现在发放金额统计及信息反馈方面存在不及时的情况，</w:t>
      </w:r>
      <w:r>
        <w:rPr>
          <w:rFonts w:hint="eastAsia" w:ascii="仿宋_GB2312" w:hAnsi="宋体" w:eastAsia="仿宋_GB2312" w:cs="宋体"/>
          <w:sz w:val="32"/>
          <w:szCs w:val="32"/>
        </w:rPr>
        <w:t>按照“先购先得、补完为止”的原则，</w:t>
      </w:r>
      <w:r>
        <w:rPr>
          <w:rFonts w:hint="eastAsia" w:ascii="仿宋_GB2312" w:hAnsi="宋体" w:eastAsia="仿宋_GB2312"/>
          <w:sz w:val="32"/>
          <w:szCs w:val="32"/>
        </w:rPr>
        <w:t>消费券已发放完毕时未及时反馈给商户与消费者，导致部分消费者上传资料后领取不到消费券，从而与商户发生纠纷。因此，平台在反馈机制方面做的不到位。</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（二）绩效目标没有细化分解为具体的绩效指标</w:t>
      </w:r>
    </w:p>
    <w:p>
      <w:pPr>
        <w:snapToGrid/>
        <w:spacing w:after="0" w:line="560" w:lineRule="exact"/>
        <w:ind w:firstLine="640" w:firstLineChars="200"/>
        <w:jc w:val="both"/>
        <w:outlineLvl w:val="0"/>
        <w:rPr>
          <w:rFonts w:ascii="仿宋_GB2312" w:hAnsi="宋体" w:eastAsia="仿宋_GB2312" w:cs="Times New Roman"/>
          <w:sz w:val="32"/>
          <w:szCs w:val="32"/>
        </w:rPr>
      </w:pPr>
      <w:r>
        <w:rPr>
          <w:rFonts w:hint="eastAsia" w:ascii="仿宋_GB2312" w:hAnsi="宋体" w:eastAsia="仿宋_GB2312" w:cs="Times New Roman"/>
          <w:sz w:val="32"/>
          <w:szCs w:val="32"/>
        </w:rPr>
        <w:t>项目实施单位没有将绩效目标细化分解为具体的绩效指标，如：通过本次补贴活动实现销售汽车数量、金额分别达到某一目标等，没有通过清晰、可衡量的指标值予以体现；效益指标值、满意度指标值设置为“是”这样的非量化指标，成为无效指标值，也导致后期无法评价该指标是否完成。</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（三）项目实施单位没有针对项目制定财务、业务管理制度或文件</w:t>
      </w:r>
    </w:p>
    <w:p>
      <w:pPr>
        <w:snapToGrid/>
        <w:spacing w:after="0" w:line="560" w:lineRule="exact"/>
        <w:ind w:firstLine="640" w:firstLineChars="200"/>
        <w:jc w:val="both"/>
        <w:outlineLvl w:val="0"/>
        <w:rPr>
          <w:rFonts w:ascii="仿宋_GB2312" w:hAnsi="宋体" w:eastAsia="仿宋_GB2312" w:cs="Times New Roman"/>
          <w:sz w:val="32"/>
          <w:szCs w:val="32"/>
        </w:rPr>
      </w:pPr>
      <w:r>
        <w:rPr>
          <w:rFonts w:hint="eastAsia" w:ascii="仿宋_GB2312" w:hAnsi="宋体" w:eastAsia="仿宋_GB2312" w:cs="Times New Roman"/>
          <w:sz w:val="32"/>
          <w:szCs w:val="32"/>
        </w:rPr>
        <w:t>制度是保障项目顺利实施的基本条件，该项目在组织实施方面，实施单位没有制定该项目在财务、业务方面的管理制度，未科学制定项目实施的节点，造成工作人员“无节点可依”，不知道签协议、收集资料应该在哪个节点进行。因此，在项目实施过程中造成没有和销售商户签订协议、对银联审核后的原始资料收集不全等问题。</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（四）项目实施单位档案管理不够规范</w:t>
      </w:r>
    </w:p>
    <w:p>
      <w:pPr>
        <w:snapToGrid/>
        <w:spacing w:after="0" w:line="560" w:lineRule="exact"/>
        <w:ind w:firstLine="640" w:firstLineChars="200"/>
        <w:jc w:val="both"/>
        <w:outlineLvl w:val="0"/>
        <w:rPr>
          <w:rFonts w:ascii="仿宋_GB2312" w:hAnsi="宋体" w:eastAsia="仿宋_GB2312" w:cs="Times New Roman"/>
          <w:sz w:val="32"/>
          <w:szCs w:val="32"/>
        </w:rPr>
      </w:pPr>
      <w:r>
        <w:rPr>
          <w:rFonts w:hint="eastAsia" w:ascii="仿宋_GB2312" w:hAnsi="宋体" w:eastAsia="仿宋_GB2312" w:cs="Times New Roman"/>
          <w:sz w:val="32"/>
          <w:szCs w:val="32"/>
        </w:rPr>
        <w:t>项目实施单位提供了项目实施方案、与中国银联股份有限公司山东分公司签订的营销合作协议、补贴发放明细表、补贴资金记账凭证等资料，但项目实施单位在补贴资金发放前没有取得购车人上传的申请资料，因此，项目实施单位档案收集不全，档案管理不够规范。</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（五）未与汽车销售商家签订销售目标协议，未对商家进行考核</w:t>
      </w:r>
    </w:p>
    <w:p>
      <w:pPr>
        <w:snapToGrid/>
        <w:spacing w:after="0" w:line="560" w:lineRule="exact"/>
        <w:ind w:firstLine="640" w:firstLineChars="200"/>
        <w:jc w:val="both"/>
        <w:outlineLvl w:val="0"/>
        <w:rPr>
          <w:rFonts w:ascii="仿宋_GB2312" w:hAnsi="宋体" w:eastAsia="仿宋_GB2312" w:cs="Times New Roman"/>
          <w:sz w:val="32"/>
          <w:szCs w:val="32"/>
        </w:rPr>
      </w:pPr>
      <w:r>
        <w:rPr>
          <w:rFonts w:hint="eastAsia" w:ascii="仿宋_GB2312" w:hAnsi="宋体" w:eastAsia="仿宋_GB2312" w:cs="Times New Roman"/>
          <w:sz w:val="32"/>
          <w:szCs w:val="32"/>
        </w:rPr>
        <w:t>项目实施方案中明确采用“政府补贴+商家促销”形式，汽车销售商家配合政府组织开展促销活动。商家的促销力度在很大程度上决定项目的实施情况，因此，和参与商家签订销售目标协议很有必要，在项目结束后，还要按照协议对商家进行考核。协议的签订是对双方的约束，也能保障项目顺利实施。</w:t>
      </w:r>
    </w:p>
    <w:p>
      <w:pPr>
        <w:snapToGrid/>
        <w:spacing w:after="0" w:line="560" w:lineRule="exact"/>
        <w:ind w:firstLine="640" w:firstLineChars="200"/>
        <w:jc w:val="both"/>
        <w:outlineLvl w:val="0"/>
        <w:rPr>
          <w:rFonts w:ascii="仿宋_GB2312" w:hAnsi="黑体" w:eastAsia="仿宋_GB2312" w:cs="仿宋"/>
          <w:sz w:val="32"/>
          <w:szCs w:val="32"/>
        </w:rPr>
      </w:pPr>
      <w:r>
        <w:rPr>
          <w:rFonts w:hint="eastAsia" w:ascii="黑体" w:hAnsi="黑体" w:eastAsia="黑体" w:cs="黑体"/>
          <w:sz w:val="32"/>
          <w:szCs w:val="32"/>
        </w:rPr>
        <w:t>六、有关建议</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hAnsi="宋体" w:eastAsia="仿宋_GB2312" w:cs="宋体"/>
          <w:sz w:val="32"/>
          <w:szCs w:val="32"/>
        </w:rPr>
        <w:t>通过本次绩效评价可以看出，</w:t>
      </w:r>
      <w:r>
        <w:rPr>
          <w:rFonts w:hint="eastAsia" w:ascii="仿宋_GB2312" w:hAnsi="宋体" w:eastAsia="仿宋_GB2312" w:cs="Times New Roman"/>
          <w:sz w:val="32"/>
          <w:szCs w:val="32"/>
        </w:rPr>
        <w:t>临淄区惠民消费购车补贴项目对促进终端汽车消费</w:t>
      </w:r>
      <w:r>
        <w:rPr>
          <w:rFonts w:hint="eastAsia" w:ascii="仿宋_GB2312" w:hAnsi="宋体" w:eastAsia="仿宋_GB2312" w:cs="宋体"/>
          <w:sz w:val="32"/>
          <w:szCs w:val="32"/>
        </w:rPr>
        <w:t>起到了促进作用。为了以后类似活动的健康实施，针对本次绩效评价发现的问题，建议做好以下几方面工作：</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（一）完善消费券发放平台的选取标准，充分体现市场公平原则</w:t>
      </w:r>
    </w:p>
    <w:p>
      <w:pPr>
        <w:snapToGrid/>
        <w:spacing w:after="0" w:line="560" w:lineRule="exact"/>
        <w:ind w:firstLine="640" w:firstLineChars="200"/>
        <w:jc w:val="both"/>
        <w:outlineLvl w:val="0"/>
        <w:rPr>
          <w:rFonts w:ascii="仿宋_GB2312" w:hAnsi="宋体" w:eastAsia="仿宋_GB2312" w:cs="宋体"/>
          <w:sz w:val="32"/>
          <w:szCs w:val="32"/>
        </w:rPr>
      </w:pPr>
      <w:r>
        <w:rPr>
          <w:rFonts w:hint="eastAsia" w:ascii="仿宋_GB2312" w:hAnsi="宋体" w:eastAsia="仿宋_GB2312" w:cs="宋体"/>
          <w:sz w:val="32"/>
          <w:szCs w:val="32"/>
        </w:rPr>
        <w:t>消费券虽然是面向消费者发放，但却通过其购买行为直接连通市场主体，如资源不能得到合理分配，就会打破市场竞争的平衡，引发政策公平的问题。因此，平台选择方面，建议从技术支撑、覆盖范围、风控能力、服务质量等方面设定一定的标准，使具备国家金融主管或监管部门许可的银行卡清算、银行卡业务或支付结算等经营范围以及持有相关业务准入批准文件的服务机构，通过政府招标采购等方式入选，以避免地方保护和限制竞争等行为的发生。</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（二）建议细化绩效目标和绩效指标，更好地完成项目实施</w:t>
      </w:r>
    </w:p>
    <w:p>
      <w:pPr>
        <w:snapToGrid/>
        <w:spacing w:after="0" w:line="560" w:lineRule="exact"/>
        <w:ind w:firstLine="640" w:firstLineChars="200"/>
        <w:jc w:val="both"/>
        <w:outlineLvl w:val="0"/>
        <w:rPr>
          <w:rFonts w:ascii="仿宋_GB2312" w:hAnsi="宋体" w:eastAsia="仿宋_GB2312" w:cs="仿宋"/>
          <w:sz w:val="32"/>
          <w:szCs w:val="32"/>
        </w:rPr>
      </w:pPr>
      <w:r>
        <w:rPr>
          <w:rFonts w:hint="eastAsia" w:ascii="仿宋_GB2312" w:hAnsi="宋体" w:eastAsia="仿宋_GB2312" w:cs="仿宋"/>
          <w:sz w:val="32"/>
          <w:szCs w:val="32"/>
        </w:rPr>
        <w:t>项目绩效总体目标往往是比较宏观和抽象，如果不将总体目标细化、分解为清晰、可衡量的指标值，在落实和执行时就很难执行到位。建议将目标细化，在项目实施过程中按细化好的目标逐项落实到位，项目实施完毕时，整个项目往往就落实的比较好、不走样。</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（三）建议针对项目制定财务、业务管理制度或文件</w:t>
      </w:r>
    </w:p>
    <w:p>
      <w:pPr>
        <w:snapToGrid/>
        <w:spacing w:after="0" w:line="560" w:lineRule="exact"/>
        <w:ind w:firstLine="640" w:firstLineChars="200"/>
        <w:jc w:val="both"/>
        <w:outlineLvl w:val="0"/>
        <w:rPr>
          <w:rFonts w:ascii="仿宋_GB2312" w:hAnsi="宋体" w:eastAsia="仿宋_GB2312" w:cs="仿宋"/>
          <w:sz w:val="32"/>
          <w:szCs w:val="32"/>
        </w:rPr>
      </w:pPr>
      <w:r>
        <w:rPr>
          <w:rFonts w:hint="eastAsia" w:ascii="仿宋_GB2312" w:hAnsi="宋体" w:eastAsia="仿宋_GB2312" w:cs="仿宋"/>
          <w:sz w:val="32"/>
          <w:szCs w:val="32"/>
        </w:rPr>
        <w:t>针对项目制定的财务、业务管理制度或文件是保障项目实施的基本条件。财务、业务管理制度能够指引财务、业务工作的方向，按照制度执行，使整个工作的各个方面、环节比较规范，项目实施过程中减少纰漏发生。</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（四）建议项目实施单位规范档案管理工作</w:t>
      </w:r>
    </w:p>
    <w:p>
      <w:pPr>
        <w:snapToGrid/>
        <w:spacing w:after="0" w:line="560" w:lineRule="exact"/>
        <w:ind w:firstLine="640" w:firstLineChars="200"/>
        <w:jc w:val="both"/>
        <w:outlineLvl w:val="0"/>
        <w:rPr>
          <w:rFonts w:ascii="仿宋_GB2312" w:hAnsi="宋体" w:eastAsia="仿宋_GB2312" w:cs="仿宋"/>
          <w:sz w:val="32"/>
          <w:szCs w:val="32"/>
        </w:rPr>
      </w:pPr>
      <w:r>
        <w:rPr>
          <w:rFonts w:hint="eastAsia" w:ascii="仿宋_GB2312" w:hAnsi="宋体" w:eastAsia="仿宋_GB2312" w:cs="仿宋"/>
          <w:sz w:val="32"/>
          <w:szCs w:val="32"/>
        </w:rPr>
        <w:t>项目档案是项目的重要组成部分。项目实施单位留存的项目档案缺少部分原始资料，造成项目档案不够齐全，建议实施单位从平台中导出消费者申报的资料留存，这是我们发放补贴的依据，是重要的档案资料。</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（五）建议项目实施单位重视与配合单位销售目标协议的签订，并对其进行必要的考核</w:t>
      </w:r>
    </w:p>
    <w:p>
      <w:pPr>
        <w:widowControl w:val="0"/>
        <w:overflowPunct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cs="Times New Roman"/>
          <w:sz w:val="32"/>
          <w:szCs w:val="32"/>
        </w:rPr>
        <w:t>项目实施方案中明确采用“政府补贴+商家促销”形式，汽车销售商家配合政府组织开展促销活动。既然商家配合政府组织开展促销活动，就会影响活动效果，签订销售目标协议明确双方责任义务，便于按协议约束对方。项目结束后，要按照协议对商家进行必要的考核。</w:t>
      </w:r>
    </w:p>
    <w:p>
      <w:pPr>
        <w:widowControl w:val="0"/>
        <w:overflowPunct w:val="0"/>
        <w:snapToGrid/>
        <w:spacing w:after="0" w:line="560" w:lineRule="exact"/>
        <w:jc w:val="both"/>
        <w:rPr>
          <w:rFonts w:ascii="仿宋_GB2312" w:hAnsi="宋体" w:eastAsia="仿宋_GB2312"/>
          <w:sz w:val="32"/>
          <w:szCs w:val="32"/>
        </w:rPr>
      </w:pPr>
    </w:p>
    <w:p>
      <w:pPr>
        <w:widowControl w:val="0"/>
        <w:overflowPunct w:val="0"/>
        <w:snapToGrid/>
        <w:spacing w:after="0" w:line="560" w:lineRule="exact"/>
        <w:jc w:val="both"/>
        <w:rPr>
          <w:rFonts w:ascii="仿宋_GB2312" w:hAnsi="宋体" w:eastAsia="仿宋_GB2312"/>
          <w:sz w:val="32"/>
          <w:szCs w:val="32"/>
        </w:rPr>
      </w:pPr>
    </w:p>
    <w:p>
      <w:pPr>
        <w:widowControl w:val="0"/>
        <w:overflowPunct w:val="0"/>
        <w:snapToGrid/>
        <w:spacing w:after="0" w:line="560" w:lineRule="exact"/>
        <w:jc w:val="both"/>
        <w:rPr>
          <w:rFonts w:ascii="仿宋_GB2312" w:hAnsi="宋体" w:eastAsia="仿宋_GB2312"/>
          <w:sz w:val="32"/>
          <w:szCs w:val="32"/>
        </w:rPr>
      </w:pPr>
    </w:p>
    <w:p>
      <w:pPr>
        <w:pStyle w:val="28"/>
        <w:adjustRightInd w:val="0"/>
        <w:snapToGrid/>
        <w:spacing w:line="560" w:lineRule="exact"/>
        <w:ind w:firstLine="0" w:firstLineChars="0"/>
        <w:jc w:val="both"/>
        <w:rPr>
          <w:rFonts w:ascii="仿宋_GB2312" w:hAnsi="宋体" w:eastAsia="仿宋_GB2312"/>
          <w:b w:val="0"/>
          <w:bCs/>
          <w:sz w:val="32"/>
          <w:szCs w:val="32"/>
        </w:rPr>
      </w:pPr>
    </w:p>
    <w:p>
      <w:pPr>
        <w:pStyle w:val="28"/>
        <w:adjustRightInd w:val="0"/>
        <w:snapToGrid/>
        <w:spacing w:line="560" w:lineRule="exact"/>
        <w:ind w:firstLine="0" w:firstLineChars="0"/>
        <w:jc w:val="both"/>
        <w:rPr>
          <w:rFonts w:ascii="仿宋_GB2312" w:hAnsi="宋体" w:eastAsia="仿宋_GB2312"/>
          <w:b w:val="0"/>
          <w:bCs/>
          <w:sz w:val="32"/>
          <w:szCs w:val="32"/>
        </w:rPr>
      </w:pPr>
    </w:p>
    <w:p>
      <w:pPr>
        <w:pStyle w:val="28"/>
        <w:adjustRightInd w:val="0"/>
        <w:snapToGrid/>
        <w:spacing w:line="560" w:lineRule="exact"/>
        <w:ind w:firstLine="0" w:firstLineChars="0"/>
        <w:jc w:val="both"/>
        <w:rPr>
          <w:rFonts w:ascii="仿宋_GB2312" w:hAnsi="宋体" w:eastAsia="仿宋_GB2312"/>
          <w:b w:val="0"/>
          <w:bCs/>
          <w:sz w:val="32"/>
          <w:szCs w:val="32"/>
        </w:rPr>
      </w:pPr>
    </w:p>
    <w:p>
      <w:pPr>
        <w:pStyle w:val="28"/>
        <w:adjustRightInd w:val="0"/>
        <w:snapToGrid/>
        <w:spacing w:line="560" w:lineRule="exact"/>
        <w:ind w:firstLine="0" w:firstLineChars="0"/>
        <w:jc w:val="both"/>
        <w:rPr>
          <w:rFonts w:hint="eastAsia" w:ascii="仿宋_GB2312" w:hAnsi="宋体" w:eastAsia="仿宋_GB2312"/>
          <w:b w:val="0"/>
          <w:bCs/>
          <w:sz w:val="32"/>
          <w:szCs w:val="32"/>
        </w:rPr>
      </w:pPr>
    </w:p>
    <w:p>
      <w:pPr>
        <w:pStyle w:val="28"/>
        <w:adjustRightInd w:val="0"/>
        <w:snapToGrid/>
        <w:spacing w:line="560" w:lineRule="exact"/>
        <w:ind w:firstLine="0" w:firstLineChars="0"/>
        <w:jc w:val="both"/>
        <w:rPr>
          <w:rFonts w:hint="eastAsia" w:ascii="仿宋_GB2312" w:hAnsi="宋体" w:eastAsia="仿宋_GB2312"/>
          <w:b w:val="0"/>
          <w:bCs/>
          <w:sz w:val="32"/>
          <w:szCs w:val="32"/>
        </w:rPr>
      </w:pPr>
    </w:p>
    <w:p>
      <w:pPr>
        <w:pStyle w:val="28"/>
        <w:adjustRightInd w:val="0"/>
        <w:snapToGrid/>
        <w:spacing w:line="560" w:lineRule="exact"/>
        <w:ind w:firstLine="0" w:firstLineChars="0"/>
        <w:jc w:val="both"/>
        <w:rPr>
          <w:rFonts w:hint="eastAsia" w:ascii="仿宋_GB2312" w:hAnsi="宋体" w:eastAsia="仿宋_GB2312"/>
          <w:b w:val="0"/>
          <w:bCs/>
          <w:sz w:val="32"/>
          <w:szCs w:val="32"/>
        </w:rPr>
      </w:pPr>
    </w:p>
    <w:p>
      <w:pPr>
        <w:pStyle w:val="28"/>
        <w:adjustRightInd w:val="0"/>
        <w:snapToGrid/>
        <w:spacing w:line="560" w:lineRule="exact"/>
        <w:ind w:firstLine="0" w:firstLineChars="0"/>
        <w:jc w:val="both"/>
        <w:rPr>
          <w:rFonts w:hint="eastAsia" w:ascii="仿宋_GB2312" w:hAnsi="宋体" w:eastAsia="仿宋_GB2312"/>
          <w:b w:val="0"/>
          <w:bCs/>
          <w:sz w:val="32"/>
          <w:szCs w:val="32"/>
        </w:rPr>
      </w:pPr>
    </w:p>
    <w:p>
      <w:pPr>
        <w:pStyle w:val="28"/>
        <w:adjustRightInd w:val="0"/>
        <w:snapToGrid/>
        <w:spacing w:line="560" w:lineRule="exact"/>
        <w:ind w:firstLine="0" w:firstLineChars="0"/>
        <w:jc w:val="both"/>
        <w:rPr>
          <w:rFonts w:hint="eastAsia" w:ascii="仿宋_GB2312" w:hAnsi="宋体" w:eastAsia="仿宋_GB2312"/>
          <w:b w:val="0"/>
          <w:bCs/>
          <w:sz w:val="32"/>
          <w:szCs w:val="32"/>
        </w:rPr>
      </w:pPr>
    </w:p>
    <w:p>
      <w:pPr>
        <w:pStyle w:val="28"/>
        <w:adjustRightInd w:val="0"/>
        <w:snapToGrid/>
        <w:spacing w:line="560" w:lineRule="exact"/>
        <w:ind w:firstLine="0" w:firstLineChars="0"/>
        <w:jc w:val="both"/>
        <w:rPr>
          <w:rFonts w:hint="eastAsia" w:ascii="仿宋_GB2312" w:hAnsi="宋体" w:eastAsia="仿宋_GB2312"/>
          <w:b w:val="0"/>
          <w:bCs/>
          <w:sz w:val="32"/>
          <w:szCs w:val="32"/>
        </w:rPr>
      </w:pPr>
    </w:p>
    <w:p>
      <w:pPr>
        <w:pStyle w:val="28"/>
        <w:adjustRightInd w:val="0"/>
        <w:snapToGrid/>
        <w:spacing w:line="560" w:lineRule="exact"/>
        <w:ind w:firstLine="0" w:firstLineChars="0"/>
        <w:jc w:val="both"/>
        <w:rPr>
          <w:rFonts w:hint="eastAsia" w:ascii="仿宋_GB2312" w:hAnsi="宋体" w:eastAsia="仿宋_GB2312"/>
          <w:b w:val="0"/>
          <w:bCs/>
          <w:sz w:val="32"/>
          <w:szCs w:val="32"/>
        </w:rPr>
      </w:pPr>
    </w:p>
    <w:p>
      <w:pPr>
        <w:pStyle w:val="28"/>
        <w:adjustRightInd w:val="0"/>
        <w:snapToGrid/>
        <w:spacing w:line="560" w:lineRule="exact"/>
        <w:ind w:firstLine="0" w:firstLineChars="0"/>
        <w:jc w:val="both"/>
        <w:rPr>
          <w:rFonts w:hint="eastAsia" w:ascii="仿宋_GB2312" w:hAnsi="宋体" w:eastAsia="仿宋_GB2312"/>
          <w:b w:val="0"/>
          <w:bCs/>
          <w:sz w:val="32"/>
          <w:szCs w:val="32"/>
        </w:rPr>
      </w:pPr>
    </w:p>
    <w:p>
      <w:pPr>
        <w:pStyle w:val="28"/>
        <w:adjustRightInd w:val="0"/>
        <w:snapToGrid/>
        <w:spacing w:line="560" w:lineRule="exact"/>
        <w:ind w:firstLine="0" w:firstLineChars="0"/>
        <w:jc w:val="both"/>
        <w:rPr>
          <w:rFonts w:ascii="仿宋_GB2312" w:hAnsi="宋体" w:eastAsia="仿宋_GB2312"/>
          <w:b w:val="0"/>
          <w:bCs/>
          <w:sz w:val="32"/>
          <w:szCs w:val="32"/>
        </w:rPr>
      </w:pPr>
    </w:p>
    <w:p>
      <w:pPr>
        <w:pStyle w:val="28"/>
        <w:adjustRightInd w:val="0"/>
        <w:snapToGrid/>
        <w:spacing w:line="560" w:lineRule="exact"/>
        <w:ind w:firstLine="0" w:firstLineChars="0"/>
        <w:jc w:val="both"/>
        <w:rPr>
          <w:rFonts w:ascii="仿宋_GB2312" w:hAnsi="宋体" w:eastAsia="仿宋_GB2312"/>
          <w:b w:val="0"/>
          <w:bCs/>
          <w:sz w:val="32"/>
          <w:szCs w:val="32"/>
        </w:rPr>
      </w:pPr>
    </w:p>
    <w:p>
      <w:pPr>
        <w:pStyle w:val="28"/>
        <w:adjustRightInd w:val="0"/>
        <w:snapToGrid/>
        <w:spacing w:line="560" w:lineRule="exact"/>
        <w:ind w:firstLine="0" w:firstLineChars="0"/>
        <w:jc w:val="both"/>
        <w:rPr>
          <w:rFonts w:ascii="仿宋_GB2312" w:hAnsi="宋体" w:eastAsia="仿宋_GB2312"/>
          <w:b w:val="0"/>
          <w:bCs/>
          <w:sz w:val="32"/>
          <w:szCs w:val="32"/>
        </w:rPr>
      </w:pPr>
    </w:p>
    <w:p>
      <w:pPr>
        <w:pStyle w:val="28"/>
        <w:adjustRightInd w:val="0"/>
        <w:snapToGrid/>
        <w:spacing w:line="560" w:lineRule="exact"/>
        <w:ind w:firstLine="0" w:firstLineChars="0"/>
        <w:jc w:val="both"/>
        <w:rPr>
          <w:rFonts w:ascii="仿宋_GB2312" w:hAnsi="宋体" w:eastAsia="仿宋_GB2312"/>
          <w:b w:val="0"/>
          <w:bCs/>
          <w:sz w:val="32"/>
          <w:szCs w:val="32"/>
        </w:rPr>
      </w:pPr>
    </w:p>
    <w:p>
      <w:pPr>
        <w:pStyle w:val="28"/>
        <w:adjustRightInd w:val="0"/>
        <w:snapToGrid/>
        <w:spacing w:line="560" w:lineRule="exact"/>
        <w:ind w:firstLine="0" w:firstLineChars="0"/>
        <w:rPr>
          <w:rFonts w:ascii="方正小标宋简体" w:hAnsi="宋体" w:eastAsia="方正小标宋简体"/>
          <w:b w:val="0"/>
          <w:bCs/>
          <w:szCs w:val="44"/>
        </w:rPr>
      </w:pPr>
      <w:r>
        <w:rPr>
          <w:rFonts w:hint="eastAsia" w:ascii="方正小标宋简体" w:hAnsi="宋体" w:eastAsia="方正小标宋简体"/>
          <w:b w:val="0"/>
          <w:bCs/>
          <w:szCs w:val="44"/>
        </w:rPr>
        <w:t>临淄区污水处理项目绩效评价报告</w:t>
      </w:r>
    </w:p>
    <w:p>
      <w:pPr>
        <w:snapToGrid/>
        <w:spacing w:after="0" w:line="560" w:lineRule="exact"/>
        <w:ind w:firstLine="540"/>
        <w:jc w:val="both"/>
        <w:rPr>
          <w:rFonts w:ascii="仿宋_GB2312" w:hAnsi="宋体" w:eastAsia="仿宋_GB2312"/>
          <w:sz w:val="32"/>
          <w:szCs w:val="32"/>
        </w:rPr>
      </w:pPr>
    </w:p>
    <w:p>
      <w:pPr>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为进一步规范和加强项目预算资金管理，提高项目预算资金使用效益和管理水平，强化财政支出绩效管理，科学、公正地评价预算资金使用绩效，根据《项目支出绩效评价管理办法》（财预〔2020〕10号）、《淄博市市级部门委托第三方机构参与预算绩效管理工作暂行办法》（淄财绩〔2022〕3号）、《关于印发〈2023年度预算绩效财政评价及成本效益分析实施方案〉的通知》（临财绩〔2023〕3号）等文件，临淄区财政局委托山东皓诚投资咨询有限公司对临淄区综合行政执法局2022年污水处理费进行绩效评价。</w:t>
      </w:r>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一、项目基本情况</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（一）项目立项背景及实施目的</w:t>
      </w:r>
    </w:p>
    <w:p>
      <w:pPr>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近年来，随着经济发展及城镇化进程地不断加快，城市人口的不断增加，工业废水、生活污水及其他废水的排放量持续走高，导致水体污染，影响水资源利用，城市对污水处理的要求也逐渐提高。在水资源短缺及水资源供需矛盾突出的情况下，城镇、工业、农业等重点领域水资源节约利用水平偏低，与提升环境治理水平，提高生态文明建设高质量要求还存在一定差距。2021年，国家发改委等10部门发布《关于推进污水资源化利用的指导意见》（发改环资〔2021〕13号），提出在城镇、工业和农业农村等领域系统开展污水资源化利用，推动我国污水资源化利用实现高质量发展。2022年9月，省住房城乡建设厅、省发改委联合印发《“十四五”山东省城镇污水处理及资源化利用发展规划》，提出要实施提标改造，提升城市污水处理能力，加强再生利用设施建设，推进污水资源化利用。</w:t>
      </w:r>
    </w:p>
    <w:p>
      <w:pPr>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为加强污水处理的成效，临淄区政府授权授淄博美陵环境科技有限公司特许经营，由其所属淄河污水处理厂、齐都污水处理厂、齐城污水处理厂负责运营。区综合行政执法局按季度拨付污水处理费，保障污水处理厂正常运行。</w:t>
      </w:r>
    </w:p>
    <w:p>
      <w:pPr>
        <w:pStyle w:val="24"/>
        <w:snapToGrid/>
        <w:spacing w:line="560" w:lineRule="exact"/>
        <w:ind w:firstLine="640"/>
        <w:outlineLvl w:val="9"/>
        <w:rPr>
          <w:rFonts w:ascii="仿宋_GB2312" w:hAnsi="宋体" w:eastAsia="仿宋_GB2312"/>
          <w:b w:val="0"/>
          <w:bCs/>
          <w:sz w:val="32"/>
          <w:szCs w:val="32"/>
        </w:rPr>
      </w:pPr>
      <w:r>
        <w:rPr>
          <w:rFonts w:hint="eastAsia" w:ascii="楷体_GB2312" w:eastAsia="楷体_GB2312"/>
          <w:b w:val="0"/>
          <w:sz w:val="32"/>
          <w:szCs w:val="32"/>
        </w:rPr>
        <w:t>（二）项目预算安排和支出情况</w:t>
      </w:r>
    </w:p>
    <w:p>
      <w:pPr>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该项目预算资金来源为区级政府性基金预算。区财政局批复该项目预算资金3472.8万元，实际拨付3472.8万元；项目实际支出资金3472.8万元。</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（三）项目主要内容和实施情况</w:t>
      </w:r>
    </w:p>
    <w:p>
      <w:pPr>
        <w:snapToGrid/>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该项目采用特许经营模式。2003年6月，区政府授予</w:t>
      </w:r>
      <w:r>
        <w:rPr>
          <w:rFonts w:hint="eastAsia" w:ascii="仿宋_GB2312" w:hAnsi="宋体" w:eastAsia="仿宋_GB2312"/>
          <w:sz w:val="32"/>
          <w:szCs w:val="32"/>
        </w:rPr>
        <w:t>美陵环境科技（淄博）有限公司</w:t>
      </w:r>
      <w:r>
        <w:rPr>
          <w:rFonts w:hint="eastAsia" w:ascii="仿宋_GB2312" w:eastAsia="仿宋_GB2312"/>
          <w:sz w:val="32"/>
          <w:szCs w:val="32"/>
        </w:rPr>
        <w:t>污水处理厂特许经营权，特许经营期限为30年，经营期内美陵环境享有污水处理厂的运营权及收益权，通过对污水处理获得政府付费。</w:t>
      </w:r>
      <w:r>
        <w:rPr>
          <w:rFonts w:hint="eastAsia" w:ascii="仿宋_GB2312" w:hAnsi="宋体" w:eastAsia="仿宋_GB2312"/>
          <w:sz w:val="32"/>
          <w:szCs w:val="32"/>
        </w:rPr>
        <w:t>美陵环境所属齐都污水处理厂、齐城污水处理厂、淄河污水处理厂承担</w:t>
      </w:r>
      <w:r>
        <w:rPr>
          <w:rFonts w:hint="eastAsia" w:ascii="仿宋_GB2312" w:eastAsia="仿宋_GB2312"/>
          <w:sz w:val="32"/>
          <w:szCs w:val="32"/>
        </w:rPr>
        <w:t>齐鲁化工园区、临淄经济开发区、临淄城区的工业废水及生活污水处理。</w:t>
      </w:r>
    </w:p>
    <w:p>
      <w:pPr>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根据市生态环境局临淄分局对污水处理的质量检测报告，区综合行政执法局每季度对污水处理量进行统计、核定并形成考核意见，报送区财政局审核，区财政局结合业务部门考核意见及实际财政状况，按月向项目公司拨付污水处理费。</w:t>
      </w:r>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二、项目绩效目标</w:t>
      </w:r>
    </w:p>
    <w:p>
      <w:pPr>
        <w:snapToGrid/>
        <w:spacing w:after="0" w:line="560" w:lineRule="exact"/>
        <w:ind w:firstLine="640" w:firstLineChars="200"/>
        <w:jc w:val="both"/>
        <w:rPr>
          <w:rFonts w:ascii="仿宋_GB2312" w:hAnsi="宋体" w:eastAsia="仿宋_GB2312"/>
          <w:sz w:val="32"/>
          <w:szCs w:val="32"/>
        </w:rPr>
      </w:pPr>
      <w:r>
        <w:rPr>
          <w:rFonts w:hint="eastAsia" w:ascii="楷体_GB2312" w:eastAsia="楷体_GB2312" w:hAnsiTheme="minorHAnsi"/>
          <w:kern w:val="2"/>
          <w:sz w:val="32"/>
          <w:szCs w:val="32"/>
        </w:rPr>
        <w:t>（一）项目总体目标。</w:t>
      </w:r>
      <w:r>
        <w:rPr>
          <w:rFonts w:hint="eastAsia" w:ascii="仿宋_GB2312" w:hAnsi="宋体" w:eastAsia="仿宋_GB2312"/>
          <w:sz w:val="32"/>
          <w:szCs w:val="32"/>
        </w:rPr>
        <w:t>确保污水处理厂的正常运营，工业污水和生活污水全部得到处理，实现污水处理厂出水稳定达标排放。</w:t>
      </w:r>
    </w:p>
    <w:p>
      <w:pPr>
        <w:snapToGrid/>
        <w:spacing w:after="0" w:line="560" w:lineRule="exact"/>
        <w:ind w:firstLine="640" w:firstLineChars="200"/>
        <w:jc w:val="both"/>
        <w:rPr>
          <w:rFonts w:ascii="仿宋_GB2312" w:eastAsia="仿宋_GB2312"/>
          <w:sz w:val="32"/>
          <w:szCs w:val="32"/>
        </w:rPr>
      </w:pPr>
      <w:r>
        <w:rPr>
          <w:rFonts w:hint="eastAsia" w:ascii="楷体_GB2312" w:eastAsia="楷体_GB2312" w:hAnsiTheme="minorHAnsi"/>
          <w:kern w:val="2"/>
          <w:sz w:val="32"/>
          <w:szCs w:val="32"/>
        </w:rPr>
        <w:t>（二）项目阶段性目标。</w:t>
      </w:r>
      <w:r>
        <w:rPr>
          <w:rFonts w:hint="eastAsia" w:ascii="仿宋_GB2312" w:eastAsia="仿宋_GB2312"/>
          <w:sz w:val="32"/>
          <w:szCs w:val="32"/>
        </w:rPr>
        <w:t>对已建成污水处理厂实施专业运营，对出现的设备损坏、处理工艺等问题落实专业保障措施，避免出现设施不正常运行和出水水质不达标等问题。</w:t>
      </w:r>
    </w:p>
    <w:p>
      <w:pPr>
        <w:snapToGrid/>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三、评价基本情况</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（一）绩效评价目的、对象和范围</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1.评价目的。通过开展绩效评价，总结项目实施过程中的经验，发现项目实施过程中存在的问题，提出有针对性的意见建议，为政策完善、预算编制、项目管理提供依据，提高项目资金管理水平和财政资金使用效益。</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2.评价对象及范围。本项目绩效评价对象为临淄区污水处理费项目，评价范围包括项目决策、过程、产出及效益等方面。</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（二）绩效评价原则、评价指标体系、评价方法及评价标准</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1.绩效评价原则。本项目绩效评价遵守科学规范、政策相符、绩效相关、依据充分、公正公开、独立评价六原则，保持绩效评价的客观性、独立性、公正性。</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评价指标体系。本项目绩效评价指标的设置遵循定性、定量相结合的原则，参照行业、专业标准及采集的相关数据资料制定评价标准，对评价目标进行逐步分解，设置实用性、可操作性和可实现性较强的绩效指标，根据相关规定并结合项目特点赋予指标权重与指标分值。包括项目决策、项目过程、项目产出、项目效益等部分，总分为100分，各部分分值分配为：项目决策13分，项目过程24分，项目产出30分，项目效益33分。</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核心指标设置方面，将产出情况中的“设施水质净化达标情况”以及产出效益中的“健全建设和运行维护体系”2项指标作为核心指标进行重点考核。否决性指标方面，设置1项否决性指标，重点关注项目实施过程中的资金使用规范性、提交资料真实合规性等情况，如出现相关情况，则本项目绩效评价等级直接为“差”。指标体系中，核心指标及否决性指标均加注“★”以区别与其它指标。</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3.评价方法。通过研究分析本项目的实施情况，采用比较法、案卷研究法、专家评判法、实地测评法、问卷调查法、成本效益分析法、最低成本法相结合的方式进行评价。</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4.评价标准。评价过程中所依据的标准包括计划标准、行业标准、历史标准以及财政部门和主管部门确认或认可的其他标准规范。</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（三）绩效评价工作过程</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1.项目工作机制</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（1）评价工作组。成立项目评价工作组，由公司高管、骨干业务人员、特聘专家组成，负责项目评价全过程工作。</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（2）质量控制组。根据项目实际情况设置质控组，负责评价程序的规范性监管、采用数据资料的合规性审查、结论意见的定性依据审查等方面工作。</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（3）专业审核委员会。公司常设专业审核委员会，专门负责对外提供咨询服务成果的专业审核，公司所有业务成果均须经专业审核委员会审核通过后方可对外提供、报送。</w:t>
      </w:r>
    </w:p>
    <w:p>
      <w:pPr>
        <w:autoSpaceDN w:val="0"/>
        <w:snapToGrid/>
        <w:spacing w:after="0" w:line="560" w:lineRule="exact"/>
        <w:ind w:firstLine="640" w:firstLineChars="200"/>
        <w:jc w:val="both"/>
        <w:rPr>
          <w:rFonts w:ascii="仿宋_GB2312" w:hAnsi="宋体" w:eastAsia="仿宋_GB2312"/>
          <w:sz w:val="32"/>
          <w:szCs w:val="32"/>
        </w:rPr>
      </w:pPr>
      <w:bookmarkStart w:id="27" w:name="_Toc110615132"/>
      <w:r>
        <w:rPr>
          <w:rFonts w:hint="eastAsia" w:ascii="仿宋_GB2312" w:hAnsi="宋体" w:eastAsia="仿宋_GB2312"/>
          <w:sz w:val="32"/>
          <w:szCs w:val="32"/>
        </w:rPr>
        <w:t>2.工作程序</w:t>
      </w:r>
      <w:bookmarkEnd w:id="27"/>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山东皓诚投资咨询有限公司实行绩效评价“专家评议制”“审委会审核制”“最后一票反对制”工作机制，并贯穿评价准备、评价实施、评价总结的各个阶段，以确保公司知识成果的客观公正与业务质量。</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（1）前期准备阶段</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1）成立绩效评价工作组。评价工作组由主评人（工作组组长）、各相关领域有绩效评价经验的财务、工程、管理等行业的业务人员构成。同时根据项目专业特点，聘用相关行业专家参与评价工作。</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2）拟定评价实施方案。评价工作组针对评价目标，在调研、了解评价项目基本情况的基础上，拟定评价实施方案。经专家评议、审委会论证审核后修正、完善，报经委托方审查批准后组织实施。</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3）制定绩效评价指标体系。评价工作组基于各级最新的一系列政策、法规、制度，参照本地经济社会发展以及财政供给水平，结合行业领域专业特征，分析地域、部门间差异化因素，科学、合理地设置本项目绩效评价指标体系。通过体系初构、测算验证、专家评议、审委会审核，报委托方批准后使用。</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（2）现场评价阶段</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1）收集资料。评价工作组对被评价单位提供相关基础资料进行整理、核实、审验，确定可采纳资料目录。</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2）实地测评。一是勘察项目实施情况，对项目成果进行实测、查勘、取证；二是勘察项目管理情况，落实项目管理过程；三是查阅过程资料，筛选出可采纳数据资料。</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3）沟通落实。与被评价单位进行沟通交流，对不确定勘验结果进行澄清，对不完整数据资料进行确认。</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（3）非现场评价阶段</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评价工作组组织开展非现场评工作，对前期部门、单位报送的项目资料及现场评价过程中收集的项目资料进行分类整理、统计汇总，分工组织案卷研究、分析，形成分析意见。</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（4）综合评价分析</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在现场评价、非现场评价所获得结果的基础上，按照评价指标体系，对项目决策、过程、产出及效益进行全面分析，形成综合分析结论。综合分析包括宏观与微观分析、全局与重点分析、总量与结构分析、定性与定量分析、纵向与横向分析。如项目涉及多个下级行政区划或本级部门，则评价工作组根据实际情况，区分各个主体进行评价分析，形成分区县（镇办）、分部门的评价分析结论。</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（5）评价报告撰写与报送</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1）评价报告初稿。按照规范要求撰写评价报告并形成初稿。</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2）评价报告报送稿。包括将初稿送被评价单位征询意见、专家评议、审委会审核，根据各方意见进行修改，报送委托方审核。</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3）评价报告正式稿。根据委托方意见作最终修改，形成报告正式稿；向委托方报送书面及电子形式的正式报告，同时提交报告所附档案资料。</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（6）档案归集</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审核项目档案，对各类档案分类、入档、保管。档案管理执行保密制度。</w:t>
      </w:r>
    </w:p>
    <w:p>
      <w:pPr>
        <w:snapToGrid/>
        <w:spacing w:after="0" w:line="560" w:lineRule="exact"/>
        <w:ind w:firstLine="600"/>
        <w:jc w:val="both"/>
        <w:rPr>
          <w:rFonts w:ascii="黑体" w:hAnsi="黑体" w:eastAsia="黑体" w:cs="黑体"/>
          <w:sz w:val="32"/>
          <w:szCs w:val="32"/>
        </w:rPr>
      </w:pPr>
      <w:r>
        <w:rPr>
          <w:rFonts w:hint="eastAsia" w:ascii="黑体" w:hAnsi="黑体" w:eastAsia="黑体" w:cs="黑体"/>
          <w:sz w:val="32"/>
          <w:szCs w:val="32"/>
        </w:rPr>
        <w:t>四、评价结论和绩效分析</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（一）综合评价结论</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通过对该项目的决策、过程、产出及效益等方面进行综合绩效评价，决策部分满分13分，得10分；过程部分满分24分，得19.5分；产出部分满分30分，得28.16分；效益部分满分33分，得30分。根据评价分值，确定临淄区污水处理费项目绩效评价得分为87.66分，等级为“良”。</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（二）绩效分析</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项目决策方面。项目立项依据充分，符合各级政府关于生态环境发展的宏观政策要求及发展规划；项目立项程序总体规范；项目绩效指标设置不明确；项目预算确定资金量与工作任务匹配度一般。</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项目过程方面。在组织管理上，项目管理执行机构健全、人员分工明确，项目实施组织架构和职责分工明确，组织机构建设规范，但未建立相关考核体系和监督管理制度。在运行管理上，设施安全运行，规范生产及检测工作，运营单位规范记录台账，污水处理厂内部及周边环境卫生情况良好。在资金管理上，该项目预算执行达到100%，资金使用合规。</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项目产出方面。各污水处理厂均正常运转，2022年污水处理量未达到计划数量。在产出质量上，各污水处理厂处理的污水均达到标准要求后排放，厂区内生产设施正常运营，运营公司对生产操作安全方面严格要求，保障措施到位。在产出时效上，污水得到及时处理。在产出成本上，该项目成本控制有效。</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项目效益方面。该项目的实施，一是改善居民居住环境，为城区的美化、优化提供服务；二是实现了污水处理设施专业化、规模化建设和运营，保障了污水处理设施的正常稳定运行。三是明显改善流域水环境质量，有效缓解了生活、生产污水带来的环境污染和各种社会环境问题。但污水处理方式较为单一，污水资源化利用需进一步提高。</w:t>
      </w:r>
    </w:p>
    <w:p>
      <w:pPr>
        <w:snapToGrid/>
        <w:spacing w:after="0" w:line="560" w:lineRule="exact"/>
        <w:ind w:firstLine="600"/>
        <w:jc w:val="both"/>
        <w:rPr>
          <w:rFonts w:ascii="黑体" w:hAnsi="黑体" w:eastAsia="黑体" w:cs="黑体"/>
          <w:sz w:val="32"/>
          <w:szCs w:val="32"/>
        </w:rPr>
      </w:pPr>
      <w:r>
        <w:rPr>
          <w:rFonts w:hint="eastAsia" w:ascii="黑体" w:hAnsi="黑体" w:eastAsia="黑体" w:cs="黑体"/>
          <w:sz w:val="32"/>
          <w:szCs w:val="32"/>
        </w:rPr>
        <w:t>五、存在问题及原因分析</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（一）污水处理运维考核体系建设不健全</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根据省生态环境厅、住建厅《关于加强工业企业和城市污水处理厂监管及总氮指标排放控制的通知》（鲁环发〔2019〕125号），各级城市排水主管部门应加强对城市污水处理厂的日常管理，适时开展业务指导，帮助其解决技术上的难点问题，并将脱氮除磷设施运行水平纳入对城市污水处理厂的考核内容。通过调查了解，项目主管部门对被授权主体的运营、产出等方面未建立相关的监管制度，污水处理运维考核体系建设不健全，对污水处理运维单位的监督检查工作有待完善。</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问题产生主要原因为：一是项目主管部门未落实相关政策要求；二是项目管理工作计划由区住建局移交至区综合行政执法局，现阶段工作中的管理监督职能未执行到位。</w:t>
      </w:r>
    </w:p>
    <w:p>
      <w:pPr>
        <w:pStyle w:val="24"/>
        <w:snapToGrid/>
        <w:spacing w:line="560" w:lineRule="exact"/>
        <w:ind w:firstLine="560"/>
        <w:outlineLvl w:val="9"/>
        <w:rPr>
          <w:rFonts w:ascii="楷体_GB2312" w:eastAsia="楷体_GB2312"/>
        </w:rPr>
      </w:pPr>
      <w:r>
        <w:rPr>
          <w:rFonts w:hint="eastAsia" w:ascii="楷体_GB2312" w:eastAsia="楷体_GB2312"/>
          <w:b w:val="0"/>
        </w:rPr>
        <w:t>（二）污水资源化利用不到位</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污水资源化利用是指污水经无害化处理达到特定水质标准，作为再生水替代常规水资源，用于工业生产、市政杂用、居民生活、生态补水、农业灌溉、回灌地下水等，以及从污水中提取其他资源和能源，对优化供水结构、增加水资源供给、缓解供需矛盾和减少水污染、保障水生态安全具有重要意义。目前临淄区污水处理厂产生的达标水体均两处污水处理厂主要用于太公湖与运粮河湿地用水，污水处理方式较为单一，污水处理利用率较低，污水资源化利用需进一步提高。</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问题产生主要原因为：项目主管部门对相关政策认识不足，对污水处理资源化利用的重视程度有待提高。</w:t>
      </w:r>
    </w:p>
    <w:p>
      <w:pPr>
        <w:pStyle w:val="24"/>
        <w:snapToGrid/>
        <w:spacing w:line="560" w:lineRule="exact"/>
        <w:ind w:firstLine="560"/>
        <w:outlineLvl w:val="9"/>
        <w:rPr>
          <w:rFonts w:ascii="楷体_GB2312" w:eastAsia="楷体_GB2312"/>
        </w:rPr>
      </w:pPr>
      <w:r>
        <w:rPr>
          <w:rFonts w:ascii="楷体_GB2312" w:eastAsia="楷体_GB2312"/>
          <w:b w:val="0"/>
        </w:rPr>
        <w:t>（</w:t>
      </w:r>
      <w:r>
        <w:rPr>
          <w:rFonts w:hint="eastAsia" w:ascii="楷体_GB2312" w:eastAsia="楷体_GB2312"/>
          <w:b w:val="0"/>
        </w:rPr>
        <w:t>三</w:t>
      </w:r>
      <w:r>
        <w:rPr>
          <w:rFonts w:ascii="楷体_GB2312" w:eastAsia="楷体_GB2312"/>
          <w:b w:val="0"/>
        </w:rPr>
        <w:t>）</w:t>
      </w:r>
      <w:r>
        <w:rPr>
          <w:rFonts w:hint="eastAsia" w:ascii="楷体_GB2312" w:eastAsia="楷体_GB2312"/>
          <w:b w:val="0"/>
        </w:rPr>
        <w:t>污水处理服务费测算不准确</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该项目资金测算未充分考虑实际确定污水处理服务费用标准。根据该项目的测算明细可知，区综合行政执法局考虑到齐都厂和齐城厂于2022年度进行提标改造，污水处理费标准将由提标改造前的1.15元/方提高至提标改造后的2.291元/方，在项目预算编制过程中按照全年2.291元/方进行测算。但通过调查了解，2022年度污水处理厂提标改造工程尚未完工，污水处理费用全年应按照1.15元/方的标准支付。污水处理服务费用标准未按照实际进行确定。</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问题产生主要原因为：区综合行政执法局确定测算标准的方式较简单，对项目的预期效益情况掌握不足。</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（四）绩效目标编制规范性不足</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经查阅项目绩效目标申报表，该项目依据年度绩效目标，从产出数量、时效、效益、满意度等方面进行指标设定，并进行细化分解，对目标的实现程度给予了较清晰、可衡量的体现。但存在指标值编制不规范的问题：一是该项目数量指标值设置为定值“=4848万方”不符合实际，污水处理量无无法精确到具体数值，应设置为区间值“≥4818万方”；二是质量指标仅设置为“污水处理达标率”，污水处理出水标准包含多个检测项目，指标设置未细化，应设置“BOD指标达标情况”、“COD指标达标情况”等指标；三是满意度指标设置为定值“=100%”不规范，目标值设为100%过高且不客观，而应根据具体实施情况设置为区间值，如≥95%。</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问题产生主要原因为：项目单位在编制绩效目标表时，未对项目绩效目标编制的规范要求做全面了解。</w:t>
      </w:r>
    </w:p>
    <w:p>
      <w:pPr>
        <w:snapToGrid/>
        <w:spacing w:after="0" w:line="560" w:lineRule="exact"/>
        <w:ind w:firstLine="600"/>
        <w:jc w:val="both"/>
        <w:rPr>
          <w:rFonts w:ascii="黑体" w:hAnsi="黑体" w:eastAsia="黑体" w:cs="黑体"/>
          <w:sz w:val="32"/>
          <w:szCs w:val="32"/>
        </w:rPr>
      </w:pPr>
      <w:r>
        <w:rPr>
          <w:rFonts w:hint="eastAsia" w:ascii="黑体" w:hAnsi="黑体" w:eastAsia="黑体" w:cs="黑体"/>
          <w:sz w:val="32"/>
          <w:szCs w:val="32"/>
        </w:rPr>
        <w:t>六、有关建议</w:t>
      </w:r>
    </w:p>
    <w:p>
      <w:pPr>
        <w:pStyle w:val="24"/>
        <w:snapToGrid/>
        <w:spacing w:line="560" w:lineRule="exact"/>
        <w:ind w:firstLine="640"/>
        <w:outlineLvl w:val="9"/>
        <w:rPr>
          <w:rFonts w:ascii="仿宋_GB2312" w:hAnsi="宋体" w:eastAsia="仿宋_GB2312"/>
          <w:sz w:val="32"/>
          <w:szCs w:val="32"/>
        </w:rPr>
      </w:pPr>
      <w:r>
        <w:rPr>
          <w:rFonts w:hint="eastAsia" w:ascii="楷体_GB2312" w:eastAsia="楷体_GB2312"/>
          <w:b w:val="0"/>
          <w:sz w:val="32"/>
          <w:szCs w:val="32"/>
        </w:rPr>
        <w:t>（一）项目管理改进方面</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完善污水处理运维考核体系。一是建议项目主管部门依据《城镇排水与污水处理条例》要求，落实监管职责，制定污水处理考核体系及相关管理制度，强化城镇污水处理达标排放监管和监督检查。二是城镇污水处理监管部门应采取定期检查、不定期抽查等形式对污水处理厂出水水质进行检测，对运营服务质量进行监督、考核、评估，并以此作为考核特许经营合同履行情况的依据。同时，完善对项目过程的完整记录，做好档案保管工作，使项目过程有据可查，保证项目管理的规范性。</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（二）加大再生水利用力度</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建议项目主管部门根据临淄区水资源禀赋、水环境承载力、发展需求和经济技术水平等因素分类组织开展污水资源化利用工作，实施差别化措施。科学确定目标任务，合理选择重点领域和利用途径，实行按需定供、按用定质、按质管控。将再生水利用纳入用水计划管理，在进行新建、改建、扩建项目水资源论证时，符合条件的加大使用再生水力度，城市市政杂用、景观环境、生态补水等优先使用再生水。</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（三）预算安排方面</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建议项目主管部门根据实际情况对污水处理费项目进行准确测算，针对污水处理厂提标、扩建等需要调整污水处理费事宜，加强与区住建局、项目运营方的对接，掌握污水处理厂的实际情况，提高项目资金测算的准确性。在编制下一年度预算时，根据实际情况，确定关键数据如下：一是污水处理服务费价格按照1.15元/方测算；二是两处正常运转的污水处理厂，齐都厂和齐城厂，处理水量测算齐都厂按照3.6万立方米/日、齐城厂7.1万立方米/日，保底水量为13.2万立方米/日；三是差额水量按照85%测算。</w:t>
      </w:r>
    </w:p>
    <w:p>
      <w:pPr>
        <w:pStyle w:val="24"/>
        <w:snapToGrid/>
        <w:spacing w:line="560" w:lineRule="exact"/>
        <w:ind w:firstLine="640"/>
        <w:outlineLvl w:val="9"/>
        <w:rPr>
          <w:rFonts w:ascii="楷体_GB2312" w:eastAsia="楷体_GB2312"/>
          <w:b w:val="0"/>
          <w:sz w:val="32"/>
          <w:szCs w:val="32"/>
        </w:rPr>
      </w:pPr>
      <w:r>
        <w:rPr>
          <w:rFonts w:hint="eastAsia" w:ascii="楷体_GB2312" w:eastAsia="楷体_GB2312"/>
          <w:b w:val="0"/>
          <w:sz w:val="32"/>
          <w:szCs w:val="32"/>
        </w:rPr>
        <w:t>（四）强化绩效目标、绩效指标设置的规范性</w:t>
      </w:r>
    </w:p>
    <w:p>
      <w:pPr>
        <w:autoSpaceDN w:val="0"/>
        <w:snapToGrid/>
        <w:spacing w:after="0" w:line="560" w:lineRule="exact"/>
        <w:ind w:firstLine="640" w:firstLineChars="200"/>
        <w:jc w:val="both"/>
        <w:rPr>
          <w:rFonts w:ascii="仿宋_GB2312" w:hAnsi="宋体" w:eastAsia="仿宋_GB2312"/>
          <w:sz w:val="32"/>
          <w:szCs w:val="32"/>
        </w:rPr>
      </w:pPr>
      <w:r>
        <w:rPr>
          <w:rFonts w:hint="eastAsia" w:ascii="仿宋_GB2312" w:hAnsi="宋体" w:eastAsia="仿宋_GB2312"/>
          <w:sz w:val="32"/>
          <w:szCs w:val="32"/>
        </w:rPr>
        <w:t>项目绩效目标的编制，是项目实施前对项目目标任务、预算资金、实施过程及产出效益的总体规划，是指导项目实施、保障项目产出及效益有效性的重要举措。绩效指标是对绩效目标的细化，是对该项目进行多维度的考察，是对绩效结果的全面深入分析。</w:t>
      </w:r>
    </w:p>
    <w:p>
      <w:pPr>
        <w:autoSpaceDN w:val="0"/>
        <w:snapToGrid/>
        <w:spacing w:after="0" w:line="560" w:lineRule="exact"/>
        <w:ind w:firstLine="640" w:firstLineChars="200"/>
        <w:jc w:val="both"/>
        <w:rPr>
          <w:rFonts w:ascii="仿宋_GB2312" w:hAnsi="宋体" w:eastAsia="仿宋_GB2312" w:cs="Times New Roman"/>
          <w:b/>
          <w:bCs/>
          <w:kern w:val="44"/>
          <w:sz w:val="32"/>
          <w:szCs w:val="32"/>
        </w:rPr>
      </w:pPr>
      <w:r>
        <w:rPr>
          <w:rFonts w:hint="eastAsia" w:ascii="仿宋_GB2312" w:hAnsi="宋体" w:eastAsia="仿宋_GB2312"/>
          <w:sz w:val="32"/>
          <w:szCs w:val="32"/>
        </w:rPr>
        <w:t xml:space="preserve">建议项目主管部门在编制项目绩效目标时，一是对项目的功能进行梳理，包括资金性质、预期投入、支出范围、实施内容、工作任务、受益对象等，明确该项目支出的功能特性；二是依据功能特性，预计项目实施在一定时期内所要达到的总体产出和效果，从而确定该项目所要实现的总体绩效目标，并以定量和定性指标相结合的方式进行表述；三是依据项目实际情况，对绩效目标进行细化分解，并通过定量分析与定性分析相结合的方式，从产出、效益等方面设定具体的绩效指标，对目标的实现程度给予较清晰、可衡量的指标体现；四是收集相关基准数据，如过去三年的平均值，以前某年度的数值、类似项目的先进水平、行业标准等，并依据项目预期实施进展，结合预计投资的资金规模，确定绩效指标及具体数值。 </w:t>
      </w:r>
    </w:p>
    <w:p>
      <w:pPr>
        <w:widowControl w:val="0"/>
        <w:overflowPunct w:val="0"/>
        <w:snapToGrid/>
        <w:spacing w:after="0" w:line="560" w:lineRule="exact"/>
        <w:ind w:firstLine="640" w:firstLineChars="200"/>
        <w:jc w:val="both"/>
        <w:rPr>
          <w:rFonts w:ascii="仿宋_GB2312" w:hAnsi="宋体" w:eastAsia="仿宋_GB2312" w:cs="Times New Roman"/>
          <w:kern w:val="2"/>
          <w:sz w:val="32"/>
          <w:szCs w:val="32"/>
        </w:rPr>
      </w:pPr>
      <w:r>
        <w:rPr>
          <w:rFonts w:hint="eastAsia" w:ascii="仿宋_GB2312" w:hAnsi="宋体" w:eastAsia="仿宋_GB2312" w:cs="Times New Roman"/>
          <w:kern w:val="2"/>
          <w:sz w:val="32"/>
          <w:szCs w:val="32"/>
        </w:rPr>
        <w:t xml:space="preserve"> </w:t>
      </w:r>
    </w:p>
    <w:p>
      <w:pPr>
        <w:widowControl w:val="0"/>
        <w:overflowPunct w:val="0"/>
        <w:snapToGrid/>
        <w:spacing w:after="0" w:line="560" w:lineRule="exact"/>
        <w:ind w:firstLine="640" w:firstLineChars="200"/>
        <w:jc w:val="both"/>
        <w:rPr>
          <w:rFonts w:ascii="仿宋_GB2312" w:hAnsi="Calibri" w:eastAsia="仿宋_GB2312" w:cs="Times New Roman"/>
          <w:kern w:val="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both"/>
        <w:rPr>
          <w:rFonts w:ascii="仿宋_GB2312" w:hAnsi="黑体" w:eastAsia="仿宋_GB2312"/>
          <w:sz w:val="32"/>
          <w:szCs w:val="32"/>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both"/>
        <w:rPr>
          <w:rFonts w:ascii="方正小标宋简体" w:hAnsi="黑体" w:eastAsia="方正小标宋简体"/>
          <w:sz w:val="44"/>
          <w:szCs w:val="44"/>
        </w:rPr>
      </w:pPr>
    </w:p>
    <w:p>
      <w:pPr>
        <w:snapToGrid/>
        <w:spacing w:after="0" w:line="560" w:lineRule="exact"/>
        <w:jc w:val="both"/>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第三部分 部分部门整体绩效管理资料</w:t>
      </w: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center"/>
        <w:rPr>
          <w:rFonts w:ascii="方正小标宋简体" w:hAnsi="黑体" w:eastAsia="方正小标宋简体"/>
          <w:sz w:val="44"/>
          <w:szCs w:val="44"/>
        </w:rPr>
      </w:pPr>
    </w:p>
    <w:p>
      <w:pPr>
        <w:snapToGrid/>
        <w:spacing w:after="0" w:line="560" w:lineRule="exact"/>
        <w:jc w:val="both"/>
        <w:rPr>
          <w:rFonts w:ascii="方正小标宋简体" w:hAnsi="黑体" w:eastAsia="方正小标宋简体"/>
          <w:sz w:val="44"/>
          <w:szCs w:val="44"/>
        </w:rPr>
      </w:pPr>
    </w:p>
    <w:p>
      <w:pPr>
        <w:snapToGrid/>
        <w:spacing w:after="0" w:line="560" w:lineRule="exact"/>
        <w:jc w:val="center"/>
        <w:rPr>
          <w:rFonts w:ascii="方正小标宋简体" w:eastAsia="方正小标宋简体"/>
          <w:sz w:val="44"/>
          <w:szCs w:val="44"/>
        </w:rPr>
      </w:pPr>
      <w:r>
        <w:rPr>
          <w:rFonts w:hint="eastAsia" w:ascii="方正小标宋简体" w:eastAsia="方正小标宋简体"/>
          <w:sz w:val="44"/>
          <w:szCs w:val="44"/>
        </w:rPr>
        <w:t>2022年度临淄区退役军人事务局</w:t>
      </w:r>
    </w:p>
    <w:p>
      <w:pPr>
        <w:snapToGrid/>
        <w:spacing w:after="0" w:line="560" w:lineRule="exact"/>
        <w:jc w:val="center"/>
        <w:rPr>
          <w:rFonts w:ascii="方正小标宋简体" w:eastAsia="方正小标宋简体"/>
          <w:sz w:val="44"/>
          <w:szCs w:val="44"/>
        </w:rPr>
      </w:pPr>
      <w:r>
        <w:rPr>
          <w:rFonts w:hint="eastAsia" w:ascii="方正小标宋简体" w:eastAsia="方正小标宋简体"/>
          <w:sz w:val="44"/>
          <w:szCs w:val="44"/>
        </w:rPr>
        <w:t>部门整体绩效评价报告</w:t>
      </w:r>
    </w:p>
    <w:p>
      <w:pPr>
        <w:snapToGrid/>
        <w:spacing w:after="0" w:line="560" w:lineRule="exact"/>
        <w:ind w:firstLine="640" w:firstLineChars="200"/>
        <w:jc w:val="both"/>
        <w:rPr>
          <w:rFonts w:eastAsia="黑体"/>
          <w:sz w:val="32"/>
          <w:szCs w:val="32"/>
        </w:rPr>
      </w:pPr>
    </w:p>
    <w:p>
      <w:pPr>
        <w:snapToGrid/>
        <w:spacing w:after="0" w:line="560" w:lineRule="exact"/>
        <w:ind w:firstLine="640" w:firstLineChars="200"/>
        <w:jc w:val="both"/>
        <w:rPr>
          <w:rFonts w:eastAsia="黑体" w:cs="Times New Roman"/>
          <w:sz w:val="32"/>
          <w:szCs w:val="32"/>
        </w:rPr>
      </w:pPr>
      <w:r>
        <w:rPr>
          <w:rFonts w:eastAsia="黑体" w:cs="Times New Roman"/>
          <w:sz w:val="32"/>
          <w:szCs w:val="32"/>
        </w:rPr>
        <w:t>一、部门概述</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根据《中共临淄区委、临淄区政府关于临淄区区级机构改革的实施意见》的要求，为维护军人军属合法权益，加强退役军人服务保障体系建设，让军人成为全社会尊崇的职业，将区民政局的退役军人优抚安置职责，区人力资源和社会保障局的军转干部安置职责，以及军休有关职责整合，组建区退役军人事务局，作为区政府组成部门。从单位构成看，临淄区退役军人事务局部门包括：临淄区退役军人事务局及下属事业单位临淄区退役军人服务中心、临淄区军队离退休干休服务中心、临淄区烈士陵园管理中心。临淄区退役军人事务局局机关2022年核定行政编制7名，机关实有人数9人。下属事业单位事业编制共计23人，实有22人，其中：临淄区退役军人服务中心11人、临淄区军队离退休干休服务中心5人、临淄区烈士陵园管理中心6人。核心职能为主要负责退役军人安置就业、优抚双拥、权益保障、困难帮扶、烈士褒扬、思想政治和体系建设工作等。</w:t>
      </w:r>
    </w:p>
    <w:p>
      <w:pPr>
        <w:snapToGrid/>
        <w:spacing w:after="0" w:line="560" w:lineRule="exact"/>
        <w:ind w:firstLine="640" w:firstLineChars="200"/>
        <w:jc w:val="both"/>
        <w:rPr>
          <w:rFonts w:eastAsia="黑体" w:cs="Times New Roman"/>
          <w:sz w:val="30"/>
          <w:szCs w:val="30"/>
        </w:rPr>
      </w:pPr>
      <w:r>
        <w:rPr>
          <w:rFonts w:eastAsia="黑体" w:cs="Times New Roman"/>
          <w:sz w:val="32"/>
          <w:szCs w:val="32"/>
        </w:rPr>
        <w:t>二、评价结论和</w:t>
      </w:r>
      <w:bookmarkStart w:id="28" w:name="_GoBack"/>
      <w:bookmarkEnd w:id="28"/>
      <w:r>
        <w:rPr>
          <w:rFonts w:eastAsia="黑体" w:cs="Times New Roman"/>
          <w:sz w:val="32"/>
          <w:szCs w:val="32"/>
        </w:rPr>
        <w:t>绩效分析</w:t>
      </w:r>
    </w:p>
    <w:p>
      <w:pPr>
        <w:snapToGrid/>
        <w:spacing w:after="0" w:line="560" w:lineRule="exact"/>
        <w:ind w:firstLine="640" w:firstLineChars="200"/>
        <w:jc w:val="both"/>
        <w:rPr>
          <w:rFonts w:ascii="仿宋_GB2312" w:eastAsia="仿宋_GB2312" w:cs="Times New Roman"/>
          <w:sz w:val="32"/>
          <w:szCs w:val="32"/>
        </w:rPr>
      </w:pPr>
      <w:r>
        <w:rPr>
          <w:rFonts w:ascii="仿宋_GB2312" w:eastAsia="仿宋_GB2312" w:cs="Times New Roman"/>
          <w:sz w:val="32"/>
          <w:szCs w:val="32"/>
        </w:rPr>
        <w:t>绩效评价组人员通过数据采集、实地调研和现场访谈等方式，对获得的数据与资料进行了深入分析，形成了</w:t>
      </w:r>
      <w:r>
        <w:rPr>
          <w:rFonts w:hint="eastAsia" w:ascii="仿宋_GB2312" w:eastAsia="仿宋_GB2312" w:cs="Times New Roman"/>
          <w:sz w:val="32"/>
          <w:szCs w:val="32"/>
        </w:rPr>
        <w:t>临淄</w:t>
      </w:r>
      <w:r>
        <w:rPr>
          <w:rFonts w:ascii="仿宋_GB2312" w:eastAsia="仿宋_GB2312" w:cs="Times New Roman"/>
          <w:sz w:val="32"/>
          <w:szCs w:val="32"/>
        </w:rPr>
        <w:t>区</w:t>
      </w:r>
      <w:r>
        <w:rPr>
          <w:rFonts w:hint="eastAsia" w:ascii="仿宋_GB2312" w:eastAsia="仿宋_GB2312" w:cs="Times New Roman"/>
          <w:sz w:val="32"/>
          <w:szCs w:val="32"/>
        </w:rPr>
        <w:t>退役军人事务局</w:t>
      </w:r>
      <w:r>
        <w:rPr>
          <w:rFonts w:ascii="仿宋_GB2312" w:eastAsia="仿宋_GB2312" w:cs="Times New Roman"/>
          <w:sz w:val="32"/>
          <w:szCs w:val="32"/>
        </w:rPr>
        <w:t>部门整体绩效评价报告，最终评分结果详见下表。部门整体绩效评价结果采取评分和评级相结合的方式，总分一般设置为100分，等级一般划分为四档：90（含）-100分为优、80（含）-90分为良、60（含）-80分为中、60分以下为差。</w:t>
      </w:r>
    </w:p>
    <w:p>
      <w:pPr>
        <w:snapToGrid/>
        <w:spacing w:after="0" w:line="560" w:lineRule="exact"/>
        <w:jc w:val="center"/>
        <w:rPr>
          <w:rFonts w:cs="Times New Roman"/>
          <w:bCs/>
          <w:sz w:val="24"/>
          <w:szCs w:val="24"/>
        </w:rPr>
      </w:pPr>
      <w:r>
        <w:rPr>
          <w:rFonts w:hint="eastAsia" w:cs="Times New Roman"/>
          <w:bCs/>
          <w:sz w:val="24"/>
          <w:szCs w:val="24"/>
        </w:rPr>
        <w:t>临淄</w:t>
      </w:r>
      <w:r>
        <w:rPr>
          <w:rFonts w:cs="Times New Roman"/>
          <w:bCs/>
          <w:sz w:val="24"/>
          <w:szCs w:val="24"/>
        </w:rPr>
        <w:t>区</w:t>
      </w:r>
      <w:r>
        <w:rPr>
          <w:rFonts w:hint="eastAsia" w:cs="Times New Roman"/>
          <w:bCs/>
          <w:sz w:val="24"/>
          <w:szCs w:val="24"/>
        </w:rPr>
        <w:t>退役军人事务局</w:t>
      </w:r>
      <w:r>
        <w:rPr>
          <w:rFonts w:cs="Times New Roman"/>
          <w:bCs/>
          <w:sz w:val="24"/>
          <w:szCs w:val="24"/>
        </w:rPr>
        <w:t>部门整体绩效评价得分情况表</w:t>
      </w:r>
    </w:p>
    <w:tbl>
      <w:tblPr>
        <w:tblStyle w:val="8"/>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1461"/>
        <w:gridCol w:w="141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3299" w:type="dxa"/>
            <w:shd w:val="clear" w:color="auto" w:fill="E7E6E6"/>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一级指标</w:t>
            </w:r>
          </w:p>
        </w:tc>
        <w:tc>
          <w:tcPr>
            <w:tcW w:w="1461" w:type="dxa"/>
            <w:shd w:val="clear" w:color="auto" w:fill="E7E6E6"/>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分值</w:t>
            </w:r>
          </w:p>
        </w:tc>
        <w:tc>
          <w:tcPr>
            <w:tcW w:w="1418" w:type="dxa"/>
            <w:shd w:val="clear" w:color="auto" w:fill="E7E6E6"/>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得分</w:t>
            </w:r>
          </w:p>
        </w:tc>
        <w:tc>
          <w:tcPr>
            <w:tcW w:w="2126" w:type="dxa"/>
            <w:shd w:val="clear" w:color="auto" w:fill="E7E6E6"/>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3299"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A</w:t>
            </w:r>
            <w:r>
              <w:rPr>
                <w:rFonts w:hint="eastAsia" w:ascii="仿宋_GB2312" w:eastAsia="仿宋_GB2312" w:cs="Times New Roman"/>
                <w:sz w:val="24"/>
                <w:szCs w:val="24"/>
              </w:rPr>
              <w:t>资源配置</w:t>
            </w:r>
          </w:p>
        </w:tc>
        <w:tc>
          <w:tcPr>
            <w:tcW w:w="1461"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23</w:t>
            </w:r>
          </w:p>
        </w:tc>
        <w:tc>
          <w:tcPr>
            <w:tcW w:w="1418"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22.65</w:t>
            </w:r>
          </w:p>
        </w:tc>
        <w:tc>
          <w:tcPr>
            <w:tcW w:w="2126"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98.48</w:t>
            </w:r>
            <w:r>
              <w:rPr>
                <w:rFonts w:ascii="仿宋_GB2312"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3299"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B</w:t>
            </w:r>
            <w:r>
              <w:rPr>
                <w:rFonts w:hint="eastAsia" w:ascii="仿宋_GB2312" w:eastAsia="仿宋_GB2312" w:cs="Times New Roman"/>
                <w:sz w:val="24"/>
                <w:szCs w:val="24"/>
              </w:rPr>
              <w:t>部门管理</w:t>
            </w:r>
          </w:p>
        </w:tc>
        <w:tc>
          <w:tcPr>
            <w:tcW w:w="1461"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15</w:t>
            </w:r>
          </w:p>
        </w:tc>
        <w:tc>
          <w:tcPr>
            <w:tcW w:w="1418"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8.4</w:t>
            </w:r>
            <w:r>
              <w:rPr>
                <w:rFonts w:hint="eastAsia" w:ascii="仿宋_GB2312" w:eastAsia="仿宋_GB2312"/>
                <w:sz w:val="24"/>
                <w:szCs w:val="24"/>
              </w:rPr>
              <w:t>0</w:t>
            </w:r>
          </w:p>
        </w:tc>
        <w:tc>
          <w:tcPr>
            <w:tcW w:w="2126"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56</w:t>
            </w:r>
            <w:r>
              <w:rPr>
                <w:rFonts w:hint="eastAsia" w:ascii="仿宋_GB2312" w:eastAsia="仿宋_GB2312"/>
                <w:sz w:val="24"/>
                <w:szCs w:val="24"/>
              </w:rPr>
              <w:t>.00</w:t>
            </w:r>
            <w:r>
              <w:rPr>
                <w:rFonts w:ascii="仿宋_GB2312"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99"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C运行成本控制</w:t>
            </w:r>
          </w:p>
        </w:tc>
        <w:tc>
          <w:tcPr>
            <w:tcW w:w="1461"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1</w:t>
            </w:r>
            <w:r>
              <w:rPr>
                <w:rFonts w:hint="eastAsia" w:ascii="仿宋_GB2312" w:eastAsia="仿宋_GB2312" w:cs="Times New Roman"/>
                <w:sz w:val="24"/>
                <w:szCs w:val="24"/>
              </w:rPr>
              <w:t>0</w:t>
            </w:r>
          </w:p>
        </w:tc>
        <w:tc>
          <w:tcPr>
            <w:tcW w:w="1418"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6</w:t>
            </w:r>
            <w:r>
              <w:rPr>
                <w:rFonts w:hint="eastAsia" w:ascii="仿宋_GB2312" w:eastAsia="仿宋_GB2312"/>
                <w:sz w:val="24"/>
                <w:szCs w:val="24"/>
              </w:rPr>
              <w:t>.00</w:t>
            </w:r>
          </w:p>
        </w:tc>
        <w:tc>
          <w:tcPr>
            <w:tcW w:w="2126"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60</w:t>
            </w:r>
            <w:r>
              <w:rPr>
                <w:rFonts w:hint="eastAsia" w:ascii="仿宋_GB2312" w:eastAsia="仿宋_GB2312"/>
                <w:sz w:val="24"/>
                <w:szCs w:val="24"/>
              </w:rPr>
              <w:t>.00</w:t>
            </w:r>
            <w:r>
              <w:rPr>
                <w:rFonts w:ascii="仿宋_GB2312"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99"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D</w:t>
            </w:r>
            <w:r>
              <w:rPr>
                <w:rFonts w:hint="eastAsia" w:ascii="仿宋_GB2312" w:eastAsia="仿宋_GB2312" w:cs="Times New Roman"/>
                <w:sz w:val="24"/>
                <w:szCs w:val="24"/>
              </w:rPr>
              <w:t>绩效管理</w:t>
            </w:r>
          </w:p>
        </w:tc>
        <w:tc>
          <w:tcPr>
            <w:tcW w:w="1461"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9</w:t>
            </w:r>
          </w:p>
        </w:tc>
        <w:tc>
          <w:tcPr>
            <w:tcW w:w="1418"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8.7</w:t>
            </w:r>
            <w:r>
              <w:rPr>
                <w:rFonts w:hint="eastAsia" w:ascii="仿宋_GB2312" w:eastAsia="仿宋_GB2312"/>
                <w:sz w:val="24"/>
                <w:szCs w:val="24"/>
              </w:rPr>
              <w:t>0</w:t>
            </w:r>
          </w:p>
        </w:tc>
        <w:tc>
          <w:tcPr>
            <w:tcW w:w="2126"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96.67</w:t>
            </w:r>
            <w:r>
              <w:rPr>
                <w:rFonts w:ascii="仿宋_GB2312"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99"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E履职效能</w:t>
            </w:r>
          </w:p>
        </w:tc>
        <w:tc>
          <w:tcPr>
            <w:tcW w:w="1461"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28</w:t>
            </w:r>
          </w:p>
        </w:tc>
        <w:tc>
          <w:tcPr>
            <w:tcW w:w="1418"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28</w:t>
            </w:r>
            <w:r>
              <w:rPr>
                <w:rFonts w:hint="eastAsia" w:ascii="仿宋_GB2312" w:eastAsia="仿宋_GB2312"/>
                <w:sz w:val="24"/>
                <w:szCs w:val="24"/>
              </w:rPr>
              <w:t>.00</w:t>
            </w:r>
          </w:p>
        </w:tc>
        <w:tc>
          <w:tcPr>
            <w:tcW w:w="2126"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99"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F可持续发展能力</w:t>
            </w:r>
          </w:p>
        </w:tc>
        <w:tc>
          <w:tcPr>
            <w:tcW w:w="1461"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5</w:t>
            </w:r>
          </w:p>
        </w:tc>
        <w:tc>
          <w:tcPr>
            <w:tcW w:w="1418"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4</w:t>
            </w:r>
            <w:r>
              <w:rPr>
                <w:rFonts w:hint="eastAsia" w:ascii="仿宋_GB2312" w:eastAsia="仿宋_GB2312"/>
                <w:sz w:val="24"/>
                <w:szCs w:val="24"/>
              </w:rPr>
              <w:t>.00</w:t>
            </w:r>
          </w:p>
        </w:tc>
        <w:tc>
          <w:tcPr>
            <w:tcW w:w="2126"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80</w:t>
            </w:r>
            <w:r>
              <w:rPr>
                <w:rFonts w:hint="eastAsia" w:ascii="仿宋_GB2312" w:eastAsia="仿宋_GB2312"/>
                <w:sz w:val="24"/>
                <w:szCs w:val="24"/>
              </w:rPr>
              <w:t>.00</w:t>
            </w:r>
            <w:r>
              <w:rPr>
                <w:rFonts w:hint="eastAsia" w:ascii="仿宋_GB2312"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3299"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G满意度</w:t>
            </w:r>
          </w:p>
        </w:tc>
        <w:tc>
          <w:tcPr>
            <w:tcW w:w="1461"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10</w:t>
            </w:r>
          </w:p>
        </w:tc>
        <w:tc>
          <w:tcPr>
            <w:tcW w:w="1418"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6.25</w:t>
            </w:r>
          </w:p>
        </w:tc>
        <w:tc>
          <w:tcPr>
            <w:tcW w:w="2126"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62.5</w:t>
            </w:r>
            <w:r>
              <w:rPr>
                <w:rFonts w:hint="eastAsia" w:ascii="仿宋_GB2312" w:eastAsia="仿宋_GB2312"/>
                <w:sz w:val="24"/>
                <w:szCs w:val="24"/>
              </w:rPr>
              <w:t>0</w:t>
            </w:r>
            <w:r>
              <w:rPr>
                <w:rFonts w:ascii="仿宋_GB2312"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99"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总</w:t>
            </w:r>
            <w:r>
              <w:rPr>
                <w:rFonts w:ascii="仿宋_GB2312" w:eastAsia="仿宋_GB2312" w:cs="Times New Roman"/>
                <w:sz w:val="24"/>
                <w:szCs w:val="24"/>
              </w:rPr>
              <w:t>计</w:t>
            </w:r>
          </w:p>
        </w:tc>
        <w:tc>
          <w:tcPr>
            <w:tcW w:w="1461" w:type="dxa"/>
            <w:vAlign w:val="center"/>
          </w:tcPr>
          <w:p>
            <w:pPr>
              <w:snapToGrid/>
              <w:spacing w:after="0" w:line="560" w:lineRule="exact"/>
              <w:jc w:val="center"/>
              <w:rPr>
                <w:rFonts w:ascii="仿宋_GB2312" w:eastAsia="仿宋_GB2312" w:cs="Times New Roman"/>
                <w:sz w:val="24"/>
                <w:szCs w:val="24"/>
              </w:rPr>
            </w:pPr>
            <w:r>
              <w:rPr>
                <w:rFonts w:ascii="仿宋_GB2312" w:eastAsia="仿宋_GB2312" w:cs="Times New Roman"/>
                <w:sz w:val="24"/>
                <w:szCs w:val="24"/>
              </w:rPr>
              <w:t>100</w:t>
            </w:r>
          </w:p>
        </w:tc>
        <w:tc>
          <w:tcPr>
            <w:tcW w:w="1418"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84</w:t>
            </w:r>
            <w:r>
              <w:rPr>
                <w:rFonts w:hint="eastAsia" w:ascii="仿宋_GB2312" w:eastAsia="仿宋_GB2312"/>
                <w:sz w:val="24"/>
                <w:szCs w:val="24"/>
              </w:rPr>
              <w:t>.00</w:t>
            </w:r>
          </w:p>
        </w:tc>
        <w:tc>
          <w:tcPr>
            <w:tcW w:w="2126" w:type="dxa"/>
            <w:vAlign w:val="center"/>
          </w:tcPr>
          <w:p>
            <w:pPr>
              <w:snapToGrid/>
              <w:spacing w:after="0" w:line="560" w:lineRule="exact"/>
              <w:jc w:val="center"/>
              <w:rPr>
                <w:rFonts w:ascii="仿宋_GB2312" w:eastAsia="仿宋_GB2312" w:cs="Times New Roman"/>
                <w:sz w:val="24"/>
                <w:szCs w:val="24"/>
              </w:rPr>
            </w:pPr>
            <w:r>
              <w:rPr>
                <w:rFonts w:hint="eastAsia" w:ascii="仿宋_GB2312" w:eastAsia="仿宋_GB2312" w:cs="Times New Roman"/>
                <w:sz w:val="24"/>
                <w:szCs w:val="24"/>
              </w:rPr>
              <w:t>84</w:t>
            </w:r>
            <w:r>
              <w:rPr>
                <w:rFonts w:hint="eastAsia" w:ascii="仿宋_GB2312" w:eastAsia="仿宋_GB2312"/>
                <w:sz w:val="24"/>
                <w:szCs w:val="24"/>
              </w:rPr>
              <w:t>.00</w:t>
            </w:r>
            <w:r>
              <w:rPr>
                <w:rFonts w:ascii="仿宋_GB2312" w:eastAsia="仿宋_GB2312" w:cs="Times New Roman"/>
                <w:sz w:val="24"/>
                <w:szCs w:val="24"/>
              </w:rPr>
              <w:t>%</w:t>
            </w:r>
          </w:p>
        </w:tc>
      </w:tr>
    </w:tbl>
    <w:p>
      <w:pPr>
        <w:snapToGrid/>
        <w:spacing w:after="0" w:line="560" w:lineRule="exact"/>
        <w:ind w:firstLine="640" w:firstLineChars="200"/>
        <w:jc w:val="both"/>
        <w:rPr>
          <w:rFonts w:ascii="仿宋_GB2312" w:eastAsia="仿宋_GB2312" w:cs="Times New Roman"/>
          <w:sz w:val="32"/>
          <w:szCs w:val="32"/>
        </w:rPr>
      </w:pPr>
      <w:r>
        <w:rPr>
          <w:rFonts w:ascii="仿宋_GB2312" w:eastAsia="仿宋_GB2312" w:cs="Times New Roman"/>
          <w:sz w:val="32"/>
          <w:szCs w:val="32"/>
        </w:rPr>
        <w:t>综合评定，</w:t>
      </w:r>
      <w:r>
        <w:rPr>
          <w:rFonts w:hint="eastAsia" w:ascii="仿宋_GB2312" w:eastAsia="仿宋_GB2312" w:cs="Times New Roman"/>
          <w:sz w:val="32"/>
          <w:szCs w:val="32"/>
        </w:rPr>
        <w:t>临淄</w:t>
      </w:r>
      <w:r>
        <w:rPr>
          <w:rFonts w:ascii="仿宋_GB2312" w:eastAsia="仿宋_GB2312" w:cs="Times New Roman"/>
          <w:sz w:val="32"/>
          <w:szCs w:val="32"/>
        </w:rPr>
        <w:t>区</w:t>
      </w:r>
      <w:r>
        <w:rPr>
          <w:rFonts w:hint="eastAsia" w:ascii="仿宋_GB2312" w:eastAsia="仿宋_GB2312" w:cs="Times New Roman"/>
          <w:sz w:val="32"/>
          <w:szCs w:val="32"/>
        </w:rPr>
        <w:t>退役军人事务局</w:t>
      </w:r>
      <w:r>
        <w:rPr>
          <w:rFonts w:ascii="仿宋_GB2312" w:eastAsia="仿宋_GB2312" w:cs="Times New Roman"/>
          <w:sz w:val="32"/>
          <w:szCs w:val="32"/>
        </w:rPr>
        <w:t>部门整体绩效评价总得分为</w:t>
      </w:r>
      <w:r>
        <w:rPr>
          <w:rFonts w:hint="eastAsia" w:ascii="仿宋_GB2312" w:eastAsia="仿宋_GB2312" w:cs="Times New Roman"/>
          <w:sz w:val="32"/>
          <w:szCs w:val="32"/>
        </w:rPr>
        <w:t>84</w:t>
      </w:r>
      <w:r>
        <w:rPr>
          <w:rFonts w:ascii="仿宋_GB2312" w:eastAsia="仿宋_GB2312" w:cs="Times New Roman"/>
          <w:sz w:val="32"/>
          <w:szCs w:val="32"/>
        </w:rPr>
        <w:t>分，绩效评价等级为</w:t>
      </w:r>
      <w:r>
        <w:rPr>
          <w:rFonts w:hint="eastAsia" w:ascii="仿宋_GB2312" w:eastAsia="仿宋_GB2312" w:cs="Times New Roman"/>
          <w:sz w:val="32"/>
          <w:szCs w:val="32"/>
        </w:rPr>
        <w:t>“良”</w:t>
      </w:r>
      <w:r>
        <w:rPr>
          <w:rFonts w:ascii="仿宋_GB2312" w:eastAsia="仿宋_GB2312" w:cs="Times New Roman"/>
          <w:sz w:val="32"/>
          <w:szCs w:val="32"/>
        </w:rPr>
        <w:t>。</w:t>
      </w:r>
    </w:p>
    <w:p>
      <w:pPr>
        <w:snapToGrid/>
        <w:spacing w:after="0" w:line="560" w:lineRule="exact"/>
        <w:ind w:firstLine="640" w:firstLineChars="200"/>
        <w:jc w:val="both"/>
        <w:rPr>
          <w:rFonts w:ascii="仿宋_GB2312" w:eastAsia="仿宋_GB2312" w:cs="Times New Roman"/>
          <w:sz w:val="32"/>
          <w:szCs w:val="32"/>
        </w:rPr>
      </w:pPr>
      <w:r>
        <w:rPr>
          <w:rFonts w:ascii="仿宋_GB2312" w:eastAsia="仿宋_GB2312" w:cs="Times New Roman"/>
          <w:sz w:val="32"/>
          <w:szCs w:val="32"/>
        </w:rPr>
        <w:t>2022</w:t>
      </w:r>
      <w:r>
        <w:rPr>
          <w:rFonts w:hint="eastAsia" w:ascii="仿宋_GB2312" w:eastAsia="仿宋_GB2312" w:cs="Times New Roman"/>
          <w:sz w:val="32"/>
          <w:szCs w:val="32"/>
        </w:rPr>
        <w:t>年，临淄</w:t>
      </w:r>
      <w:r>
        <w:rPr>
          <w:rFonts w:ascii="仿宋_GB2312" w:eastAsia="仿宋_GB2312" w:cs="Times New Roman"/>
          <w:sz w:val="32"/>
          <w:szCs w:val="32"/>
        </w:rPr>
        <w:t>区</w:t>
      </w:r>
      <w:r>
        <w:rPr>
          <w:rFonts w:hint="eastAsia" w:ascii="仿宋_GB2312" w:eastAsia="仿宋_GB2312" w:cs="Times New Roman"/>
          <w:sz w:val="32"/>
          <w:szCs w:val="32"/>
        </w:rPr>
        <w:t>退役军人事务局紧紧围绕退役军人移交安置、就业创业、优待抚恤、双拥共建、权益维护和保障、困难帮扶、烈士褒扬、思想政治和体系建设等职责任务，全力做好退役军人服务保障工作。</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拥军优属方面，加大双拥阵地建设，各镇、街道建成1处双拥公园和2个宣传示范村（社区）。面向全区公开招募“拥军企业”“拥军门店”，打造“双拥共建聚合力，千企万店齐拥军”的社会化拥军阵地，开展优待优惠军人军属等拥军活动。发挥临淄区拥军优属协会引领作用，开展针对兵妈妈、军嫂、现役军人家庭的社会组织拥军活动。在晏婴公园内设立高标准双拥文化公园，将齐园国防教育基地打造成双拥文化宣传基地，在区教育中心设立青少年双拥文化教育基地。结合八一建军节，邀请军地6个双拥共建单位开展临淄区第一届 “双拥杯”军人篮球邀请赛”。</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退役军人服务方面，构建退役军人权益保障平台，建设退役军人数字维权平台，实现与网格员、镇（街道）服务站工作人员、区直有关部门实时视频连线，及时解答退役军人诉求，实现让“数据多跑路、退役军人少跑路”。</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优抚待遇落实方面，每月按时为优抚对象发放抚恤补助和医疗待遇，优抚对象实施动态管理，持续推进优抚对象精准化管理，完成重点优抚对象本年度待遇保障动态增长工作。开展“从优秀青年到优秀军人”专题适应性培训，宣讲立功授奖、优抚安置政策，鼓励新兵立功军营。开展“爱心献功臣 医药送上门”活动，协调青州荣军医院，为优抚对象免费查体送药。组织北大医疗鲁中医院、齐都心理医疗为优抚对象和军属巡诊。</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思想引领方面，以“请进来”和“走出去”相结合的共建共享活动体系，“请进来”以参观烈士纪念设施和组织开展志愿服务活动为主要内容。“走出去”则围绕多个主题展览、多部宣教片和临淄革命史、英烈事迹宣讲三方面开展。</w:t>
      </w:r>
      <w:r>
        <w:rPr>
          <w:rFonts w:ascii="仿宋_GB2312" w:eastAsia="仿宋_GB2312" w:cs="Times New Roman"/>
          <w:sz w:val="32"/>
          <w:szCs w:val="32"/>
        </w:rPr>
        <w:t>持续在全区开展</w:t>
      </w:r>
      <w:r>
        <w:rPr>
          <w:rFonts w:hint="eastAsia" w:ascii="仿宋_GB2312" w:eastAsia="仿宋_GB2312" w:cs="Times New Roman"/>
          <w:sz w:val="32"/>
          <w:szCs w:val="32"/>
        </w:rPr>
        <w:t>“</w:t>
      </w:r>
      <w:r>
        <w:rPr>
          <w:rFonts w:ascii="仿宋_GB2312" w:eastAsia="仿宋_GB2312" w:cs="Times New Roman"/>
          <w:sz w:val="32"/>
          <w:szCs w:val="32"/>
        </w:rPr>
        <w:t>最美军嫂</w:t>
      </w:r>
      <w:r>
        <w:rPr>
          <w:rFonts w:hint="eastAsia" w:ascii="仿宋_GB2312" w:eastAsia="仿宋_GB2312" w:cs="Times New Roman"/>
          <w:sz w:val="32"/>
          <w:szCs w:val="32"/>
        </w:rPr>
        <w:t>”“</w:t>
      </w:r>
      <w:r>
        <w:rPr>
          <w:rFonts w:ascii="仿宋_GB2312" w:eastAsia="仿宋_GB2312" w:cs="Times New Roman"/>
          <w:sz w:val="32"/>
          <w:szCs w:val="32"/>
        </w:rPr>
        <w:t>最美</w:t>
      </w:r>
      <w:r>
        <w:rPr>
          <w:rFonts w:hint="eastAsia" w:ascii="仿宋_GB2312" w:eastAsia="仿宋_GB2312" w:cs="Times New Roman"/>
          <w:sz w:val="32"/>
          <w:szCs w:val="32"/>
        </w:rPr>
        <w:t>兵妈妈”</w:t>
      </w:r>
      <w:r>
        <w:rPr>
          <w:rFonts w:ascii="仿宋_GB2312" w:eastAsia="仿宋_GB2312" w:cs="Times New Roman"/>
          <w:sz w:val="32"/>
          <w:szCs w:val="32"/>
        </w:rPr>
        <w:t>等典型选树活动。会同组织部开展党支部建设共建活动，指导兵支书积极发挥领头雁作用</w:t>
      </w:r>
      <w:r>
        <w:rPr>
          <w:rFonts w:hint="eastAsia" w:ascii="仿宋_GB2312" w:eastAsia="仿宋_GB2312" w:cs="Times New Roman"/>
          <w:sz w:val="32"/>
          <w:szCs w:val="32"/>
        </w:rPr>
        <w:t>，</w:t>
      </w:r>
      <w:r>
        <w:rPr>
          <w:rFonts w:ascii="仿宋_GB2312" w:eastAsia="仿宋_GB2312" w:cs="Times New Roman"/>
          <w:sz w:val="32"/>
          <w:szCs w:val="32"/>
        </w:rPr>
        <w:t>组织兵支书所在党支部退役军人进行思想教育，重温入党誓词和军人誓词</w:t>
      </w:r>
      <w:r>
        <w:rPr>
          <w:rFonts w:hint="eastAsia" w:ascii="仿宋_GB2312" w:eastAsia="仿宋_GB2312" w:cs="Times New Roman"/>
          <w:sz w:val="32"/>
          <w:szCs w:val="32"/>
        </w:rPr>
        <w:t>。</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褒扬纪念方面，积极提升改造烈士纪念设施，对革命烈士陵园全面提升改造，包括院内设施维护修缮、陈列馆布展提升、园外环境整治三大部分，重新划分临淄革命烈士事迹陈列馆展区，加强空间利用率，优化展陈内容，增加多媒体设备、智能播放系统，提升园区整体效能。</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军休干部服务管理方面，每月按时发放军休干部离退休费等津补贴，做好军休干部的医疗保障工作和重要节日走访慰问工作。充分利用本地医疗、养老机构、社会组织等多方资源，搭建起方便、快捷的军休干部就医、养老、居家服务三个平台，真正把军休医养结合工作落到实处。2022年内组织军休干部查体1次，60岁以上军休干部居家服务1次。以党建为引领，引导军休干部参与社会活动，组织开展符合军休干部实际的文体活动、主题党日和志愿服务活动。引导军休干部走进学校、社区开展红色传承教育、革命传统教育，丰富军休干部的精神文化生活。</w:t>
      </w:r>
    </w:p>
    <w:p>
      <w:pPr>
        <w:snapToGrid/>
        <w:spacing w:after="0" w:line="560" w:lineRule="exact"/>
        <w:ind w:firstLine="640" w:firstLineChars="200"/>
        <w:jc w:val="both"/>
        <w:rPr>
          <w:rFonts w:eastAsia="黑体" w:cs="Times New Roman"/>
          <w:sz w:val="32"/>
          <w:szCs w:val="32"/>
        </w:rPr>
      </w:pPr>
      <w:r>
        <w:rPr>
          <w:rFonts w:eastAsia="黑体" w:cs="Times New Roman"/>
          <w:sz w:val="32"/>
          <w:szCs w:val="32"/>
        </w:rPr>
        <w:t>三、主要</w:t>
      </w:r>
      <w:r>
        <w:rPr>
          <w:rFonts w:hint="eastAsia" w:eastAsia="黑体" w:cs="Times New Roman"/>
          <w:sz w:val="32"/>
          <w:szCs w:val="32"/>
        </w:rPr>
        <w:t>绩效</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2022年共安置专业干部1人，专业士官35人，随调家属1人，圆满完成了本年度安置任务；全力搭建退役军人就业创业服务平台，通过“军岗日”“春风行动”等专项行动开展市区两级退役军人专场招聘会7场，提供就业岗位2694个，达成就业意向392人。组织开展2022年秋季自主就业退役士兵报到151人次，积极组织退役军人有针对性地报名参加职业技能培训和创业培训，累计办理培训235人次。举行退役军人工作“齐向未来”红色沙龙暨爱国主义教育基地共建共享集体签约仪式，连续举办5期不同主题的红色沙龙活动。全力优化服务体系建设，按照“五有一覆盖”要求，对照全国示范型退役军人服务中心（站）建设标准，扎实开展示范创建“回头看”工作确保基层服务站建设提档升级。完成镇（街道）“部长站长一肩挑”、村居（社区）服务站站长由村（社区）民兵连长兼任。探索全生命周期服务管理运行模式，打造军人退役“一件事”升级版，推动“一网通办”工作落地。对因病、因灾、因意外事故退役的军人实施帮扶解困，协调社会公益组织开展帮扶活动，为困难退役军人及家庭提供生活、医疗、精神等方面的帮扶。通过先行试点、召开推进会等方式，指导各镇、街道不断优化工作流程、提升服务质效。为年老体弱、行动不便的退役军人及“三属”上门提供“一站式”服务。2022年成功化解信访积案2件，办结初信初访2件，圆满处理网络舆情1起，转办回复网络信件186件。建立健全规范化信访运行机制，加强对新发放工作人员的培训教育，强化领导包联机制，对信访重点人由局主要领导和分管领导进行包联，定期走访交流和政策解释，建立台账、分类制定化解措施。</w:t>
      </w:r>
    </w:p>
    <w:p>
      <w:pPr>
        <w:snapToGrid/>
        <w:spacing w:after="0" w:line="560" w:lineRule="exact"/>
        <w:ind w:firstLine="640" w:firstLineChars="200"/>
        <w:jc w:val="both"/>
        <w:rPr>
          <w:rFonts w:eastAsia="黑体" w:cs="Times New Roman"/>
          <w:sz w:val="32"/>
          <w:szCs w:val="32"/>
        </w:rPr>
      </w:pPr>
      <w:r>
        <w:rPr>
          <w:rFonts w:eastAsia="黑体" w:cs="Times New Roman"/>
          <w:sz w:val="32"/>
          <w:szCs w:val="32"/>
        </w:rPr>
        <w:t>四、存在问题</w:t>
      </w:r>
    </w:p>
    <w:p>
      <w:pPr>
        <w:snapToGrid/>
        <w:spacing w:after="0" w:line="560" w:lineRule="exact"/>
        <w:ind w:firstLine="640" w:firstLineChars="200"/>
        <w:jc w:val="both"/>
        <w:rPr>
          <w:rFonts w:hint="eastAsia" w:ascii="楷体_GB2312" w:hAnsi="Times New Roman" w:eastAsia="楷体_GB2312" w:cs="Times New Roman"/>
          <w:bCs/>
          <w:sz w:val="32"/>
          <w:szCs w:val="32"/>
        </w:rPr>
      </w:pPr>
      <w:r>
        <w:rPr>
          <w:rFonts w:hint="eastAsia" w:ascii="楷体_GB2312" w:hAnsi="Times New Roman" w:eastAsia="楷体_GB2312" w:cs="Times New Roman"/>
          <w:bCs/>
          <w:sz w:val="32"/>
          <w:szCs w:val="32"/>
        </w:rPr>
        <w:t>（一）部门管理方面</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1.固定资产管理规范性有待进一步增强</w:t>
      </w:r>
      <w:r>
        <w:rPr>
          <w:rFonts w:hint="eastAsia" w:ascii="仿宋_GB2312" w:eastAsia="仿宋_GB2312"/>
          <w:sz w:val="32"/>
          <w:szCs w:val="32"/>
        </w:rPr>
        <w:t>。</w:t>
      </w:r>
      <w:r>
        <w:rPr>
          <w:rFonts w:hint="eastAsia" w:ascii="仿宋_GB2312" w:eastAsia="仿宋_GB2312" w:cs="Times New Roman"/>
          <w:sz w:val="32"/>
          <w:szCs w:val="32"/>
        </w:rPr>
        <w:t>一方面，根据临淄区退役军人事务局提供的《2022年度行政事业单位国有资产分析报告》，临淄区退役军人事务局存在资产购置、处置脱节管理等衔接问题。因机构改革，下属单位不再单独设立财务，资产合并到主管部门，资产分布在不同的地方，距离单位较远，清查资产难度大，不利于资产管理。另一方面，2022年临淄区退役军人事务局未对单位固定资产进行固定资产盘点。</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2.会计管理水平有待进一步提高</w:t>
      </w:r>
      <w:r>
        <w:rPr>
          <w:rFonts w:hint="eastAsia" w:ascii="仿宋_GB2312" w:eastAsia="仿宋_GB2312"/>
          <w:sz w:val="32"/>
          <w:szCs w:val="32"/>
        </w:rPr>
        <w:t>。</w:t>
      </w:r>
      <w:r>
        <w:rPr>
          <w:rFonts w:hint="eastAsia" w:ascii="仿宋_GB2312" w:eastAsia="仿宋_GB2312" w:cs="Times New Roman"/>
          <w:sz w:val="32"/>
          <w:szCs w:val="32"/>
        </w:rPr>
        <w:t>临淄区退役军人事务局所编制的会计凭证中，“附件数”均未据实登记，该行为不符合《会计基础工作规范》第五十一条：“记账凭证的基本要求是：（一）记账凭证的内容必须具备：填制凭证的日期；凭证编号；经济业务摘要；会计科目；金额；所附原始凭证张数……”的规定。</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3.业务能力提升机制有待健全完善</w:t>
      </w:r>
      <w:r>
        <w:rPr>
          <w:rFonts w:hint="eastAsia" w:ascii="仿宋_GB2312" w:eastAsia="仿宋_GB2312"/>
          <w:sz w:val="32"/>
          <w:szCs w:val="32"/>
        </w:rPr>
        <w:t>。</w:t>
      </w:r>
      <w:r>
        <w:rPr>
          <w:rFonts w:hint="eastAsia" w:ascii="仿宋_GB2312" w:eastAsia="仿宋_GB2312" w:cs="Times New Roman"/>
          <w:sz w:val="32"/>
          <w:szCs w:val="32"/>
        </w:rPr>
        <w:t>根据现场调研情况，临淄区退役军人事务局制定了学习制度并积极组织相关培训提高业务人员业务能力，但现有学习制度内容较简单，且缺少对单位内部工作人员的考核制度及考核结果应用机制，业务能力提升机制有待进一步健全。</w:t>
      </w:r>
    </w:p>
    <w:p>
      <w:pPr>
        <w:snapToGrid/>
        <w:spacing w:after="0" w:line="560" w:lineRule="exact"/>
        <w:ind w:firstLine="640" w:firstLineChars="200"/>
        <w:jc w:val="both"/>
        <w:rPr>
          <w:rFonts w:hint="eastAsia" w:ascii="楷体_GB2312" w:hAnsi="Times New Roman" w:eastAsia="楷体_GB2312" w:cs="Times New Roman"/>
          <w:bCs/>
          <w:sz w:val="32"/>
          <w:szCs w:val="32"/>
        </w:rPr>
      </w:pPr>
      <w:r>
        <w:rPr>
          <w:rFonts w:hint="eastAsia" w:ascii="楷体_GB2312" w:hAnsi="Times New Roman" w:eastAsia="楷体_GB2312" w:cs="Times New Roman"/>
          <w:bCs/>
          <w:sz w:val="32"/>
          <w:szCs w:val="32"/>
        </w:rPr>
        <w:t>（二）预算管理方面</w:t>
      </w:r>
    </w:p>
    <w:p>
      <w:pPr>
        <w:snapToGrid/>
        <w:spacing w:after="0" w:line="560" w:lineRule="exact"/>
        <w:ind w:firstLine="640" w:firstLineChars="200"/>
        <w:jc w:val="both"/>
        <w:rPr>
          <w:rFonts w:ascii="仿宋_GB2312" w:eastAsia="仿宋_GB2312" w:cs="Times New Roman"/>
          <w:sz w:val="32"/>
          <w:szCs w:val="32"/>
        </w:rPr>
      </w:pPr>
      <w:r>
        <w:rPr>
          <w:rFonts w:ascii="仿宋_GB2312" w:eastAsia="仿宋_GB2312" w:cs="Times New Roman"/>
          <w:sz w:val="32"/>
          <w:szCs w:val="32"/>
        </w:rPr>
        <w:t>项目支出成本控制标准尚未建立</w:t>
      </w:r>
      <w:r>
        <w:rPr>
          <w:rFonts w:hint="eastAsia" w:ascii="仿宋_GB2312" w:eastAsia="仿宋_GB2312"/>
          <w:sz w:val="32"/>
          <w:szCs w:val="32"/>
        </w:rPr>
        <w:t>。</w:t>
      </w:r>
      <w:r>
        <w:rPr>
          <w:rFonts w:ascii="仿宋_GB2312" w:eastAsia="仿宋_GB2312" w:cs="Times New Roman"/>
          <w:sz w:val="32"/>
          <w:szCs w:val="32"/>
        </w:rPr>
        <w:t>经绩效评价组对单位</w:t>
      </w:r>
      <w:r>
        <w:rPr>
          <w:rFonts w:hint="eastAsia" w:ascii="仿宋_GB2312" w:eastAsia="仿宋_GB2312" w:cs="Times New Roman"/>
          <w:sz w:val="32"/>
          <w:szCs w:val="32"/>
        </w:rPr>
        <w:t>提供的</w:t>
      </w:r>
      <w:r>
        <w:rPr>
          <w:rFonts w:ascii="仿宋_GB2312" w:eastAsia="仿宋_GB2312" w:cs="Times New Roman"/>
          <w:sz w:val="32"/>
          <w:szCs w:val="32"/>
        </w:rPr>
        <w:t>资料梳理分析</w:t>
      </w:r>
      <w:r>
        <w:rPr>
          <w:rFonts w:hint="eastAsia" w:ascii="仿宋_GB2312" w:eastAsia="仿宋_GB2312" w:cs="Times New Roman"/>
          <w:sz w:val="32"/>
          <w:szCs w:val="32"/>
        </w:rPr>
        <w:t>及现场调研</w:t>
      </w:r>
      <w:r>
        <w:rPr>
          <w:rFonts w:ascii="仿宋_GB2312" w:eastAsia="仿宋_GB2312" w:cs="Times New Roman"/>
          <w:sz w:val="32"/>
          <w:szCs w:val="32"/>
        </w:rPr>
        <w:t>发现，</w:t>
      </w:r>
      <w:r>
        <w:rPr>
          <w:rFonts w:hint="eastAsia" w:ascii="仿宋_GB2312" w:eastAsia="仿宋_GB2312" w:cs="Times New Roman"/>
          <w:sz w:val="32"/>
          <w:szCs w:val="32"/>
        </w:rPr>
        <w:t>临淄</w:t>
      </w:r>
      <w:r>
        <w:rPr>
          <w:rFonts w:ascii="仿宋_GB2312" w:eastAsia="仿宋_GB2312" w:cs="Times New Roman"/>
          <w:sz w:val="32"/>
          <w:szCs w:val="32"/>
        </w:rPr>
        <w:t>区</w:t>
      </w:r>
      <w:r>
        <w:rPr>
          <w:rFonts w:hint="eastAsia" w:ascii="仿宋_GB2312" w:eastAsia="仿宋_GB2312" w:cs="Times New Roman"/>
          <w:sz w:val="32"/>
          <w:szCs w:val="32"/>
        </w:rPr>
        <w:t>退役军人事务局未针对项目开展成本效益分析，</w:t>
      </w:r>
      <w:r>
        <w:rPr>
          <w:rFonts w:ascii="仿宋_GB2312" w:eastAsia="仿宋_GB2312" w:cs="Times New Roman"/>
          <w:sz w:val="32"/>
          <w:szCs w:val="32"/>
        </w:rPr>
        <w:t>未针对项目支出建立成本控制标准</w:t>
      </w:r>
      <w:r>
        <w:rPr>
          <w:rFonts w:hint="eastAsia" w:ascii="仿宋_GB2312" w:eastAsia="仿宋_GB2312" w:cs="Times New Roman"/>
          <w:sz w:val="32"/>
          <w:szCs w:val="32"/>
        </w:rPr>
        <w:t>，未建立项目支出定额标准体系</w:t>
      </w:r>
      <w:r>
        <w:rPr>
          <w:rFonts w:ascii="仿宋_GB2312" w:eastAsia="仿宋_GB2312" w:cs="Times New Roman"/>
          <w:sz w:val="32"/>
          <w:szCs w:val="32"/>
        </w:rPr>
        <w:t>。</w:t>
      </w:r>
    </w:p>
    <w:p>
      <w:pPr>
        <w:snapToGrid/>
        <w:spacing w:after="0" w:line="560" w:lineRule="exact"/>
        <w:ind w:firstLine="640" w:firstLineChars="200"/>
        <w:jc w:val="both"/>
        <w:rPr>
          <w:rFonts w:hint="eastAsia" w:ascii="楷体_GB2312" w:hAnsi="Times New Roman" w:eastAsia="楷体_GB2312" w:cs="Times New Roman"/>
          <w:bCs/>
          <w:sz w:val="32"/>
          <w:szCs w:val="32"/>
        </w:rPr>
      </w:pPr>
      <w:r>
        <w:rPr>
          <w:rFonts w:hint="eastAsia" w:ascii="楷体_GB2312" w:hAnsi="Times New Roman" w:eastAsia="楷体_GB2312" w:cs="Times New Roman"/>
          <w:bCs/>
          <w:sz w:val="32"/>
          <w:szCs w:val="32"/>
        </w:rPr>
        <w:t>（三）绩效管理方面</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绩效指标值设置的准确性有待进一步提高</w:t>
      </w:r>
      <w:r>
        <w:rPr>
          <w:rFonts w:hint="eastAsia" w:ascii="仿宋_GB2312" w:eastAsia="仿宋_GB2312"/>
          <w:sz w:val="32"/>
          <w:szCs w:val="32"/>
        </w:rPr>
        <w:t>。</w:t>
      </w:r>
      <w:r>
        <w:rPr>
          <w:rFonts w:hint="eastAsia" w:ascii="仿宋_GB2312" w:eastAsia="仿宋_GB2312" w:cs="Times New Roman"/>
          <w:sz w:val="32"/>
          <w:szCs w:val="32"/>
        </w:rPr>
        <w:t>临淄区退役军人事务局</w:t>
      </w:r>
      <w:r>
        <w:rPr>
          <w:rFonts w:ascii="仿宋_GB2312" w:eastAsia="仿宋_GB2312" w:cs="Times New Roman"/>
          <w:sz w:val="32"/>
          <w:szCs w:val="32"/>
        </w:rPr>
        <w:t>设置的整体绩效指标科学合理，能够有效反映部门履职效果，绩效指标做到了细化量化，绩效指标含义准确。</w:t>
      </w:r>
      <w:r>
        <w:rPr>
          <w:rFonts w:hint="eastAsia" w:ascii="仿宋_GB2312" w:eastAsia="仿宋_GB2312" w:cs="Times New Roman"/>
          <w:sz w:val="32"/>
          <w:szCs w:val="32"/>
        </w:rPr>
        <w:t>但指标值设置方面，多个补助发放类指标，如“义务兵家庭优待金发放人次”“优抚对象人数”“军休干部保障人数”等指标仅以预计人数进行设置，表面看绩效指标的设置达到了细化、量化，实则政策享受人数每月会有变动，单纯以人数进行设置，无法准确衡量该指标的实际完成情况，指标值设置的准确性有待进一步提高。</w:t>
      </w:r>
    </w:p>
    <w:p>
      <w:pPr>
        <w:snapToGrid/>
        <w:spacing w:after="0" w:line="560" w:lineRule="exact"/>
        <w:ind w:firstLine="640" w:firstLineChars="200"/>
        <w:jc w:val="both"/>
        <w:rPr>
          <w:rFonts w:hint="eastAsia" w:ascii="楷体_GB2312" w:hAnsi="Times New Roman" w:eastAsia="楷体_GB2312" w:cs="Times New Roman"/>
          <w:bCs/>
          <w:sz w:val="32"/>
          <w:szCs w:val="32"/>
        </w:rPr>
      </w:pPr>
      <w:r>
        <w:rPr>
          <w:rFonts w:hint="eastAsia" w:ascii="楷体_GB2312" w:hAnsi="Times New Roman" w:eastAsia="楷体_GB2312" w:cs="Times New Roman"/>
          <w:bCs/>
          <w:sz w:val="32"/>
          <w:szCs w:val="32"/>
        </w:rPr>
        <w:t>（四）履职效能方面</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1.应急反应能力及处理突发事件的水平有待进一步提高</w:t>
      </w:r>
      <w:r>
        <w:rPr>
          <w:rFonts w:hint="eastAsia" w:ascii="仿宋_GB2312" w:eastAsia="仿宋_GB2312"/>
          <w:sz w:val="32"/>
          <w:szCs w:val="32"/>
        </w:rPr>
        <w:t>。</w:t>
      </w:r>
      <w:r>
        <w:rPr>
          <w:rFonts w:hint="eastAsia" w:ascii="仿宋_GB2312" w:eastAsia="仿宋_GB2312" w:cs="Times New Roman"/>
          <w:sz w:val="32"/>
          <w:szCs w:val="32"/>
        </w:rPr>
        <w:t>部分退役军人对政策理解不到位，在表达诉求时存在“任性维权”的问题，部门对个别年纪偏大、认知较浅的退役军人缺乏有效的工作方法，维权稳定形势较严峻，部门应急反应能力及处理突发事件的水平有待进一步提高。</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2.基层服务站建设不均衡</w:t>
      </w:r>
      <w:r>
        <w:rPr>
          <w:rFonts w:hint="eastAsia" w:ascii="仿宋_GB2312" w:eastAsia="仿宋_GB2312"/>
          <w:sz w:val="32"/>
          <w:szCs w:val="32"/>
        </w:rPr>
        <w:t>。</w:t>
      </w:r>
      <w:r>
        <w:rPr>
          <w:rFonts w:hint="eastAsia" w:ascii="仿宋_GB2312" w:eastAsia="仿宋_GB2312" w:cs="Times New Roman"/>
          <w:sz w:val="32"/>
          <w:szCs w:val="32"/>
        </w:rPr>
        <w:t>村（社区）退役军人服务站工作压力大，分管任务多，部分工作人员对政策学习不透彻，理解不到位，基层退役军人服务工作推进力度有待加强。</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3.退役军人职业技能培训效果不佳</w:t>
      </w:r>
      <w:r>
        <w:rPr>
          <w:rFonts w:hint="eastAsia" w:ascii="仿宋_GB2312" w:eastAsia="仿宋_GB2312"/>
          <w:sz w:val="32"/>
          <w:szCs w:val="32"/>
        </w:rPr>
        <w:t>。</w:t>
      </w:r>
      <w:r>
        <w:rPr>
          <w:rFonts w:hint="eastAsia" w:ascii="仿宋_GB2312" w:eastAsia="仿宋_GB2312" w:cs="Times New Roman"/>
          <w:sz w:val="32"/>
          <w:szCs w:val="32"/>
        </w:rPr>
        <w:t>退役军人职业技能培训旨在提高他们的就业竞争力，帮助退役军人更好地融入社会、适应社会。但根据临淄区退役军人事务局提供的2022年度职业技能统计表看出，退役军人接受的职业技能培训对其成功就业的帮助效果较小。一方面，所接受的职业技能培训与后续就业的岗位无直接关系；另一方面，多数退役军人在接受过职业技能培训后就业率仍旧较低。根据2022年度临淄区退役军人职业技能培训统计表，接受职业技能培训的23人中，就业人数仅10人，就业率为43.48%。</w:t>
      </w:r>
    </w:p>
    <w:p>
      <w:pPr>
        <w:snapToGrid/>
        <w:spacing w:after="0" w:line="560" w:lineRule="exact"/>
        <w:ind w:firstLine="640" w:firstLineChars="200"/>
        <w:jc w:val="both"/>
        <w:rPr>
          <w:rFonts w:eastAsia="黑体" w:cs="Times New Roman"/>
          <w:sz w:val="32"/>
          <w:szCs w:val="32"/>
        </w:rPr>
      </w:pPr>
      <w:r>
        <w:rPr>
          <w:rFonts w:eastAsia="黑体" w:cs="Times New Roman"/>
          <w:sz w:val="32"/>
          <w:szCs w:val="32"/>
        </w:rPr>
        <w:t>五、相关建议</w:t>
      </w:r>
    </w:p>
    <w:p>
      <w:pPr>
        <w:snapToGrid/>
        <w:spacing w:after="0" w:line="560" w:lineRule="exact"/>
        <w:ind w:firstLine="640" w:firstLineChars="200"/>
        <w:jc w:val="both"/>
        <w:rPr>
          <w:rFonts w:hint="eastAsia" w:ascii="楷体_GB2312" w:hAnsi="Times New Roman" w:eastAsia="楷体_GB2312" w:cs="Times New Roman"/>
          <w:bCs/>
          <w:sz w:val="32"/>
          <w:szCs w:val="32"/>
        </w:rPr>
      </w:pPr>
      <w:r>
        <w:rPr>
          <w:rFonts w:hint="eastAsia" w:ascii="楷体_GB2312" w:hAnsi="Times New Roman" w:eastAsia="楷体_GB2312" w:cs="Times New Roman"/>
          <w:bCs/>
          <w:sz w:val="32"/>
          <w:szCs w:val="32"/>
        </w:rPr>
        <w:t>（一）部门管理方面</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1.提高固定资产管理工作</w:t>
      </w:r>
      <w:r>
        <w:rPr>
          <w:rFonts w:ascii="仿宋_GB2312" w:eastAsia="仿宋_GB2312" w:cs="Times New Roman"/>
          <w:sz w:val="32"/>
          <w:szCs w:val="32"/>
        </w:rPr>
        <w:t>规范性</w:t>
      </w:r>
      <w:r>
        <w:rPr>
          <w:rFonts w:hint="eastAsia" w:ascii="仿宋_GB2312" w:eastAsia="仿宋_GB2312" w:cs="Times New Roman"/>
          <w:sz w:val="32"/>
          <w:szCs w:val="32"/>
        </w:rPr>
        <w:t>，完善资产管理制度内容</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建立健全资产管理制度，合理配置并节约、有效使用资产，提高资产使用效率，保障资产的安全和完整。管理和使用坚持统一领导、分级管理、责任到人、物尽其用的原则。</w:t>
      </w:r>
      <w:r>
        <w:rPr>
          <w:rFonts w:ascii="仿宋_GB2312" w:eastAsia="仿宋_GB2312" w:cs="Times New Roman"/>
          <w:sz w:val="32"/>
          <w:szCs w:val="32"/>
        </w:rPr>
        <w:t>对固定资产管理，遵循不相容职位分离原则，在分工中相互制约，相互监督；对部门所有固定资产及时录入资产管理系统，</w:t>
      </w:r>
      <w:r>
        <w:rPr>
          <w:rFonts w:hint="eastAsia" w:ascii="仿宋_GB2312" w:eastAsia="仿宋_GB2312" w:cs="Times New Roman"/>
          <w:sz w:val="32"/>
          <w:szCs w:val="32"/>
        </w:rPr>
        <w:t>每年度及时对现有固定资产进行盘点，</w:t>
      </w:r>
      <w:r>
        <w:rPr>
          <w:rFonts w:ascii="仿宋_GB2312" w:eastAsia="仿宋_GB2312" w:cs="Times New Roman"/>
          <w:sz w:val="32"/>
          <w:szCs w:val="32"/>
        </w:rPr>
        <w:t>以便对固定资产进行统一、规范化管理，提高固定资产管理</w:t>
      </w:r>
      <w:r>
        <w:rPr>
          <w:rFonts w:hint="eastAsia" w:ascii="仿宋_GB2312" w:eastAsia="仿宋_GB2312" w:cs="Times New Roman"/>
          <w:sz w:val="32"/>
          <w:szCs w:val="32"/>
        </w:rPr>
        <w:t>规范性</w:t>
      </w:r>
      <w:r>
        <w:rPr>
          <w:rFonts w:ascii="仿宋_GB2312" w:eastAsia="仿宋_GB2312" w:cs="Times New Roman"/>
          <w:sz w:val="32"/>
          <w:szCs w:val="32"/>
        </w:rPr>
        <w:t>。</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2.严格按照相关规定规范会计行为</w:t>
      </w:r>
      <w:r>
        <w:rPr>
          <w:rFonts w:hint="eastAsia" w:ascii="仿宋_GB2312" w:eastAsia="仿宋_GB2312"/>
          <w:sz w:val="32"/>
          <w:szCs w:val="32"/>
        </w:rPr>
        <w:t>。</w:t>
      </w:r>
      <w:r>
        <w:rPr>
          <w:rFonts w:hint="eastAsia" w:ascii="仿宋_GB2312" w:eastAsia="仿宋_GB2312" w:cs="Times New Roman"/>
          <w:sz w:val="32"/>
          <w:szCs w:val="32"/>
        </w:rPr>
        <w:t>建议项目单位严格遵守《会计基础工作规范》，规范地编制会计凭证，对记账凭证后附的附件张数进行认真核对清点，及时进行更正。</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3.进一步健全完善业务能力提升机制</w:t>
      </w:r>
      <w:r>
        <w:rPr>
          <w:rFonts w:hint="eastAsia" w:ascii="仿宋_GB2312" w:eastAsia="仿宋_GB2312"/>
          <w:sz w:val="32"/>
          <w:szCs w:val="32"/>
        </w:rPr>
        <w:t>。</w:t>
      </w:r>
      <w:r>
        <w:rPr>
          <w:rFonts w:hint="eastAsia" w:ascii="仿宋_GB2312" w:eastAsia="仿宋_GB2312" w:cs="Times New Roman"/>
          <w:sz w:val="32"/>
          <w:szCs w:val="32"/>
        </w:rPr>
        <w:t>一方面，建议单位</w:t>
      </w:r>
      <w:r>
        <w:rPr>
          <w:rFonts w:ascii="仿宋_GB2312" w:eastAsia="仿宋_GB2312" w:cs="Times New Roman"/>
          <w:sz w:val="32"/>
          <w:szCs w:val="32"/>
        </w:rPr>
        <w:t>重视业务能力提升培训工作，通过多样化的培训形式，开展各类业务培训，全面提升</w:t>
      </w:r>
      <w:r>
        <w:rPr>
          <w:rFonts w:hint="eastAsia" w:ascii="仿宋_GB2312" w:eastAsia="仿宋_GB2312" w:cs="Times New Roman"/>
          <w:sz w:val="32"/>
          <w:szCs w:val="32"/>
        </w:rPr>
        <w:t>单位工作人员</w:t>
      </w:r>
      <w:r>
        <w:rPr>
          <w:rFonts w:ascii="仿宋_GB2312" w:eastAsia="仿宋_GB2312" w:cs="Times New Roman"/>
          <w:sz w:val="32"/>
          <w:szCs w:val="32"/>
        </w:rPr>
        <w:t>能力素质和服务水平，加强</w:t>
      </w:r>
      <w:r>
        <w:rPr>
          <w:rFonts w:hint="eastAsia" w:ascii="仿宋_GB2312" w:eastAsia="仿宋_GB2312" w:cs="Times New Roman"/>
          <w:sz w:val="32"/>
          <w:szCs w:val="32"/>
        </w:rPr>
        <w:t>工作人员</w:t>
      </w:r>
      <w:r>
        <w:rPr>
          <w:rFonts w:ascii="仿宋_GB2312" w:eastAsia="仿宋_GB2312" w:cs="Times New Roman"/>
          <w:sz w:val="32"/>
          <w:szCs w:val="32"/>
        </w:rPr>
        <w:t>自身建设</w:t>
      </w:r>
      <w:r>
        <w:rPr>
          <w:rFonts w:hint="eastAsia" w:ascii="仿宋_GB2312" w:eastAsia="仿宋_GB2312" w:cs="Times New Roman"/>
          <w:sz w:val="32"/>
          <w:szCs w:val="32"/>
        </w:rPr>
        <w:t>；另一方面，建议单位</w:t>
      </w:r>
      <w:r>
        <w:rPr>
          <w:rFonts w:ascii="仿宋_GB2312" w:eastAsia="仿宋_GB2312" w:cs="Times New Roman"/>
          <w:sz w:val="32"/>
          <w:szCs w:val="32"/>
        </w:rPr>
        <w:t>加强内部考核竞争，制定内部人员考核管理办法，</w:t>
      </w:r>
      <w:r>
        <w:rPr>
          <w:rFonts w:hint="eastAsia" w:ascii="仿宋_GB2312" w:eastAsia="仿宋_GB2312" w:cs="Times New Roman"/>
          <w:sz w:val="32"/>
          <w:szCs w:val="32"/>
        </w:rPr>
        <w:t>并将考核结果</w:t>
      </w:r>
      <w:r>
        <w:rPr>
          <w:rFonts w:ascii="仿宋_GB2312" w:eastAsia="仿宋_GB2312" w:cs="Times New Roman"/>
          <w:sz w:val="32"/>
          <w:szCs w:val="32"/>
        </w:rPr>
        <w:t>与绩效工资直接挂钩</w:t>
      </w:r>
      <w:r>
        <w:rPr>
          <w:rFonts w:hint="eastAsia" w:ascii="仿宋_GB2312" w:eastAsia="仿宋_GB2312" w:cs="Times New Roman"/>
          <w:sz w:val="32"/>
          <w:szCs w:val="32"/>
        </w:rPr>
        <w:t>，</w:t>
      </w:r>
      <w:r>
        <w:rPr>
          <w:rFonts w:ascii="仿宋_GB2312" w:eastAsia="仿宋_GB2312" w:cs="Times New Roman"/>
          <w:sz w:val="32"/>
          <w:szCs w:val="32"/>
        </w:rPr>
        <w:t>切实提升</w:t>
      </w:r>
      <w:r>
        <w:rPr>
          <w:rFonts w:hint="eastAsia" w:ascii="仿宋_GB2312" w:eastAsia="仿宋_GB2312" w:cs="Times New Roman"/>
          <w:sz w:val="32"/>
          <w:szCs w:val="32"/>
        </w:rPr>
        <w:t>工作人员</w:t>
      </w:r>
      <w:r>
        <w:rPr>
          <w:rFonts w:ascii="仿宋_GB2312" w:eastAsia="仿宋_GB2312" w:cs="Times New Roman"/>
          <w:sz w:val="32"/>
          <w:szCs w:val="32"/>
        </w:rPr>
        <w:t>工作效能</w:t>
      </w:r>
      <w:r>
        <w:rPr>
          <w:rFonts w:hint="eastAsia" w:ascii="仿宋_GB2312" w:eastAsia="仿宋_GB2312" w:cs="Times New Roman"/>
          <w:sz w:val="32"/>
          <w:szCs w:val="32"/>
        </w:rPr>
        <w:t>。再一方面，建议单位</w:t>
      </w:r>
      <w:r>
        <w:rPr>
          <w:rFonts w:ascii="仿宋_GB2312" w:eastAsia="仿宋_GB2312" w:cs="Times New Roman"/>
          <w:sz w:val="32"/>
          <w:szCs w:val="32"/>
        </w:rPr>
        <w:t>健全完善协同工作机制，如建立共享互通的信息机制、项目评估机制、督察通报制度等，发挥</w:t>
      </w:r>
      <w:r>
        <w:rPr>
          <w:rFonts w:hint="eastAsia" w:ascii="仿宋_GB2312" w:eastAsia="仿宋_GB2312" w:cs="Times New Roman"/>
          <w:sz w:val="32"/>
          <w:szCs w:val="32"/>
        </w:rPr>
        <w:t>单位工作</w:t>
      </w:r>
      <w:r>
        <w:rPr>
          <w:rFonts w:ascii="仿宋_GB2312" w:eastAsia="仿宋_GB2312" w:cs="Times New Roman"/>
          <w:sz w:val="32"/>
          <w:szCs w:val="32"/>
        </w:rPr>
        <w:t>队伍的最大效应</w:t>
      </w:r>
      <w:r>
        <w:rPr>
          <w:rFonts w:hint="eastAsia" w:ascii="仿宋_GB2312" w:eastAsia="仿宋_GB2312" w:cs="Times New Roman"/>
          <w:sz w:val="32"/>
          <w:szCs w:val="32"/>
        </w:rPr>
        <w:t>。</w:t>
      </w:r>
    </w:p>
    <w:p>
      <w:pPr>
        <w:snapToGrid/>
        <w:spacing w:after="0" w:line="560" w:lineRule="exact"/>
        <w:ind w:firstLine="640" w:firstLineChars="200"/>
        <w:jc w:val="both"/>
        <w:rPr>
          <w:rFonts w:hint="eastAsia" w:ascii="楷体_GB2312" w:hAnsi="Times New Roman" w:eastAsia="楷体_GB2312" w:cs="Times New Roman"/>
          <w:bCs/>
          <w:sz w:val="32"/>
          <w:szCs w:val="32"/>
        </w:rPr>
      </w:pPr>
      <w:r>
        <w:rPr>
          <w:rFonts w:hint="eastAsia" w:ascii="楷体_GB2312" w:hAnsi="Times New Roman" w:eastAsia="楷体_GB2312" w:cs="Times New Roman"/>
          <w:bCs/>
          <w:sz w:val="32"/>
          <w:szCs w:val="32"/>
        </w:rPr>
        <w:t>（二）预算管理方面</w:t>
      </w:r>
    </w:p>
    <w:p>
      <w:pPr>
        <w:snapToGrid/>
        <w:spacing w:after="0" w:line="560" w:lineRule="exact"/>
        <w:ind w:firstLine="640" w:firstLineChars="200"/>
        <w:jc w:val="both"/>
        <w:rPr>
          <w:rFonts w:ascii="仿宋_GB2312" w:eastAsia="仿宋_GB2312" w:cs="Times New Roman"/>
          <w:sz w:val="32"/>
          <w:szCs w:val="32"/>
        </w:rPr>
      </w:pPr>
      <w:r>
        <w:rPr>
          <w:rFonts w:ascii="仿宋_GB2312" w:eastAsia="仿宋_GB2312" w:cs="Times New Roman"/>
          <w:sz w:val="32"/>
          <w:szCs w:val="32"/>
        </w:rPr>
        <w:t>建立并完善项目支出成本控制标准</w:t>
      </w:r>
      <w:r>
        <w:rPr>
          <w:rFonts w:hint="eastAsia" w:ascii="仿宋_GB2312" w:eastAsia="仿宋_GB2312"/>
          <w:sz w:val="32"/>
          <w:szCs w:val="32"/>
        </w:rPr>
        <w:t>。</w:t>
      </w:r>
      <w:r>
        <w:rPr>
          <w:rFonts w:ascii="仿宋_GB2312" w:eastAsia="仿宋_GB2312" w:cs="Times New Roman"/>
          <w:sz w:val="32"/>
          <w:szCs w:val="32"/>
        </w:rPr>
        <w:t>为充分发挥项目支出标准在预算编制和管理中的基础支撑作用，建议单位根据《国务院关于进一步深化预算管理制度改革的意见》（国发〔2021〕5号）、《山东省财政厅关于印发&lt;山东省省级预算支出标准建设管理暂行办法&gt;的通知》（鲁财预〔2019〕28号）等文件要求，结合公共服务状况、支出成本差异、财政承受能力等因素，紧扣项目支出预算管理实际需求，因地制宜制定地方标准，构建内容完整、结构优化、定额科学、程序规范的标准体系，加强重大决策部署财力保障，合理安排支出预算规模，大力优化财政支出结构，完善财政资金直达机制，推进支出标准体系建设，规范预算支出管理，推进财政支出标准化。</w:t>
      </w:r>
      <w:r>
        <w:rPr>
          <w:rFonts w:hint="eastAsia" w:ascii="仿宋_GB2312" w:eastAsia="仿宋_GB2312" w:cs="Times New Roman"/>
          <w:sz w:val="32"/>
          <w:szCs w:val="32"/>
        </w:rPr>
        <w:t>在下年度预算安排方面，建议严格控制会议费、培训费支出，积极运用电视电话、网络视频等方式召开会议、开展培训，压减会议和培训支出，避免再出现会议费、培训费同比上年增长幅度较大的情况。另外，在预算支出管控方面，建议加强对各支出环节的监控力度，及时发现可能存在的风险，采取有效措施加强控制。</w:t>
      </w:r>
    </w:p>
    <w:p>
      <w:pPr>
        <w:snapToGrid/>
        <w:spacing w:after="0" w:line="560" w:lineRule="exact"/>
        <w:ind w:firstLine="640" w:firstLineChars="200"/>
        <w:jc w:val="both"/>
        <w:rPr>
          <w:rFonts w:hint="eastAsia" w:ascii="楷体_GB2312" w:hAnsi="Times New Roman" w:eastAsia="楷体_GB2312" w:cs="Times New Roman"/>
          <w:bCs/>
          <w:sz w:val="32"/>
          <w:szCs w:val="32"/>
        </w:rPr>
      </w:pPr>
      <w:r>
        <w:rPr>
          <w:rFonts w:hint="eastAsia" w:ascii="楷体_GB2312" w:hAnsi="Times New Roman" w:eastAsia="楷体_GB2312" w:cs="Times New Roman"/>
          <w:bCs/>
          <w:sz w:val="32"/>
          <w:szCs w:val="32"/>
        </w:rPr>
        <w:t>（三）绩效管理方面</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深化部门绩效目标管理，提升部门绩效目标管理水平</w:t>
      </w:r>
      <w:r>
        <w:rPr>
          <w:rFonts w:hint="eastAsia" w:ascii="仿宋_GB2312" w:eastAsia="仿宋_GB2312"/>
          <w:sz w:val="32"/>
          <w:szCs w:val="32"/>
        </w:rPr>
        <w:t>。</w:t>
      </w:r>
      <w:r>
        <w:rPr>
          <w:rFonts w:hint="eastAsia" w:ascii="仿宋_GB2312" w:eastAsia="仿宋_GB2312" w:cs="Times New Roman"/>
          <w:sz w:val="32"/>
          <w:szCs w:val="32"/>
        </w:rPr>
        <w:t>部门整体绩效目标是预算部门（单位）基本支出和项目支出共同作用达到的绩效结果。绩效目标管理是全过程预算绩效管理的基础和源头。首先，建议部门在以后年度根据部门职责，针对部门预算整体绩效目标，依据本行业目标、特点和具体要求，结合部门特点、经济社会发展需要、发展规划等，根据财政预算绩效管理的相关要求，统筹设定部门年度预算绩效目标，确保绩效目标做到全面、完整、准确，涵盖部门核心职责和重点工作或最能体现项目目标实现程度的关键目标。加强绩效目标设置的规范性，合理制定绩效目标、绩效指标值。其次，建议部门内部制定严格的预算工作执行绩效标准，部门内部的工作人员之间要加强交流，确保数据信息的准确性。最后，建议部门采取多种形式开展绩效管理宣传，强化绩效管理理念，完善绩效管理工作规程，提高绩效管理水平，通过加强宣传、组织培训等方式提高工作人员的绩效认知及绩效管理水平。</w:t>
      </w:r>
    </w:p>
    <w:p>
      <w:pPr>
        <w:snapToGrid/>
        <w:spacing w:after="0" w:line="560" w:lineRule="exact"/>
        <w:ind w:firstLine="640" w:firstLineChars="200"/>
        <w:jc w:val="both"/>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（四）履职效能方面</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1.制定突发事件应急预案，不断提高部门处置能力及快速反应能力</w:t>
      </w:r>
      <w:r>
        <w:rPr>
          <w:rFonts w:hint="eastAsia" w:ascii="仿宋_GB2312" w:eastAsia="仿宋_GB2312"/>
          <w:sz w:val="32"/>
          <w:szCs w:val="32"/>
        </w:rPr>
        <w:t>。</w:t>
      </w:r>
      <w:r>
        <w:rPr>
          <w:rFonts w:hint="eastAsia" w:ascii="仿宋_GB2312" w:eastAsia="仿宋_GB2312" w:cs="Times New Roman"/>
          <w:sz w:val="32"/>
          <w:szCs w:val="32"/>
        </w:rPr>
        <w:t>一是坚持正确的工作导向，依规依法办事，深入化解矛盾纠纷，推动退役军人合理诉求及时得到解决。另外，加大对少数“任性维权”、危害社会稳定人员的惩治力度。无论是维护合法权益，还是反映问题表达诉求，都必须通过法定渠道进行。二是对重点群体、重点人员做好政策宣传，及时掌握动态，加大教育力度，加强教育疏导和稳控，切实把矛盾化解在萌芽和基层。三是对历年来退役军人信访事项建立台账，按照一人一策、一事一案的要求，理清底数，建档立卡，定期排查，及时掌握重点人员思想动态、动向和目前所在地，全面深入了解他们的实际生活状况，不断更新完善重点人员工作台账，落实工作责任。四是落实好生活补助政策，切实解决生活困难，对生活特别困难的，采取走访慰问、临时救助等措施给予妥善解决。五是完善舆情信息联动机制，加强舆情监测研判，对苗头性、倾向性问题早发现、早预警、早处置，保持社会大局和谐稳定。通过上述措施建立完善突发事件应急处置机制，不断提高部门处置能力及快速反应能力，最大程度地预防和减少突发性事件，妥善处理突出问题和群体性事件。</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2.加强信息化建设，提高服务站工作人员专业素养</w:t>
      </w:r>
      <w:r>
        <w:rPr>
          <w:rFonts w:hint="eastAsia" w:ascii="仿宋_GB2312" w:eastAsia="仿宋_GB2312"/>
          <w:sz w:val="32"/>
          <w:szCs w:val="32"/>
        </w:rPr>
        <w:t>。</w:t>
      </w:r>
      <w:r>
        <w:rPr>
          <w:rFonts w:hint="eastAsia" w:ascii="仿宋_GB2312" w:eastAsia="仿宋_GB2312" w:cs="Times New Roman"/>
          <w:sz w:val="32"/>
          <w:szCs w:val="32"/>
        </w:rPr>
        <w:t>一方面，基层服务站应加强信息化建设，提升服务效能。可以利用互联网和移动通信技术，建立统一的管理平台，方便退役军人查询个人档案和相关政策，提供便捷的服务申请和咨询渠道。同时，还可以通过信息化手段，提高服务站对退役军人需求的洞察力，及时调整服务内容和方式。加强对工作人员的选拔、培训和管理，提高他们的专业素养和服务能力。另一方面，在选拔人员方面，建议优先考虑退役军人及其亲属，他们有丰富的军事经验和对退役军人问题的理解。在培训方面，应根据不同的职能要求设置培训内容，并加强对法律法规、心理咨询、职业技能等方面的培训，提高服务站人员的专业素养。最后，建立健全相应的政策和法规，明确基层服务站的职责和权益，确保其能够顺利运行和发展。</w:t>
      </w:r>
    </w:p>
    <w:p>
      <w:pPr>
        <w:snapToGrid/>
        <w:spacing w:after="0" w:line="560" w:lineRule="exact"/>
        <w:ind w:firstLine="640" w:firstLineChars="200"/>
        <w:jc w:val="both"/>
        <w:rPr>
          <w:rFonts w:ascii="仿宋_GB2312" w:eastAsia="仿宋_GB2312"/>
          <w:sz w:val="32"/>
          <w:szCs w:val="32"/>
        </w:rPr>
      </w:pPr>
      <w:r>
        <w:rPr>
          <w:rFonts w:hint="eastAsia" w:ascii="仿宋_GB2312" w:eastAsia="仿宋_GB2312" w:cs="Times New Roman"/>
          <w:sz w:val="32"/>
          <w:szCs w:val="32"/>
        </w:rPr>
        <w:t>3.研究制定促进退役军人就业创业工作措施，拓宽就业创业渠道</w:t>
      </w:r>
      <w:r>
        <w:rPr>
          <w:rFonts w:hint="eastAsia" w:ascii="仿宋_GB2312" w:eastAsia="仿宋_GB2312"/>
          <w:sz w:val="32"/>
          <w:szCs w:val="32"/>
        </w:rPr>
        <w:t>。</w:t>
      </w:r>
      <w:r>
        <w:rPr>
          <w:rFonts w:hint="eastAsia" w:ascii="仿宋_GB2312" w:eastAsia="仿宋_GB2312" w:cs="Times New Roman"/>
          <w:sz w:val="32"/>
          <w:szCs w:val="32"/>
        </w:rPr>
        <w:t>一是推进特色化培训。通过问卷调查、职业规划评测等方式，准确掌握退役军人教育培训需求，针对退役军人自身特长、就业培训意愿和市场用工需求，结合不同兵种特点、不同专业需求、不同人员基础，精准制定教育培训计划，组织职业技能培训。二是建立健全退役军人培训工作档案，跟踪退役军人训后就业情况，将参训退役军人考取相应证书获取率、推荐就业成功率与承训资格和培训经费拨付挂钩，推出一批市场潜力大、含金量高、受退役军人欢迎的培训项目。三是拓宽培训渠道，通过开展个性化培训、专业性培训等形式，增强教育培训的实效性。深入挖掘岗位需求，拓宽就业领域和范围，打造具有时代特色、符合退役军人特点的网络教育培训平台，整合社会优质资源，向退役士兵延伸服务。四是对下岗失业的退役军人，及时纳入失业人员职业技能培训范围，提高其就业能力和技能水平，实现退役军人社会适应能力和职业技能双提升。</w:t>
      </w: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ind w:firstLine="640" w:firstLineChars="200"/>
        <w:jc w:val="both"/>
        <w:rPr>
          <w:rFonts w:ascii="仿宋_GB2312" w:eastAsia="仿宋_GB2312"/>
          <w:sz w:val="32"/>
          <w:szCs w:val="32"/>
        </w:rPr>
      </w:pPr>
    </w:p>
    <w:p>
      <w:pPr>
        <w:snapToGrid/>
        <w:spacing w:after="0" w:line="560" w:lineRule="exact"/>
        <w:jc w:val="center"/>
        <w:rPr>
          <w:rFonts w:ascii="方正小标宋简体" w:eastAsia="方正小标宋简体"/>
          <w:sz w:val="44"/>
          <w:szCs w:val="44"/>
        </w:rPr>
      </w:pPr>
      <w:r>
        <w:rPr>
          <w:rFonts w:hint="eastAsia" w:ascii="方正小标宋简体" w:eastAsia="方正小标宋简体"/>
          <w:sz w:val="44"/>
          <w:szCs w:val="44"/>
        </w:rPr>
        <w:t>2022年度临淄区交通运输局</w:t>
      </w:r>
    </w:p>
    <w:p>
      <w:pPr>
        <w:snapToGrid/>
        <w:spacing w:after="0" w:line="560" w:lineRule="exact"/>
        <w:jc w:val="center"/>
        <w:rPr>
          <w:rFonts w:ascii="方正小标宋简体" w:eastAsia="方正小标宋简体"/>
          <w:sz w:val="44"/>
          <w:szCs w:val="44"/>
        </w:rPr>
      </w:pPr>
      <w:r>
        <w:rPr>
          <w:rFonts w:hint="eastAsia" w:ascii="方正小标宋简体" w:eastAsia="方正小标宋简体"/>
          <w:sz w:val="44"/>
          <w:szCs w:val="44"/>
        </w:rPr>
        <w:t>部门整体绩效评价报告</w:t>
      </w:r>
    </w:p>
    <w:p>
      <w:pPr>
        <w:snapToGrid/>
        <w:spacing w:after="0" w:line="560" w:lineRule="exact"/>
        <w:ind w:firstLine="480" w:firstLineChars="150"/>
        <w:jc w:val="both"/>
        <w:rPr>
          <w:rFonts w:eastAsia="黑体" w:cs="Times New Roman"/>
          <w:sz w:val="32"/>
          <w:szCs w:val="32"/>
        </w:rPr>
      </w:pPr>
    </w:p>
    <w:p>
      <w:pPr>
        <w:snapToGrid/>
        <w:spacing w:after="0" w:line="560" w:lineRule="exact"/>
        <w:ind w:firstLine="640" w:firstLineChars="200"/>
        <w:jc w:val="both"/>
        <w:rPr>
          <w:rFonts w:eastAsia="黑体" w:cs="Times New Roman"/>
          <w:sz w:val="32"/>
          <w:szCs w:val="32"/>
        </w:rPr>
      </w:pPr>
      <w:r>
        <w:rPr>
          <w:rFonts w:hint="eastAsia" w:eastAsia="黑体" w:cs="Times New Roman"/>
          <w:sz w:val="32"/>
          <w:szCs w:val="32"/>
        </w:rPr>
        <w:t>一、部门概述</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临淄区交通运输局（以下简称区交通运输局）是区政府正科级工作部门。区交通运输局作为促进全区交通运输事业发展的主管部门，主要负责贯彻执行交通运输工作法律法规和有关地方性法规、政府规章，拟订公路、水路、地方铁路行业发展的政策、规划和计划并监督实施等，下设8个内设机构和3个事业单位，机关行政编制18名、事业编制97名、工勤编制1名，合计116名。</w:t>
      </w:r>
    </w:p>
    <w:p>
      <w:pPr>
        <w:snapToGrid/>
        <w:spacing w:after="0" w:line="560" w:lineRule="exact"/>
        <w:ind w:firstLine="640" w:firstLineChars="200"/>
        <w:jc w:val="both"/>
        <w:rPr>
          <w:rFonts w:eastAsia="黑体" w:cs="Times New Roman"/>
          <w:sz w:val="32"/>
          <w:szCs w:val="32"/>
        </w:rPr>
      </w:pPr>
      <w:r>
        <w:rPr>
          <w:rFonts w:hint="eastAsia" w:eastAsia="黑体" w:cs="Times New Roman"/>
          <w:sz w:val="32"/>
          <w:szCs w:val="32"/>
        </w:rPr>
        <w:t>二、评价结论和绩效分析</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（一）评价结论</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整体绩效目标方面，区交通运输局按要求编制了整体战略目标及年度绩效目标，绩效目标编制主要涉及安全管理、客运管理、地方道路养护管理、交通监察执法和队伍规范化建设、交通监察执法管理、公路建设等6个方面，但未将当年农村公路平交路口及铁路道口交通隐患整治、货物运输工作纳入部门年度整体绩效目标，整体绩效目标编制不够全面。</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资源配置方面，预算申报、审核、决策程序合规；部门整体预算执行情况良好，但部门预决算差异率及政府采购预算编制差异率较大，个别项目账务处理不及时。部门预算绩效管理工作开展及时，绩效目标、绩效监控等能够实现项目全覆盖，但未制定预算绩效管理制度，部分项目绩效指标设置错误或不全。</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部门管理方面，区交通运输局固定资产配置、处置流程合规，政府采购执行率较好，但存在未进行年末清查盘点，未制定政府采购、档案管理等相关业务制度，内控风险评估机制不够健全。</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运行成本控制方面，区交通运输局公用经费、“三公”经费、培训费、会议费、项目支出控制情况良好。</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履职效能方面，通过对区交通运输局综合考察，该部门在职责履行方面，监督分工合理、运行顺畅；业务工作方面，该部门上级政策执行扎实有力，本级政策制定符合区域经济发展实际。但存在部分工作任务未完全达到预期目标的问题。</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可持续发展能力及满意度方面，区交通运输局在推进城乡一体化发展、制定实施路长制方面不断创新，并建立了相应的机制和保障措施，成果显著。</w:t>
      </w:r>
    </w:p>
    <w:p>
      <w:pPr>
        <w:snapToGrid/>
        <w:spacing w:after="0" w:line="560" w:lineRule="exact"/>
        <w:ind w:firstLine="640" w:firstLineChars="200"/>
        <w:jc w:val="both"/>
        <w:rPr>
          <w:rFonts w:eastAsia="黑体" w:cs="Times New Roman"/>
          <w:sz w:val="32"/>
          <w:szCs w:val="32"/>
        </w:rPr>
      </w:pPr>
      <w:r>
        <w:rPr>
          <w:rFonts w:hint="eastAsia" w:ascii="楷体_GB2312" w:eastAsia="楷体_GB2312"/>
          <w:bCs/>
          <w:sz w:val="32"/>
          <w:szCs w:val="32"/>
        </w:rPr>
        <w:t>（二）绩效分析</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临淄区交通运输局2022年部门整体支出绩效评价项目的最终得分为82.39分，绩效评价等级为“良”。</w:t>
      </w:r>
    </w:p>
    <w:p>
      <w:pPr>
        <w:snapToGrid/>
        <w:spacing w:after="0" w:line="560" w:lineRule="exact"/>
        <w:ind w:firstLine="640" w:firstLineChars="200"/>
        <w:jc w:val="both"/>
        <w:rPr>
          <w:rFonts w:eastAsia="黑体" w:cs="Times New Roman"/>
          <w:sz w:val="32"/>
          <w:szCs w:val="32"/>
        </w:rPr>
      </w:pPr>
      <w:r>
        <w:rPr>
          <w:rFonts w:hint="eastAsia" w:eastAsia="黑体" w:cs="Times New Roman"/>
          <w:sz w:val="32"/>
          <w:szCs w:val="32"/>
        </w:rPr>
        <w:t>三、主要经验和做法</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（一）构建内联外畅交通格局，实现交通基础设施一体化</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依托境内胶济铁路、济青高铁两条高速铁路，临淄区建成投用了临淄高铁北站，启动了临淄火车站改造，建成投用后，与临淄高铁北站南北遥相呼应，为城市发展带来更大机遇。区内济青高速和即将建成通车的沾临高速共同构建“十字形”高速路网，“两高三环八纵十二横”公路主骨架路网初见雏形，加速融入济淄一体化和山东省会经济圈发展战略。</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围绕“建设好、管理好、养护好、运营好”的“四好农村路”目标，临淄区深入推进“四好农村路”基础设施建设，全区农村公路里程达到1658公里，建制村道硬化路率为100%。按照“县道县管、乡道乡管、村道村管”的原则，夯实农村公路养护主体责任，农村公路列养率达到100%，优良路率达到72.9%。2022年成功入选“四好农村路”全国示范县创建名单。</w:t>
      </w:r>
    </w:p>
    <w:p>
      <w:pPr>
        <w:snapToGrid/>
        <w:spacing w:after="0" w:line="560" w:lineRule="exact"/>
        <w:ind w:firstLine="640" w:firstLineChars="200"/>
        <w:jc w:val="both"/>
        <w:rPr>
          <w:b/>
          <w:bCs/>
          <w:sz w:val="32"/>
          <w:szCs w:val="32"/>
        </w:rPr>
      </w:pPr>
      <w:r>
        <w:rPr>
          <w:rFonts w:hint="eastAsia" w:ascii="楷体_GB2312" w:eastAsia="楷体_GB2312"/>
          <w:bCs/>
          <w:sz w:val="32"/>
          <w:szCs w:val="32"/>
        </w:rPr>
        <w:t>（二）加快公共交通普惠共享，实现城乡客运服务一体化</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以优先发展公共交通作为转变城乡交通发展方式、提升人民群众幸福指数的战略举措，临淄区全面构建起以城区为中心，辐射镇街、连接村居的一体化全域公交网络，形成了以常规线路为主，旅游专线、定制线路为辅的多层次公交服务体系。目前全区共有公交线路35条，公交站点1018个，建成区范围内公交站点500米半径覆盖率93%，行政村公交站点覆盖率100%。与文旅协同发展、深度融合，定时、定点、定线的公交车开进田间地头千村万户，带动了乡村产业、文化旅游的繁荣，加速了城乡居民流动和生产资料的互通。</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（三）提升城乡物流服务能力，实现客货邮一体化</w:t>
      </w:r>
    </w:p>
    <w:p>
      <w:pPr>
        <w:pStyle w:val="11"/>
        <w:snapToGrid/>
        <w:spacing w:line="560" w:lineRule="exact"/>
        <w:ind w:firstLine="640"/>
        <w:rPr>
          <w:rFonts w:hint="default" w:ascii="仿宋_GB2312" w:hAnsi="Tahoma" w:eastAsia="仿宋_GB2312"/>
          <w:kern w:val="0"/>
          <w:sz w:val="32"/>
          <w:szCs w:val="32"/>
        </w:rPr>
      </w:pPr>
      <w:r>
        <w:rPr>
          <w:rFonts w:ascii="仿宋_GB2312" w:hAnsi="Tahoma" w:eastAsia="仿宋_GB2312"/>
          <w:kern w:val="0"/>
          <w:sz w:val="32"/>
          <w:szCs w:val="32"/>
        </w:rPr>
        <w:t>临淄区现有规模以上工业企业345家，全区共有货物运输企业347家，货运车辆10101台，占淄博市的30%。正本物流集团的淄博鲁中旱码头化工产品海铁管多式联运“一单制”试点工程入选2022年全省多式联运“一单制”试点工程。投资1.32亿元建设区级物流分拨中心，建立“齐速达”快递品牌，推进全区快递统仓共配，探索开展客运车辆代送邮件快件，满足农产品进城和生产生活资料下乡双向流通需求，推动交通、邮政、快递网络节点共建共享、运力资源互用互补，畅通城乡快递运输“最后一公里”。2022年被评为山东省农村客货邮融合发展样板县。</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（四）健全交通运输智慧体系，实现行业监管一体化</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区交通运输局利用“互联网+”技术，建成并投用9处治超非现场执法系统，基本实现了辖区国省道、重点县道全覆盖。公共交通实行智能调度和实时监控，根据道路交通情况及时优化调配班次，提升运行效率，确保运行安全。整合道路运政、“两客一危”动态监控、非现场执法、城市公交、巡游出租车监管等多个系统信息资源，建设智慧交通综合管理服务平台，构建综合交通运输“数字大脑”，提升交通运输领域综合指挥调度、风险防范预警、事件应对处置和服务科学决策水平。</w:t>
      </w:r>
    </w:p>
    <w:p>
      <w:pPr>
        <w:snapToGrid/>
        <w:spacing w:after="0" w:line="560" w:lineRule="exact"/>
        <w:ind w:firstLine="640" w:firstLineChars="200"/>
        <w:jc w:val="both"/>
        <w:rPr>
          <w:rFonts w:eastAsia="黑体" w:cs="Times New Roman"/>
          <w:sz w:val="32"/>
          <w:szCs w:val="32"/>
        </w:rPr>
      </w:pPr>
      <w:r>
        <w:rPr>
          <w:rFonts w:hint="eastAsia" w:eastAsia="黑体" w:cs="Times New Roman"/>
          <w:sz w:val="32"/>
          <w:szCs w:val="32"/>
        </w:rPr>
        <w:t>四、存在问题</w:t>
      </w:r>
    </w:p>
    <w:p>
      <w:pPr>
        <w:snapToGrid/>
        <w:spacing w:after="0" w:line="560" w:lineRule="exact"/>
        <w:ind w:firstLine="640" w:firstLineChars="200"/>
        <w:jc w:val="both"/>
        <w:rPr>
          <w:b/>
          <w:bCs/>
          <w:sz w:val="32"/>
          <w:szCs w:val="32"/>
        </w:rPr>
      </w:pPr>
      <w:r>
        <w:rPr>
          <w:rFonts w:hint="eastAsia" w:ascii="楷体_GB2312" w:eastAsia="楷体_GB2312"/>
          <w:bCs/>
          <w:sz w:val="32"/>
          <w:szCs w:val="32"/>
        </w:rPr>
        <w:t>（一）内控管理工作有待完善</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1.内控制度不完善：区交通运输局未制定政府采购、档案管理、预算绩效管理等相关业务制度，无法为各项工作开展提供有效依据和约束。</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2.部门存在内控风险：一是单位未健全完善风险评估机制；二是单位的部分内部控制关键岗位未建立轮岗机制。</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（二）固定资产管理水平有待提高</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市财政局《关于加强行政事业单位固定资产管理的通知》中规定：“定期对固定资产进行清查盘点，每年至少盘点一次”。区交通运输局《固定资产管理制度》中要求：“局属各单位、机关各科室使用的固定资产应每年进行一次自查”。但该部门2022年未进行资产清查盘点工作，不能及时掌握资产的盈亏状况及使用状态，与市财政局文件要求及本部门的相关要求不符。</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（三）部分工作任务完成情况未达预期目标</w:t>
      </w:r>
    </w:p>
    <w:p>
      <w:pPr>
        <w:pStyle w:val="19"/>
        <w:snapToGrid/>
        <w:spacing w:line="560" w:lineRule="exact"/>
        <w:rPr>
          <w:rFonts w:ascii="仿宋_GB2312" w:hAnsi="Tahoma" w:eastAsia="仿宋_GB2312" w:cs="Times New Roman"/>
          <w:kern w:val="0"/>
          <w:sz w:val="32"/>
          <w:szCs w:val="32"/>
        </w:rPr>
      </w:pPr>
      <w:r>
        <w:rPr>
          <w:rFonts w:hint="eastAsia" w:ascii="仿宋_GB2312" w:hAnsi="Tahoma" w:eastAsia="仿宋_GB2312" w:cs="Times New Roman"/>
          <w:kern w:val="0"/>
          <w:sz w:val="32"/>
          <w:szCs w:val="32"/>
        </w:rPr>
        <w:t>2022年，区交通运输局大部分工作任务能够按照计划按时完成建设，但也存在以下问题：</w:t>
      </w:r>
    </w:p>
    <w:p>
      <w:pPr>
        <w:pStyle w:val="19"/>
        <w:snapToGrid/>
        <w:spacing w:line="560" w:lineRule="exact"/>
        <w:rPr>
          <w:rFonts w:ascii="仿宋_GB2312" w:hAnsi="Tahoma" w:eastAsia="仿宋_GB2312" w:cs="Times New Roman"/>
          <w:kern w:val="0"/>
          <w:sz w:val="32"/>
          <w:szCs w:val="32"/>
        </w:rPr>
      </w:pPr>
      <w:r>
        <w:rPr>
          <w:rFonts w:hint="eastAsia" w:ascii="仿宋_GB2312" w:hAnsi="Tahoma" w:eastAsia="仿宋_GB2312" w:cs="Times New Roman"/>
          <w:kern w:val="0"/>
          <w:sz w:val="32"/>
          <w:szCs w:val="32"/>
        </w:rPr>
        <w:t>1.2022年，区交通运输局计划实施溡源路北延工程，但溡源路北延因存在地下文物，手续无法办理，已推迟项目进度。截至报告日项目未实施。</w:t>
      </w:r>
    </w:p>
    <w:p>
      <w:pPr>
        <w:pStyle w:val="19"/>
        <w:snapToGrid/>
        <w:spacing w:line="560" w:lineRule="exact"/>
        <w:rPr>
          <w:rFonts w:ascii="仿宋_GB2312" w:hAnsi="Tahoma" w:eastAsia="仿宋_GB2312" w:cs="Times New Roman"/>
          <w:kern w:val="0"/>
          <w:sz w:val="32"/>
          <w:szCs w:val="32"/>
        </w:rPr>
      </w:pPr>
      <w:r>
        <w:rPr>
          <w:rFonts w:hint="eastAsia" w:ascii="仿宋_GB2312" w:hAnsi="Tahoma" w:eastAsia="仿宋_GB2312" w:cs="Times New Roman"/>
          <w:kern w:val="0"/>
          <w:sz w:val="32"/>
          <w:szCs w:val="32"/>
        </w:rPr>
        <w:t>2.区交通运输局年初计划年内完成路网延伸通达工程22.5公里，但实际完成路网延伸通达工程16.9公里，未达年初目标。</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（四）项目未按合同约定验收</w:t>
      </w:r>
    </w:p>
    <w:p>
      <w:pPr>
        <w:pStyle w:val="19"/>
        <w:snapToGrid/>
        <w:spacing w:line="560" w:lineRule="exact"/>
        <w:rPr>
          <w:rFonts w:ascii="仿宋_GB2312" w:hAnsi="Tahoma" w:eastAsia="仿宋_GB2312" w:cs="Times New Roman"/>
          <w:kern w:val="0"/>
          <w:sz w:val="32"/>
          <w:szCs w:val="32"/>
        </w:rPr>
      </w:pPr>
      <w:r>
        <w:rPr>
          <w:rFonts w:hint="eastAsia" w:ascii="仿宋_GB2312" w:hAnsi="Tahoma" w:eastAsia="仿宋_GB2312" w:cs="Times New Roman"/>
          <w:kern w:val="0"/>
          <w:sz w:val="32"/>
          <w:szCs w:val="32"/>
        </w:rPr>
        <w:t>临淄区农村公路平交路口及铁路道口交通隐患整治工程采购项目合同约定2023年2月28日竣工并经验收合格。截至报告日，项目已施工完成，但因竣工资料未整理完成，项目验收工作尚未开展。</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（五）部门预算、绩效管理水平及账务处理规范性有待提高</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1.预决算差异较大</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（1）政府采购预决算差异较大。2022年政府采购预算44.45万元，全部为政府采购货物预算。当年实际政府采购14.9万元。政府采购预算编制差异率为-66.48%。</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（2）部门预决算差异较大。2022年度部门决算支出合计数为84203.16万元，年初预算合计数为3064.58万元。部门预决算差异率为2647.62%。</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2.项目支出及部门整体绩效目标填报规范性及准确性不足</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1）项目支出绩效指标设置错误或不全。一是个别项目绩效指标设置错误，如“寿济路综合执法检查站专项资金项目”中时效指标设置为“完成率”、质量指标设置为“到位率”；二是个别项目绩效目标缺少满意度指标，如“临临高速占地罚款”项目。</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（2）整体绩效目标编制不够全面，未涵盖当年农村公路平交路口及铁路道口交通隐患整治、货物运输等工作。</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3.个别事项账务处理不及时</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区交通运输局个别项目账务处理不及时，一般公共预算中个别项目资金已退回国库，但未及时进行账务处理，导致一般公共预算收入的决算数4286.77万元与账载金额4287.16万元不符。</w:t>
      </w:r>
    </w:p>
    <w:p>
      <w:pPr>
        <w:snapToGrid/>
        <w:spacing w:after="0" w:line="560" w:lineRule="exact"/>
        <w:ind w:firstLine="640" w:firstLineChars="200"/>
        <w:jc w:val="both"/>
        <w:rPr>
          <w:rFonts w:eastAsia="黑体" w:cs="Times New Roman"/>
          <w:sz w:val="32"/>
          <w:szCs w:val="32"/>
        </w:rPr>
      </w:pPr>
      <w:r>
        <w:rPr>
          <w:rFonts w:hint="eastAsia" w:eastAsia="黑体" w:cs="Times New Roman"/>
          <w:sz w:val="32"/>
          <w:szCs w:val="32"/>
        </w:rPr>
        <w:t>五、相关建议</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（一）完善内控制度内容，有效防范内控风险</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内部控制制度是现代管理制度的重要组成部分，构建行政事业单位内部控制制度的根本目的是提高工作效率和推动行政事业单位内部管理水平。建议部门建立完善内控制度体系，根据国家、省、市最新政策、单位自身实际和发展战略，对内控制度内容进行调整和优化，制定满足最新政策、贴合单位需求，与单位内各科室工作相协调的内控制度体系；确定风险评估的目标和范围，制定风险评估流程，建立风险信息收集和分析机制，完善风险评估机制；明确内控目标、职责和流程，制定具体的工作指引和操作规程，确定关键岗位的轮岗周期和轮岗人员，并制定相应的轮岗计划。</w:t>
      </w:r>
    </w:p>
    <w:p>
      <w:pPr>
        <w:snapToGrid/>
        <w:spacing w:after="0" w:line="560" w:lineRule="exact"/>
        <w:ind w:firstLine="640" w:firstLineChars="200"/>
        <w:jc w:val="both"/>
        <w:rPr>
          <w:b/>
          <w:bCs/>
          <w:sz w:val="32"/>
          <w:szCs w:val="32"/>
        </w:rPr>
      </w:pPr>
      <w:r>
        <w:rPr>
          <w:rFonts w:hint="eastAsia" w:ascii="楷体_GB2312" w:eastAsia="楷体_GB2312"/>
          <w:bCs/>
          <w:sz w:val="32"/>
          <w:szCs w:val="32"/>
        </w:rPr>
        <w:t>（二）定期进行资产清查，保障国有资产安全</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建议部门按照《固定资产管理制度》要求，每年对部门固定资产进行实地盘点，填写“固定资产盘点明细表”。将盘点表和固定资产台账进行核对，出现盘盈、盘亏和固定资产现使用状态及资产台账记录的使用状态不相符合的，应由固定资产使用部门、办公室、财审科共同查明原因，并提出处理意见。</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（三）查找工作问题原因，筑牢工作坚实基础</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针对部分工作任务完成情况未达预期目标问题提出以下建议：</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一是对存在问题的项目、工作任务进行梳理，剖析落实存在问题的原因，将工作中存在的问题形成问题台账，从而制定相应的工作计划和整改措施。</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二是加强对项目建设的后期检查管理工作，尤其是加强巡查管理，采用摸底－维修－反馈－抽检－整改－复检－跟踪的管理模式，对存在问题的部分及时进行整改，监督施工单位按照施工图纸要求和投标文件承诺的标准进行相应的返工处理，并做好后期管护工作，保障项目成果质量。</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三是在后续工作中，科学合理地制定各项工作计划，定期核查进度，当进度晚于计划时，及时调整进度，倍道兼进，保证在计划期内完成预期目标，筑牢政府工作的坚实基础。</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（四）提高项目验收效率，规范验收程序</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针对项目未按合同约定验收问题提出以下建议：</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一是确保项目验收的标准和流程明确、透明，包括验收的具体指标、时间节点和相关文件准备等，避免模糊性和不必要的延误。</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二是根据项目的特点和需求，制定详细的验收计划，包括验收的时间安排、人员配备和验收内容等，提高验收的组织性和效率。</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三是建议部门建立完善的资料管理系统和与参与人员沟通等方式，有效提高项目验收前期资料的准备效率和质量，确保项目验收的顺利进行。</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四是建立健全验收反馈机制，及时收集、整理和处理各方的反馈意见和建议，不断改进验收流程，提高验收的质量和效率。</w:t>
      </w:r>
    </w:p>
    <w:p>
      <w:pPr>
        <w:snapToGrid/>
        <w:spacing w:after="0" w:line="560" w:lineRule="exact"/>
        <w:ind w:firstLine="640" w:firstLineChars="200"/>
        <w:jc w:val="both"/>
        <w:rPr>
          <w:rFonts w:ascii="楷体_GB2312" w:eastAsia="楷体_GB2312"/>
          <w:bCs/>
          <w:sz w:val="32"/>
          <w:szCs w:val="32"/>
        </w:rPr>
      </w:pPr>
      <w:r>
        <w:rPr>
          <w:rFonts w:hint="eastAsia" w:ascii="楷体_GB2312" w:eastAsia="楷体_GB2312"/>
          <w:bCs/>
          <w:sz w:val="32"/>
          <w:szCs w:val="32"/>
        </w:rPr>
        <w:t>（五）强化部门预算绩效和账务管理，保障财政资金使用效益</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一是科学编制部门预算。在编制预算时，既要综合考虑预算收入的来源、上年度预算填报与决算执行情况、行政运行和事业发展需要，又要兼顾财政承受能力，在认真调查研究，摸清情况的基础上，科学合理地编制年度部门预算；合理确定预算支出范围和方向，确保预算支出内容准确合理，有效反映预算资金使用的真实状况，以此提高预算编制及执行的精细化水平，保障财政资金的使用效益。</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二是规范设置绩效指标。首先，要与部门职能职责相对应，能够直接反映部门履职内容；其次，根据对部门职能的梳理，概括、提炼出能够反映工作职责的关键性指标；再次，设置能够准确、合理衡量绩效目标完成程度和尺度的指标，尽量定量设置；最后，精炼语句，准确且简明地表述所衡量的内容。</w:t>
      </w:r>
    </w:p>
    <w:p>
      <w:pPr>
        <w:snapToGrid/>
        <w:spacing w:after="0" w:line="560" w:lineRule="exact"/>
        <w:ind w:firstLine="640" w:firstLineChars="200"/>
        <w:jc w:val="both"/>
        <w:rPr>
          <w:rFonts w:ascii="仿宋_GB2312" w:eastAsia="仿宋_GB2312" w:cs="Times New Roman"/>
          <w:sz w:val="32"/>
          <w:szCs w:val="32"/>
        </w:rPr>
      </w:pPr>
      <w:r>
        <w:rPr>
          <w:rFonts w:hint="eastAsia" w:ascii="仿宋_GB2312" w:eastAsia="仿宋_GB2312" w:cs="Times New Roman"/>
          <w:sz w:val="32"/>
          <w:szCs w:val="32"/>
        </w:rPr>
        <w:t>三是及时、准确进行账务处理。账务处理人员在部门经济业务或事项发生时，及时按要求，准确、规范制证，以保证会计信息与所反映的经济业务在时间周期上保持一致，避免会计信息失去时效；定期进行业务培训，通过学习相关会计知识，提高会计理论水平、会计实务能力、职业判断能力、自动更新知识能力；财务审核人员认真履行职责，严格审查会计凭证，增强会计核算的准确性及规范性。</w:t>
      </w:r>
    </w:p>
    <w:p>
      <w:pPr>
        <w:snapToGrid/>
        <w:spacing w:after="0" w:line="560" w:lineRule="exact"/>
        <w:ind w:firstLine="640" w:firstLineChars="200"/>
        <w:jc w:val="both"/>
        <w:rPr>
          <w:rFonts w:ascii="仿宋_GB2312" w:eastAsia="仿宋_GB2312" w:cs="Times New Roman"/>
          <w:sz w:val="32"/>
          <w:szCs w:val="32"/>
        </w:rPr>
      </w:pPr>
    </w:p>
    <w:sectPr>
      <w:pgSz w:w="11906" w:h="16838"/>
      <w:pgMar w:top="1440" w:right="1083" w:bottom="1440" w:left="1083"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457A7"/>
    <w:multiLevelType w:val="singleLevel"/>
    <w:tmpl w:val="E2D457A7"/>
    <w:lvl w:ilvl="0" w:tentative="0">
      <w:start w:val="1"/>
      <w:numFmt w:val="decimal"/>
      <w:suff w:val="nothing"/>
      <w:lvlText w:val="%1、"/>
      <w:lvlJc w:val="left"/>
    </w:lvl>
  </w:abstractNum>
  <w:abstractNum w:abstractNumId="1">
    <w:nsid w:val="57481A32"/>
    <w:multiLevelType w:val="singleLevel"/>
    <w:tmpl w:val="57481A32"/>
    <w:lvl w:ilvl="0" w:tentative="0">
      <w:start w:val="1"/>
      <w:numFmt w:val="decimal"/>
      <w:lvlText w:val="%1."/>
      <w:lvlJc w:val="left"/>
      <w:pPr>
        <w:tabs>
          <w:tab w:val="left" w:pos="312"/>
        </w:tabs>
      </w:pPr>
    </w:lvl>
  </w:abstractNum>
  <w:abstractNum w:abstractNumId="2">
    <w:nsid w:val="65DD7579"/>
    <w:multiLevelType w:val="singleLevel"/>
    <w:tmpl w:val="65DD7579"/>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MGQxMTQ3ZGFjOGM3OWE0OWU1MmY5MjMzZmFlNmEifQ=="/>
  </w:docVars>
  <w:rsids>
    <w:rsidRoot w:val="00D31D50"/>
    <w:rsid w:val="00050147"/>
    <w:rsid w:val="000634A2"/>
    <w:rsid w:val="00064EAF"/>
    <w:rsid w:val="000711DD"/>
    <w:rsid w:val="00126945"/>
    <w:rsid w:val="0016424B"/>
    <w:rsid w:val="0017053B"/>
    <w:rsid w:val="001E73DC"/>
    <w:rsid w:val="002034F5"/>
    <w:rsid w:val="002277F2"/>
    <w:rsid w:val="002C216F"/>
    <w:rsid w:val="002F21C6"/>
    <w:rsid w:val="002F7927"/>
    <w:rsid w:val="003001B0"/>
    <w:rsid w:val="00300691"/>
    <w:rsid w:val="00306F59"/>
    <w:rsid w:val="00323285"/>
    <w:rsid w:val="00323B43"/>
    <w:rsid w:val="00383D01"/>
    <w:rsid w:val="003D37D8"/>
    <w:rsid w:val="003F6D59"/>
    <w:rsid w:val="00410C6C"/>
    <w:rsid w:val="00425B82"/>
    <w:rsid w:val="00426133"/>
    <w:rsid w:val="004358AB"/>
    <w:rsid w:val="00447C23"/>
    <w:rsid w:val="00461C89"/>
    <w:rsid w:val="004C0311"/>
    <w:rsid w:val="00520221"/>
    <w:rsid w:val="005305DA"/>
    <w:rsid w:val="0054222F"/>
    <w:rsid w:val="0057536B"/>
    <w:rsid w:val="005D6B43"/>
    <w:rsid w:val="006110D8"/>
    <w:rsid w:val="006A2372"/>
    <w:rsid w:val="006B785F"/>
    <w:rsid w:val="007957C8"/>
    <w:rsid w:val="007C5BA2"/>
    <w:rsid w:val="007E71AF"/>
    <w:rsid w:val="008432E3"/>
    <w:rsid w:val="0088081F"/>
    <w:rsid w:val="008B7726"/>
    <w:rsid w:val="008D1C89"/>
    <w:rsid w:val="00934670"/>
    <w:rsid w:val="0094056F"/>
    <w:rsid w:val="00975B3E"/>
    <w:rsid w:val="00996392"/>
    <w:rsid w:val="009B3078"/>
    <w:rsid w:val="009D5DF8"/>
    <w:rsid w:val="00A315D9"/>
    <w:rsid w:val="00A46512"/>
    <w:rsid w:val="00B24857"/>
    <w:rsid w:val="00B70589"/>
    <w:rsid w:val="00BC4DFA"/>
    <w:rsid w:val="00D259E6"/>
    <w:rsid w:val="00D31D50"/>
    <w:rsid w:val="00D63BD5"/>
    <w:rsid w:val="00D7576B"/>
    <w:rsid w:val="00DA5A5D"/>
    <w:rsid w:val="00DA75EF"/>
    <w:rsid w:val="00DB371A"/>
    <w:rsid w:val="00DC7B35"/>
    <w:rsid w:val="00E91CA6"/>
    <w:rsid w:val="00EB34EA"/>
    <w:rsid w:val="00EF2625"/>
    <w:rsid w:val="00F26ECF"/>
    <w:rsid w:val="00F71020"/>
    <w:rsid w:val="00F97281"/>
    <w:rsid w:val="00FD182D"/>
    <w:rsid w:val="033923C2"/>
    <w:rsid w:val="044C647B"/>
    <w:rsid w:val="076A3B02"/>
    <w:rsid w:val="08997B4A"/>
    <w:rsid w:val="0B0976F9"/>
    <w:rsid w:val="0C3C5A14"/>
    <w:rsid w:val="0D8B27AF"/>
    <w:rsid w:val="0DFD3A2F"/>
    <w:rsid w:val="0E394610"/>
    <w:rsid w:val="0EF32D02"/>
    <w:rsid w:val="108005C5"/>
    <w:rsid w:val="120538FB"/>
    <w:rsid w:val="1364253C"/>
    <w:rsid w:val="13896A1F"/>
    <w:rsid w:val="15161464"/>
    <w:rsid w:val="15424009"/>
    <w:rsid w:val="18E67433"/>
    <w:rsid w:val="1A493720"/>
    <w:rsid w:val="23B24AC2"/>
    <w:rsid w:val="269E30FB"/>
    <w:rsid w:val="28ED236C"/>
    <w:rsid w:val="2C8114F5"/>
    <w:rsid w:val="2DC32DE5"/>
    <w:rsid w:val="30FD4EC2"/>
    <w:rsid w:val="32C07FDC"/>
    <w:rsid w:val="35150A2C"/>
    <w:rsid w:val="36981915"/>
    <w:rsid w:val="37221294"/>
    <w:rsid w:val="39321EB8"/>
    <w:rsid w:val="3AAF547F"/>
    <w:rsid w:val="3C8A61A4"/>
    <w:rsid w:val="3C906C91"/>
    <w:rsid w:val="3D3E0D3C"/>
    <w:rsid w:val="3EB7402D"/>
    <w:rsid w:val="457277D5"/>
    <w:rsid w:val="47440A0F"/>
    <w:rsid w:val="4F61335F"/>
    <w:rsid w:val="518F6F1E"/>
    <w:rsid w:val="530C5752"/>
    <w:rsid w:val="53170FCA"/>
    <w:rsid w:val="56F93F54"/>
    <w:rsid w:val="59F64A21"/>
    <w:rsid w:val="5B461BB6"/>
    <w:rsid w:val="5B5042C5"/>
    <w:rsid w:val="5CDF71E6"/>
    <w:rsid w:val="6B3E3B32"/>
    <w:rsid w:val="6E99525C"/>
    <w:rsid w:val="709E3D80"/>
    <w:rsid w:val="72D761FB"/>
    <w:rsid w:val="769431A0"/>
    <w:rsid w:val="76B56870"/>
    <w:rsid w:val="77040325"/>
    <w:rsid w:val="7E431733"/>
    <w:rsid w:val="7E8E2BC8"/>
    <w:rsid w:val="7FB1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99"/>
    <w:pPr>
      <w:widowControl w:val="0"/>
      <w:adjustRightInd/>
      <w:snapToGrid/>
      <w:spacing w:after="0"/>
      <w:jc w:val="both"/>
    </w:pPr>
    <w:rPr>
      <w:rFonts w:ascii="Calibri" w:hAnsi="Calibri" w:eastAsia="宋体" w:cs="Times New Roman"/>
      <w:kern w:val="2"/>
      <w:sz w:val="21"/>
      <w:szCs w:val="24"/>
    </w:rPr>
  </w:style>
  <w:style w:type="paragraph" w:styleId="3">
    <w:name w:val="Body Text"/>
    <w:basedOn w:val="1"/>
    <w:semiHidden/>
    <w:unhideWhenUsed/>
    <w:qFormat/>
    <w:uiPriority w:val="99"/>
    <w:pPr>
      <w:widowControl w:val="0"/>
      <w:spacing w:after="0"/>
      <w:jc w:val="both"/>
    </w:pPr>
    <w:rPr>
      <w:rFonts w:ascii="Calibri" w:hAnsi="Calibri" w:cs="Times New Roman"/>
      <w:kern w:val="2"/>
      <w:sz w:val="21"/>
      <w:szCs w:val="21"/>
    </w:rPr>
  </w:style>
  <w:style w:type="paragraph" w:styleId="4">
    <w:name w:val="Body Text Indent"/>
    <w:basedOn w:val="1"/>
    <w:link w:val="17"/>
    <w:unhideWhenUsed/>
    <w:qFormat/>
    <w:uiPriority w:val="0"/>
    <w:pPr>
      <w:widowControl w:val="0"/>
      <w:adjustRightInd/>
      <w:snapToGrid/>
      <w:spacing w:after="120"/>
      <w:ind w:left="420" w:leftChars="200"/>
      <w:jc w:val="both"/>
    </w:pPr>
    <w:rPr>
      <w:rFonts w:ascii="Times New Roman" w:hAnsi="Times New Roman" w:eastAsia="宋体" w:cs="Times New Roman"/>
      <w:kern w:val="2"/>
      <w:sz w:val="21"/>
    </w:rPr>
  </w:style>
  <w:style w:type="paragraph" w:styleId="5">
    <w:name w:val="toc 1"/>
    <w:basedOn w:val="1"/>
    <w:next w:val="1"/>
    <w:semiHidden/>
    <w:unhideWhenUsed/>
    <w:qFormat/>
    <w:uiPriority w:val="39"/>
    <w:pPr>
      <w:widowControl w:val="0"/>
      <w:spacing w:before="120" w:after="120" w:line="360" w:lineRule="auto"/>
      <w:ind w:firstLine="200" w:firstLineChars="200"/>
    </w:pPr>
    <w:rPr>
      <w:rFonts w:ascii="Calibri" w:hAnsi="Calibri" w:cs="Times New Roman"/>
      <w:b/>
      <w:bCs/>
      <w:caps/>
      <w:kern w:val="2"/>
      <w:sz w:val="20"/>
      <w:szCs w:val="20"/>
    </w:rPr>
  </w:style>
  <w:style w:type="paragraph" w:styleId="6">
    <w:name w:val="Normal (Web)"/>
    <w:basedOn w:val="1"/>
    <w:semiHidden/>
    <w:unhideWhenUsed/>
    <w:qFormat/>
    <w:uiPriority w:val="99"/>
    <w:rPr>
      <w:sz w:val="24"/>
    </w:rPr>
  </w:style>
  <w:style w:type="paragraph" w:styleId="7">
    <w:name w:val="Title"/>
    <w:basedOn w:val="1"/>
    <w:qFormat/>
    <w:uiPriority w:val="0"/>
    <w:pPr>
      <w:widowControl w:val="0"/>
      <w:spacing w:after="0" w:line="360" w:lineRule="auto"/>
      <w:jc w:val="center"/>
      <w:outlineLvl w:val="0"/>
    </w:pPr>
    <w:rPr>
      <w:rFonts w:hint="eastAsia" w:ascii="华文中宋" w:hAnsi="Calibri Light" w:eastAsia="华文中宋" w:cs="Times New Roman"/>
      <w:b/>
      <w:bCs/>
      <w:kern w:val="2"/>
      <w:sz w:val="44"/>
      <w:szCs w:val="44"/>
    </w:rPr>
  </w:style>
  <w:style w:type="paragraph" w:customStyle="1" w:styleId="10">
    <w:name w:val="Table Paragraph"/>
    <w:basedOn w:val="1"/>
    <w:qFormat/>
    <w:uiPriority w:val="0"/>
    <w:pPr>
      <w:widowControl w:val="0"/>
      <w:autoSpaceDE w:val="0"/>
      <w:autoSpaceDN w:val="0"/>
      <w:adjustRightInd/>
      <w:snapToGrid/>
      <w:spacing w:after="0"/>
    </w:pPr>
    <w:rPr>
      <w:rFonts w:hint="eastAsia" w:ascii="宋体" w:hAnsi="宋体" w:eastAsia="宋体" w:cs="Times New Roman"/>
    </w:rPr>
  </w:style>
  <w:style w:type="paragraph" w:customStyle="1" w:styleId="11">
    <w:name w:val="报告正文"/>
    <w:basedOn w:val="1"/>
    <w:link w:val="18"/>
    <w:qFormat/>
    <w:uiPriority w:val="0"/>
    <w:pPr>
      <w:widowControl w:val="0"/>
      <w:spacing w:after="0" w:line="360" w:lineRule="auto"/>
      <w:ind w:firstLine="200" w:firstLineChars="200"/>
      <w:jc w:val="both"/>
    </w:pPr>
    <w:rPr>
      <w:rFonts w:hint="eastAsia" w:ascii="宋体" w:hAnsi="宋体" w:eastAsia="宋体" w:cs="Times New Roman"/>
      <w:kern w:val="2"/>
      <w:sz w:val="27"/>
      <w:szCs w:val="27"/>
    </w:rPr>
  </w:style>
  <w:style w:type="paragraph" w:customStyle="1" w:styleId="12">
    <w:name w:val="报告三级标题"/>
    <w:basedOn w:val="1"/>
    <w:qFormat/>
    <w:uiPriority w:val="0"/>
    <w:pPr>
      <w:adjustRightInd/>
      <w:spacing w:after="0" w:line="360" w:lineRule="auto"/>
      <w:ind w:firstLine="200" w:firstLineChars="200"/>
      <w:outlineLvl w:val="2"/>
    </w:pPr>
    <w:rPr>
      <w:rFonts w:hint="eastAsia" w:ascii="楷体" w:hAnsi="楷体" w:eastAsia="楷体" w:cs="Times New Roman"/>
      <w:b/>
      <w:kern w:val="2"/>
      <w:sz w:val="28"/>
      <w:szCs w:val="28"/>
    </w:rPr>
  </w:style>
  <w:style w:type="character" w:customStyle="1" w:styleId="13">
    <w:name w:val="10"/>
    <w:basedOn w:val="9"/>
    <w:qFormat/>
    <w:uiPriority w:val="0"/>
    <w:rPr>
      <w:rFonts w:hint="default" w:ascii="Calibri" w:hAnsi="Calibri" w:cs="Calibri"/>
    </w:rPr>
  </w:style>
  <w:style w:type="character" w:customStyle="1" w:styleId="14">
    <w:name w:val="15"/>
    <w:basedOn w:val="9"/>
    <w:qFormat/>
    <w:uiPriority w:val="0"/>
    <w:rPr>
      <w:rFonts w:hint="eastAsia" w:ascii="黑体" w:hAnsi="宋体" w:eastAsia="黑体" w:cs="黑体"/>
      <w:sz w:val="30"/>
      <w:szCs w:val="30"/>
    </w:rPr>
  </w:style>
  <w:style w:type="paragraph" w:customStyle="1" w:styleId="15">
    <w:name w:val="正文格式"/>
    <w:basedOn w:val="1"/>
    <w:qFormat/>
    <w:uiPriority w:val="0"/>
    <w:pPr>
      <w:adjustRightInd/>
      <w:snapToGrid/>
      <w:spacing w:after="0" w:line="360" w:lineRule="auto"/>
      <w:ind w:firstLine="200" w:firstLineChars="200"/>
    </w:pPr>
    <w:rPr>
      <w:rFonts w:hint="eastAsia" w:ascii="宋体" w:hAnsi="宋体" w:eastAsia="宋体" w:cs="Times New Roman"/>
      <w:kern w:val="2"/>
      <w:sz w:val="28"/>
      <w:szCs w:val="28"/>
    </w:rPr>
  </w:style>
  <w:style w:type="paragraph" w:customStyle="1" w:styleId="16">
    <w:name w:val="样式1"/>
    <w:qFormat/>
    <w:uiPriority w:val="0"/>
    <w:pPr>
      <w:keepNext/>
      <w:keepLines/>
      <w:widowControl w:val="0"/>
      <w:adjustRightInd w:val="0"/>
      <w:snapToGrid w:val="0"/>
      <w:spacing w:line="360" w:lineRule="auto"/>
      <w:jc w:val="center"/>
      <w:outlineLvl w:val="0"/>
    </w:pPr>
    <w:rPr>
      <w:rFonts w:hint="eastAsia" w:ascii="华文中宋" w:hAnsi="华文中宋" w:eastAsia="华文中宋" w:cs="Times New Roman"/>
      <w:b/>
      <w:bCs/>
      <w:kern w:val="44"/>
      <w:sz w:val="44"/>
      <w:szCs w:val="44"/>
      <w:lang w:val="en-US" w:eastAsia="zh-CN" w:bidi="ar-SA"/>
    </w:rPr>
  </w:style>
  <w:style w:type="character" w:customStyle="1" w:styleId="17">
    <w:name w:val="正文文本缩进 Char"/>
    <w:basedOn w:val="9"/>
    <w:link w:val="4"/>
    <w:qFormat/>
    <w:uiPriority w:val="0"/>
    <w:rPr>
      <w:kern w:val="2"/>
      <w:sz w:val="21"/>
      <w:szCs w:val="22"/>
    </w:rPr>
  </w:style>
  <w:style w:type="character" w:customStyle="1" w:styleId="18">
    <w:name w:val="报告正文 Char"/>
    <w:link w:val="11"/>
    <w:qFormat/>
    <w:uiPriority w:val="0"/>
    <w:rPr>
      <w:rFonts w:ascii="宋体" w:hAnsi="宋体"/>
      <w:kern w:val="2"/>
      <w:sz w:val="27"/>
      <w:szCs w:val="27"/>
    </w:rPr>
  </w:style>
  <w:style w:type="paragraph" w:customStyle="1" w:styleId="19">
    <w:name w:val="评价报告正文"/>
    <w:basedOn w:val="1"/>
    <w:link w:val="20"/>
    <w:qFormat/>
    <w:uiPriority w:val="0"/>
    <w:pPr>
      <w:widowControl w:val="0"/>
      <w:spacing w:after="0" w:line="360" w:lineRule="auto"/>
      <w:ind w:firstLine="640" w:firstLineChars="200"/>
      <w:jc w:val="both"/>
    </w:pPr>
    <w:rPr>
      <w:rFonts w:ascii="宋体" w:hAnsi="宋体" w:eastAsia="宋体" w:cs="宋体"/>
      <w:kern w:val="2"/>
      <w:sz w:val="27"/>
      <w:szCs w:val="27"/>
    </w:rPr>
  </w:style>
  <w:style w:type="character" w:customStyle="1" w:styleId="20">
    <w:name w:val="评价报告正文 Char"/>
    <w:basedOn w:val="9"/>
    <w:link w:val="19"/>
    <w:qFormat/>
    <w:uiPriority w:val="0"/>
    <w:rPr>
      <w:rFonts w:ascii="宋体" w:hAnsi="宋体" w:cs="宋体"/>
      <w:kern w:val="2"/>
      <w:sz w:val="27"/>
      <w:szCs w:val="27"/>
    </w:rPr>
  </w:style>
  <w:style w:type="character" w:customStyle="1" w:styleId="21">
    <w:name w:val="批注文字 Char"/>
    <w:basedOn w:val="9"/>
    <w:link w:val="2"/>
    <w:qFormat/>
    <w:uiPriority w:val="99"/>
    <w:rPr>
      <w:rFonts w:ascii="Calibri" w:hAnsi="Calibri"/>
      <w:kern w:val="2"/>
      <w:sz w:val="21"/>
      <w:szCs w:val="24"/>
    </w:rPr>
  </w:style>
  <w:style w:type="paragraph" w:styleId="22">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23">
    <w:name w:val="样式11"/>
    <w:basedOn w:val="1"/>
    <w:qFormat/>
    <w:uiPriority w:val="99"/>
    <w:pPr>
      <w:widowControl w:val="0"/>
      <w:adjustRightInd/>
      <w:snapToGrid/>
      <w:spacing w:after="0" w:line="600" w:lineRule="exact"/>
      <w:ind w:firstLine="602" w:firstLineChars="200"/>
      <w:jc w:val="both"/>
    </w:pPr>
    <w:rPr>
      <w:rFonts w:ascii="宋体" w:hAnsi="Calibri" w:eastAsia="宋体" w:cs="Times New Roman"/>
      <w:b/>
      <w:kern w:val="2"/>
      <w:sz w:val="30"/>
      <w:szCs w:val="24"/>
    </w:rPr>
  </w:style>
  <w:style w:type="paragraph" w:customStyle="1" w:styleId="24">
    <w:name w:val="二级标题"/>
    <w:basedOn w:val="1"/>
    <w:link w:val="25"/>
    <w:qFormat/>
    <w:uiPriority w:val="0"/>
    <w:pPr>
      <w:widowControl w:val="0"/>
      <w:overflowPunct w:val="0"/>
      <w:spacing w:after="0" w:line="360" w:lineRule="auto"/>
      <w:ind w:firstLine="200" w:firstLineChars="200"/>
      <w:jc w:val="both"/>
      <w:outlineLvl w:val="1"/>
    </w:pPr>
    <w:rPr>
      <w:rFonts w:eastAsia="宋体" w:asciiTheme="minorEastAsia" w:hAnsiTheme="minorHAnsi"/>
      <w:b/>
      <w:kern w:val="2"/>
      <w:sz w:val="28"/>
    </w:rPr>
  </w:style>
  <w:style w:type="character" w:customStyle="1" w:styleId="25">
    <w:name w:val="二级标题 Char"/>
    <w:basedOn w:val="9"/>
    <w:link w:val="24"/>
    <w:qFormat/>
    <w:uiPriority w:val="0"/>
    <w:rPr>
      <w:rFonts w:asciiTheme="minorEastAsia" w:hAnsiTheme="minorHAnsi" w:cstheme="minorBidi"/>
      <w:b/>
      <w:kern w:val="2"/>
      <w:sz w:val="28"/>
      <w:szCs w:val="22"/>
    </w:rPr>
  </w:style>
  <w:style w:type="paragraph" w:customStyle="1" w:styleId="26">
    <w:name w:val="三级标题"/>
    <w:basedOn w:val="24"/>
    <w:link w:val="27"/>
    <w:qFormat/>
    <w:uiPriority w:val="0"/>
    <w:pPr>
      <w:outlineLvl w:val="2"/>
    </w:pPr>
    <w:rPr>
      <w:rFonts w:eastAsia="楷体"/>
    </w:rPr>
  </w:style>
  <w:style w:type="character" w:customStyle="1" w:styleId="27">
    <w:name w:val="三级标题 Char"/>
    <w:basedOn w:val="25"/>
    <w:link w:val="26"/>
    <w:qFormat/>
    <w:uiPriority w:val="0"/>
    <w:rPr>
      <w:rFonts w:eastAsia="楷体"/>
    </w:rPr>
  </w:style>
  <w:style w:type="paragraph" w:customStyle="1" w:styleId="28">
    <w:name w:val="报告标题"/>
    <w:basedOn w:val="1"/>
    <w:link w:val="29"/>
    <w:qFormat/>
    <w:uiPriority w:val="0"/>
    <w:pPr>
      <w:widowControl w:val="0"/>
      <w:overflowPunct w:val="0"/>
      <w:adjustRightInd/>
      <w:spacing w:after="0"/>
      <w:ind w:firstLine="200" w:firstLineChars="200"/>
      <w:jc w:val="center"/>
    </w:pPr>
    <w:rPr>
      <w:rFonts w:eastAsia="宋体" w:asciiTheme="minorEastAsia" w:hAnsiTheme="minorHAnsi"/>
      <w:b/>
      <w:kern w:val="2"/>
      <w:sz w:val="44"/>
    </w:rPr>
  </w:style>
  <w:style w:type="character" w:customStyle="1" w:styleId="29">
    <w:name w:val="报告标题 Char"/>
    <w:basedOn w:val="9"/>
    <w:link w:val="28"/>
    <w:qFormat/>
    <w:uiPriority w:val="0"/>
    <w:rPr>
      <w:rFonts w:asciiTheme="minorEastAsia" w:hAnsiTheme="minorHAnsi" w:cstheme="minorBidi"/>
      <w:b/>
      <w:kern w:val="2"/>
      <w:sz w:val="4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4338AD-039B-4A9D-851F-B4BC9967F820}">
  <ds:schemaRefs/>
</ds:datastoreItem>
</file>

<file path=docProps/app.xml><?xml version="1.0" encoding="utf-8"?>
<Properties xmlns="http://schemas.openxmlformats.org/officeDocument/2006/extended-properties" xmlns:vt="http://schemas.openxmlformats.org/officeDocument/2006/docPropsVTypes">
  <Template>Normal</Template>
  <Pages>70</Pages>
  <Words>5307</Words>
  <Characters>30252</Characters>
  <Lines>252</Lines>
  <Paragraphs>70</Paragraphs>
  <TotalTime>1278</TotalTime>
  <ScaleCrop>false</ScaleCrop>
  <LinksUpToDate>false</LinksUpToDate>
  <CharactersWithSpaces>35489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rain</cp:lastModifiedBy>
  <dcterms:modified xsi:type="dcterms:W3CDTF">2023-12-07T07:05:32Z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BE0D493A6CBF432FB674DA2134943DA1_13</vt:lpwstr>
  </property>
</Properties>
</file>