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1B" w:rsidRDefault="00441F1B" w:rsidP="00AC3538">
      <w:pPr>
        <w:spacing w:line="560" w:lineRule="exact"/>
        <w:ind w:leftChars="200" w:left="420"/>
        <w:jc w:val="center"/>
        <w:rPr>
          <w:rFonts w:ascii="Times New Roman" w:eastAsia="方正小标宋简体" w:hAnsi="Times New Roman" w:cs="Times New Roman"/>
          <w:sz w:val="44"/>
          <w:szCs w:val="44"/>
        </w:rPr>
      </w:pPr>
      <w:bookmarkStart w:id="0" w:name="_GoBack"/>
      <w:bookmarkEnd w:id="0"/>
    </w:p>
    <w:p w:rsidR="00441F1B" w:rsidRDefault="00441F1B" w:rsidP="00AC3538">
      <w:pPr>
        <w:spacing w:line="560" w:lineRule="exact"/>
        <w:ind w:leftChars="200" w:left="420"/>
        <w:jc w:val="center"/>
        <w:rPr>
          <w:rFonts w:ascii="Times New Roman" w:eastAsia="方正小标宋简体" w:hAnsi="Times New Roman" w:cs="Times New Roman"/>
          <w:sz w:val="44"/>
          <w:szCs w:val="44"/>
        </w:rPr>
      </w:pPr>
    </w:p>
    <w:p w:rsidR="00441F1B" w:rsidRDefault="000A5077" w:rsidP="00AC3538">
      <w:pPr>
        <w:spacing w:line="560" w:lineRule="exact"/>
        <w:ind w:leftChars="200" w:left="420"/>
        <w:jc w:val="center"/>
        <w:rPr>
          <w:rFonts w:ascii="Times New Roman" w:eastAsia="方正小标宋简体" w:hAnsi="Times New Roman" w:cs="Times New Roman"/>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309880</wp:posOffset>
                </wp:positionV>
                <wp:extent cx="5935980" cy="1943100"/>
                <wp:effectExtent l="0" t="0" r="7620" b="0"/>
                <wp:wrapNone/>
                <wp:docPr id="4" name="文本框 4"/>
                <wp:cNvGraphicFramePr/>
                <a:graphic xmlns:a="http://schemas.openxmlformats.org/drawingml/2006/main">
                  <a:graphicData uri="http://schemas.microsoft.com/office/word/2010/wordprocessingShape">
                    <wps:wsp>
                      <wps:cNvSpPr txBox="1"/>
                      <wps:spPr>
                        <a:xfrm>
                          <a:off x="0" y="0"/>
                          <a:ext cx="5935980" cy="1943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AC3538" w:rsidRDefault="00AC3538" w:rsidP="00AC3538">
                            <w:pPr>
                              <w:jc w:val="center"/>
                              <w:rPr>
                                <w:rFonts w:ascii="方正小标宋简体" w:eastAsia="方正小标宋简体" w:hAnsi="Calibri"/>
                                <w:snapToGrid w:val="0"/>
                                <w:color w:val="FF0000"/>
                                <w:spacing w:val="-34"/>
                                <w:w w:val="50"/>
                                <w:kern w:val="0"/>
                                <w:sz w:val="144"/>
                                <w:szCs w:val="84"/>
                              </w:rPr>
                            </w:pPr>
                            <w:r w:rsidRPr="003C4E44">
                              <w:rPr>
                                <w:rFonts w:ascii="方正小标宋简体" w:eastAsia="方正小标宋简体" w:hAnsi="Calibri" w:hint="eastAsia"/>
                                <w:snapToGrid w:val="0"/>
                                <w:color w:val="FF0000"/>
                                <w:spacing w:val="4"/>
                                <w:w w:val="36"/>
                                <w:kern w:val="0"/>
                                <w:sz w:val="144"/>
                                <w:szCs w:val="84"/>
                              </w:rPr>
                              <w:t>临淄区地方金融事务协调服务中心文</w:t>
                            </w:r>
                            <w:r w:rsidRPr="003C4E44">
                              <w:rPr>
                                <w:rFonts w:ascii="方正小标宋简体" w:eastAsia="方正小标宋简体" w:hAnsi="Calibri" w:hint="eastAsia"/>
                                <w:snapToGrid w:val="0"/>
                                <w:color w:val="FF0000"/>
                                <w:spacing w:val="6"/>
                                <w:w w:val="36"/>
                                <w:kern w:val="0"/>
                                <w:sz w:val="144"/>
                                <w:szCs w:val="84"/>
                              </w:rPr>
                              <w:t>件</w:t>
                            </w:r>
                          </w:p>
                          <w:p w:rsidR="00441F1B" w:rsidRDefault="00441F1B">
                            <w:pPr>
                              <w:jc w:val="center"/>
                              <w:rPr>
                                <w:rFonts w:ascii="方正小标宋简体" w:eastAsia="方正小标宋简体" w:hAnsi="方正小标宋简体" w:cs="方正小标宋简体"/>
                                <w:color w:val="FF0000"/>
                                <w:w w:val="80"/>
                                <w:sz w:val="72"/>
                                <w:szCs w:val="7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5.6pt;margin-top:24.4pt;width:467.4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" fillcolor="white [3201]" stroked="f" strokeweight=".5pt">
                <v:textbox>
                  <w:txbxContent>
                    <w:p w:rsidR="00AC3538" w:rsidRDefault="00AC3538" w:rsidP="00AC3538">
                      <w:pPr>
                        <w:jc w:val="center"/>
                        <w:rPr>
                          <w:rFonts w:ascii="方正小标宋简体" w:eastAsia="方正小标宋简体" w:hAnsi="Calibri"/>
                          <w:snapToGrid w:val="0"/>
                          <w:color w:val="FF0000"/>
                          <w:spacing w:val="-34"/>
                          <w:w w:val="50"/>
                          <w:kern w:val="0"/>
                          <w:sz w:val="144"/>
                          <w:szCs w:val="84"/>
                        </w:rPr>
                      </w:pPr>
                      <w:r w:rsidRPr="003C4E44">
                        <w:rPr>
                          <w:rFonts w:ascii="方正小标宋简体" w:eastAsia="方正小标宋简体" w:hAnsi="Calibri" w:hint="eastAsia"/>
                          <w:snapToGrid w:val="0"/>
                          <w:color w:val="FF0000"/>
                          <w:spacing w:val="4"/>
                          <w:w w:val="36"/>
                          <w:kern w:val="0"/>
                          <w:sz w:val="144"/>
                          <w:szCs w:val="84"/>
                        </w:rPr>
                        <w:t>临淄区地方金融事务协调服务中心文</w:t>
                      </w:r>
                      <w:r w:rsidRPr="003C4E44">
                        <w:rPr>
                          <w:rFonts w:ascii="方正小标宋简体" w:eastAsia="方正小标宋简体" w:hAnsi="Calibri" w:hint="eastAsia"/>
                          <w:snapToGrid w:val="0"/>
                          <w:color w:val="FF0000"/>
                          <w:spacing w:val="6"/>
                          <w:w w:val="36"/>
                          <w:kern w:val="0"/>
                          <w:sz w:val="144"/>
                          <w:szCs w:val="84"/>
                        </w:rPr>
                        <w:t>件</w:t>
                      </w:r>
                    </w:p>
                    <w:p w:rsidR="00441F1B" w:rsidRDefault="00441F1B">
                      <w:pPr>
                        <w:jc w:val="center"/>
                        <w:rPr>
                          <w:rFonts w:ascii="方正小标宋简体" w:eastAsia="方正小标宋简体" w:hAnsi="方正小标宋简体" w:cs="方正小标宋简体"/>
                          <w:color w:val="FF0000"/>
                          <w:w w:val="80"/>
                          <w:sz w:val="72"/>
                          <w:szCs w:val="72"/>
                        </w:rPr>
                      </w:pPr>
                    </w:p>
                  </w:txbxContent>
                </v:textbox>
              </v:shape>
            </w:pict>
          </mc:Fallback>
        </mc:AlternateContent>
      </w:r>
    </w:p>
    <w:p w:rsidR="00441F1B" w:rsidRDefault="00441F1B" w:rsidP="00AC3538">
      <w:pPr>
        <w:spacing w:line="560" w:lineRule="exact"/>
        <w:ind w:leftChars="200" w:left="420"/>
        <w:jc w:val="center"/>
        <w:rPr>
          <w:rFonts w:ascii="Times New Roman" w:eastAsia="方正小标宋简体" w:hAnsi="Times New Roman" w:cs="Times New Roman"/>
          <w:sz w:val="44"/>
          <w:szCs w:val="44"/>
        </w:rPr>
      </w:pPr>
    </w:p>
    <w:p w:rsidR="00441F1B" w:rsidRDefault="00441F1B" w:rsidP="00AC3538">
      <w:pPr>
        <w:spacing w:line="560" w:lineRule="exact"/>
        <w:ind w:leftChars="200" w:left="420"/>
        <w:jc w:val="center"/>
        <w:rPr>
          <w:rFonts w:ascii="Times New Roman" w:eastAsia="方正小标宋简体" w:hAnsi="Times New Roman" w:cs="Times New Roman"/>
          <w:sz w:val="52"/>
          <w:szCs w:val="52"/>
        </w:rPr>
      </w:pPr>
    </w:p>
    <w:p w:rsidR="00441F1B" w:rsidRDefault="00441F1B">
      <w:pPr>
        <w:spacing w:line="560" w:lineRule="exact"/>
        <w:rPr>
          <w:rFonts w:ascii="Times New Roman" w:eastAsia="方正小标宋简体" w:hAnsi="Times New Roman" w:cs="Times New Roman"/>
          <w:sz w:val="44"/>
          <w:szCs w:val="44"/>
        </w:rPr>
      </w:pPr>
    </w:p>
    <w:p w:rsidR="00441F1B" w:rsidRDefault="00441F1B">
      <w:pPr>
        <w:pStyle w:val="1"/>
      </w:pPr>
    </w:p>
    <w:p w:rsidR="00AC3538" w:rsidRDefault="00AC3538">
      <w:pPr>
        <w:spacing w:line="560" w:lineRule="exact"/>
        <w:jc w:val="center"/>
        <w:rPr>
          <w:rFonts w:ascii="仿宋_GB2312" w:eastAsia="仿宋_GB2312" w:hAnsi="仿宋_GB2312" w:cs="仿宋_GB2312"/>
          <w:sz w:val="32"/>
          <w:szCs w:val="32"/>
        </w:rPr>
      </w:pPr>
    </w:p>
    <w:p w:rsidR="00734DF9" w:rsidRDefault="00734DF9" w:rsidP="00734DF9">
      <w:pPr>
        <w:spacing w:line="560" w:lineRule="exact"/>
        <w:ind w:leftChars="200" w:left="42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临金发〔2020〕5号</w:t>
      </w:r>
    </w:p>
    <w:p w:rsidR="00441F1B" w:rsidRDefault="000A5077" w:rsidP="00AC3538">
      <w:pPr>
        <w:spacing w:line="300" w:lineRule="exact"/>
        <w:ind w:leftChars="200" w:left="420"/>
        <w:rPr>
          <w:rFonts w:ascii="Times New Roman" w:eastAsia="方正小标宋简体" w:hAnsi="Times New Roman" w:cs="Times New Roman"/>
          <w:sz w:val="44"/>
          <w:szCs w:val="44"/>
          <w:u w:val="thick" w:color="FF0000"/>
        </w:rPr>
      </w:pPr>
      <w:r>
        <w:rPr>
          <w:rFonts w:ascii="Times New Roman" w:eastAsia="方正小标宋简体" w:hAnsi="Times New Roman" w:cs="Times New Roman" w:hint="eastAsia"/>
          <w:sz w:val="44"/>
          <w:szCs w:val="44"/>
          <w:u w:val="thick" w:color="FF0000"/>
        </w:rPr>
        <w:t xml:space="preserve">                                      </w:t>
      </w:r>
    </w:p>
    <w:p w:rsidR="00734DF9" w:rsidRDefault="00734DF9" w:rsidP="00734DF9">
      <w:pPr>
        <w:spacing w:line="700" w:lineRule="exact"/>
        <w:jc w:val="center"/>
        <w:rPr>
          <w:rFonts w:ascii="方正小标宋简体" w:eastAsia="方正小标宋简体" w:hAnsi="方正小标宋简体" w:cs="方正小标宋简体"/>
          <w:sz w:val="44"/>
          <w:szCs w:val="44"/>
        </w:rPr>
      </w:pPr>
    </w:p>
    <w:p w:rsidR="00734DF9" w:rsidRPr="00734DF9" w:rsidRDefault="00734DF9" w:rsidP="00734DF9">
      <w:pPr>
        <w:spacing w:line="700" w:lineRule="exact"/>
        <w:jc w:val="center"/>
        <w:rPr>
          <w:rFonts w:ascii="方正小标宋简体" w:eastAsia="方正小标宋简体" w:hAnsi="方正小标宋简体" w:cs="方正小标宋简体"/>
          <w:sz w:val="44"/>
          <w:szCs w:val="44"/>
        </w:rPr>
      </w:pPr>
      <w:r w:rsidRPr="00734DF9">
        <w:rPr>
          <w:rFonts w:ascii="方正小标宋简体" w:eastAsia="方正小标宋简体" w:hAnsi="方正小标宋简体" w:cs="方正小标宋简体" w:hint="eastAsia"/>
          <w:sz w:val="44"/>
          <w:szCs w:val="44"/>
        </w:rPr>
        <w:t>临淄区地方金融事务协调服务中心</w:t>
      </w:r>
    </w:p>
    <w:p w:rsidR="00734DF9" w:rsidRPr="00734DF9" w:rsidRDefault="00734DF9" w:rsidP="00734DF9">
      <w:pPr>
        <w:spacing w:line="700" w:lineRule="exact"/>
        <w:jc w:val="center"/>
        <w:rPr>
          <w:rFonts w:ascii="方正小标宋简体" w:eastAsia="方正小标宋简体" w:hAnsi="方正小标宋简体" w:cs="方正小标宋简体"/>
          <w:sz w:val="44"/>
          <w:szCs w:val="44"/>
        </w:rPr>
      </w:pPr>
      <w:r w:rsidRPr="00734DF9">
        <w:rPr>
          <w:rFonts w:ascii="方正小标宋简体" w:eastAsia="方正小标宋简体" w:hAnsi="方正小标宋简体" w:cs="方正小标宋简体" w:hint="eastAsia"/>
          <w:sz w:val="44"/>
          <w:szCs w:val="44"/>
        </w:rPr>
        <w:t>落实《淄博市人民政府关于持续深入化营商环境的实施意见》配套措施</w:t>
      </w:r>
    </w:p>
    <w:p w:rsidR="00734DF9" w:rsidRPr="00734DF9" w:rsidRDefault="00734DF9" w:rsidP="00734DF9">
      <w:pPr>
        <w:spacing w:line="240" w:lineRule="atLeast"/>
        <w:ind w:firstLineChars="200" w:firstLine="640"/>
        <w:rPr>
          <w:rFonts w:ascii="仿宋" w:eastAsia="仿宋" w:hAnsi="仿宋" w:cs="Times New Roman"/>
          <w:sz w:val="32"/>
          <w:szCs w:val="32"/>
        </w:rPr>
      </w:pPr>
    </w:p>
    <w:p w:rsidR="00734DF9" w:rsidRPr="00734DF9" w:rsidRDefault="00734DF9" w:rsidP="00734DF9">
      <w:pPr>
        <w:autoSpaceDE w:val="0"/>
        <w:autoSpaceDN w:val="0"/>
        <w:adjustRightInd w:val="0"/>
        <w:ind w:firstLineChars="200" w:firstLine="640"/>
        <w:rPr>
          <w:rFonts w:ascii="仿宋_GB2312" w:eastAsia="仿宋_GB2312" w:hAnsi="Calibri" w:cs="仿宋_GB2312"/>
          <w:kern w:val="0"/>
          <w:sz w:val="32"/>
          <w:szCs w:val="32"/>
        </w:rPr>
      </w:pPr>
      <w:r w:rsidRPr="00734DF9">
        <w:rPr>
          <w:rFonts w:ascii="黑体" w:eastAsia="黑体" w:hAnsi="Calibri" w:cs="黑体" w:hint="eastAsia"/>
          <w:kern w:val="0"/>
          <w:sz w:val="32"/>
          <w:szCs w:val="32"/>
        </w:rPr>
        <w:t>一、激励银行机构加大信贷投放。</w:t>
      </w:r>
      <w:r w:rsidRPr="00734DF9">
        <w:rPr>
          <w:rFonts w:ascii="仿宋_GB2312" w:eastAsia="仿宋_GB2312" w:hAnsi="Calibri" w:cs="仿宋_GB2312" w:hint="eastAsia"/>
          <w:kern w:val="0"/>
          <w:sz w:val="32"/>
          <w:szCs w:val="32"/>
        </w:rPr>
        <w:t>制定完善银行机构服务地方经济社会发展年度评价测算实施细则</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定期通报各银行机构信贷投放情况，引导银行机构扩大信贷投放规模</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支持实体经济发展。</w:t>
      </w:r>
      <w:r w:rsidRPr="00734DF9">
        <w:rPr>
          <w:rFonts w:ascii="楷体_GB2312" w:eastAsia="楷体_GB2312" w:hAnsi="Calibri" w:cs="楷体_GB2312" w:hint="eastAsia"/>
          <w:kern w:val="0"/>
          <w:sz w:val="32"/>
          <w:szCs w:val="32"/>
        </w:rPr>
        <w:t>（责任科室：银行保险科；电话：</w:t>
      </w:r>
      <w:r w:rsidRPr="00734DF9">
        <w:rPr>
          <w:rFonts w:ascii="仿宋_GB2312" w:eastAsia="仿宋_GB2312" w:hAnsi="Calibri" w:cs="仿宋_GB2312" w:hint="eastAsia"/>
          <w:kern w:val="0"/>
          <w:sz w:val="32"/>
          <w:szCs w:val="32"/>
        </w:rPr>
        <w:t>7220586</w:t>
      </w:r>
      <w:r w:rsidRPr="00734DF9">
        <w:rPr>
          <w:rFonts w:ascii="楷体_GB2312" w:eastAsia="楷体_GB2312" w:hAnsi="Calibri" w:cs="楷体_GB2312" w:hint="eastAsia"/>
          <w:kern w:val="0"/>
          <w:sz w:val="32"/>
          <w:szCs w:val="32"/>
        </w:rPr>
        <w:t>）</w:t>
      </w:r>
    </w:p>
    <w:p w:rsidR="00734DF9" w:rsidRPr="00734DF9" w:rsidRDefault="00734DF9" w:rsidP="00734DF9">
      <w:pPr>
        <w:autoSpaceDE w:val="0"/>
        <w:autoSpaceDN w:val="0"/>
        <w:adjustRightInd w:val="0"/>
        <w:ind w:firstLineChars="200" w:firstLine="640"/>
        <w:rPr>
          <w:rFonts w:ascii="仿宋_GB2312" w:eastAsia="仿宋_GB2312" w:hAnsi="Calibri" w:cs="仿宋_GB2312"/>
          <w:kern w:val="0"/>
          <w:sz w:val="32"/>
          <w:szCs w:val="32"/>
        </w:rPr>
      </w:pPr>
      <w:r w:rsidRPr="00734DF9">
        <w:rPr>
          <w:rFonts w:ascii="黑体" w:eastAsia="黑体" w:hAnsi="Calibri" w:cs="黑体" w:hint="eastAsia"/>
          <w:kern w:val="0"/>
          <w:sz w:val="32"/>
          <w:szCs w:val="32"/>
        </w:rPr>
        <w:t>二、扩大企业抵质押融资规模。</w:t>
      </w:r>
      <w:r w:rsidRPr="00734DF9">
        <w:rPr>
          <w:rFonts w:ascii="仿宋_GB2312" w:eastAsia="仿宋_GB2312" w:hAnsi="Calibri" w:cs="仿宋_GB2312" w:hint="eastAsia"/>
          <w:kern w:val="0"/>
          <w:sz w:val="32"/>
          <w:szCs w:val="32"/>
        </w:rPr>
        <w:t>联合区人民银行、区银保监</w:t>
      </w:r>
      <w:r w:rsidRPr="00734DF9">
        <w:rPr>
          <w:rFonts w:ascii="仿宋_GB2312" w:eastAsia="仿宋_GB2312" w:hAnsi="Calibri" w:cs="仿宋_GB2312" w:hint="eastAsia"/>
          <w:kern w:val="0"/>
          <w:sz w:val="32"/>
          <w:szCs w:val="32"/>
        </w:rPr>
        <w:lastRenderedPageBreak/>
        <w:t>组指导督促银行机构全面落实上级《关于建立企业抵质押物价值重置机制的意见》（鲁金监字〔</w:t>
      </w:r>
      <w:r w:rsidRPr="00734DF9">
        <w:rPr>
          <w:rFonts w:ascii="仿宋_GB2312" w:eastAsia="仿宋_GB2312" w:hAnsi="Calibri" w:cs="仿宋_GB2312"/>
          <w:kern w:val="0"/>
          <w:sz w:val="32"/>
          <w:szCs w:val="32"/>
        </w:rPr>
        <w:t>2020</w:t>
      </w:r>
      <w:r w:rsidRPr="00734DF9">
        <w:rPr>
          <w:rFonts w:ascii="仿宋_GB2312" w:eastAsia="仿宋_GB2312" w:hAnsi="Calibri" w:cs="仿宋_GB2312" w:hint="eastAsia"/>
          <w:kern w:val="0"/>
          <w:sz w:val="32"/>
          <w:szCs w:val="32"/>
        </w:rPr>
        <w:t>〕</w:t>
      </w:r>
      <w:r w:rsidRPr="00734DF9">
        <w:rPr>
          <w:rFonts w:ascii="仿宋_GB2312" w:eastAsia="仿宋_GB2312" w:hAnsi="Calibri" w:cs="仿宋_GB2312"/>
          <w:kern w:val="0"/>
          <w:sz w:val="32"/>
          <w:szCs w:val="32"/>
        </w:rPr>
        <w:t xml:space="preserve">120 </w:t>
      </w:r>
      <w:r w:rsidRPr="00734DF9">
        <w:rPr>
          <w:rFonts w:ascii="仿宋_GB2312" w:eastAsia="仿宋_GB2312" w:hAnsi="Calibri" w:cs="仿宋_GB2312" w:hint="eastAsia"/>
          <w:kern w:val="0"/>
          <w:sz w:val="32"/>
          <w:szCs w:val="32"/>
        </w:rPr>
        <w:t>号）、《关于提扩企业抵</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质</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押能力的意见》（淄政办发〔</w:t>
      </w:r>
      <w:r w:rsidRPr="00734DF9">
        <w:rPr>
          <w:rFonts w:ascii="仿宋_GB2312" w:eastAsia="仿宋_GB2312" w:hAnsi="Calibri" w:cs="仿宋_GB2312"/>
          <w:kern w:val="0"/>
          <w:sz w:val="32"/>
          <w:szCs w:val="32"/>
        </w:rPr>
        <w:t>2015</w:t>
      </w:r>
      <w:r w:rsidRPr="00734DF9">
        <w:rPr>
          <w:rFonts w:ascii="仿宋_GB2312" w:eastAsia="仿宋_GB2312" w:hAnsi="Calibri" w:cs="仿宋_GB2312" w:hint="eastAsia"/>
          <w:kern w:val="0"/>
          <w:sz w:val="32"/>
          <w:szCs w:val="32"/>
        </w:rPr>
        <w:t>〕</w:t>
      </w:r>
      <w:r w:rsidRPr="00734DF9">
        <w:rPr>
          <w:rFonts w:ascii="仿宋_GB2312" w:eastAsia="仿宋_GB2312" w:hAnsi="Calibri" w:cs="仿宋_GB2312"/>
          <w:kern w:val="0"/>
          <w:sz w:val="32"/>
          <w:szCs w:val="32"/>
        </w:rPr>
        <w:t xml:space="preserve">25 </w:t>
      </w:r>
      <w:r w:rsidRPr="00734DF9">
        <w:rPr>
          <w:rFonts w:ascii="仿宋_GB2312" w:eastAsia="仿宋_GB2312" w:hAnsi="Calibri" w:cs="仿宋_GB2312" w:hint="eastAsia"/>
          <w:kern w:val="0"/>
          <w:sz w:val="32"/>
          <w:szCs w:val="32"/>
        </w:rPr>
        <w:t>号）、《淄博市财产顺位抵</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质</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押管理办法》（淄政办发〔</w:t>
      </w:r>
      <w:r w:rsidRPr="00734DF9">
        <w:rPr>
          <w:rFonts w:ascii="仿宋_GB2312" w:eastAsia="仿宋_GB2312" w:hAnsi="Calibri" w:cs="仿宋_GB2312"/>
          <w:kern w:val="0"/>
          <w:sz w:val="32"/>
          <w:szCs w:val="32"/>
        </w:rPr>
        <w:t>2018</w:t>
      </w:r>
      <w:r w:rsidRPr="00734DF9">
        <w:rPr>
          <w:rFonts w:ascii="仿宋_GB2312" w:eastAsia="仿宋_GB2312" w:hAnsi="Calibri" w:cs="仿宋_GB2312" w:hint="eastAsia"/>
          <w:kern w:val="0"/>
          <w:sz w:val="32"/>
          <w:szCs w:val="32"/>
        </w:rPr>
        <w:t>〕</w:t>
      </w:r>
      <w:r w:rsidRPr="00734DF9">
        <w:rPr>
          <w:rFonts w:ascii="仿宋_GB2312" w:eastAsia="仿宋_GB2312" w:hAnsi="Calibri" w:cs="仿宋_GB2312"/>
          <w:kern w:val="0"/>
          <w:sz w:val="32"/>
          <w:szCs w:val="32"/>
        </w:rPr>
        <w:t xml:space="preserve">28 </w:t>
      </w:r>
      <w:r w:rsidRPr="00734DF9">
        <w:rPr>
          <w:rFonts w:ascii="仿宋_GB2312" w:eastAsia="仿宋_GB2312" w:hAnsi="Calibri" w:cs="仿宋_GB2312" w:hint="eastAsia"/>
          <w:kern w:val="0"/>
          <w:sz w:val="32"/>
          <w:szCs w:val="32"/>
        </w:rPr>
        <w:t>号）等文件要求，在风险可控的前提下，对企业以符合条件的知识产权、应收账款、承包经营权、股权、动产等抵质押方式办理贷款不得拒绝。</w:t>
      </w:r>
      <w:r w:rsidRPr="00734DF9">
        <w:rPr>
          <w:rFonts w:ascii="楷体_GB2312" w:eastAsia="楷体_GB2312" w:hAnsi="Calibri" w:cs="楷体_GB2312" w:hint="eastAsia"/>
          <w:kern w:val="0"/>
          <w:sz w:val="32"/>
          <w:szCs w:val="32"/>
        </w:rPr>
        <w:t>（责任科室：银行保险科；电话：</w:t>
      </w:r>
      <w:r w:rsidRPr="00734DF9">
        <w:rPr>
          <w:rFonts w:ascii="仿宋_GB2312" w:eastAsia="仿宋_GB2312" w:hAnsi="Calibri" w:cs="仿宋_GB2312" w:hint="eastAsia"/>
          <w:kern w:val="0"/>
          <w:sz w:val="32"/>
          <w:szCs w:val="32"/>
        </w:rPr>
        <w:t>7220586</w:t>
      </w:r>
      <w:r w:rsidRPr="00734DF9">
        <w:rPr>
          <w:rFonts w:ascii="楷体_GB2312" w:eastAsia="楷体_GB2312" w:hAnsi="Calibri" w:cs="楷体_GB2312" w:hint="eastAsia"/>
          <w:kern w:val="0"/>
          <w:sz w:val="32"/>
          <w:szCs w:val="32"/>
        </w:rPr>
        <w:t>）</w:t>
      </w:r>
    </w:p>
    <w:p w:rsidR="00734DF9" w:rsidRPr="00734DF9" w:rsidRDefault="00734DF9" w:rsidP="00734DF9">
      <w:pPr>
        <w:autoSpaceDE w:val="0"/>
        <w:autoSpaceDN w:val="0"/>
        <w:adjustRightInd w:val="0"/>
        <w:ind w:firstLineChars="200" w:firstLine="640"/>
        <w:rPr>
          <w:rFonts w:ascii="仿宋_GB2312" w:eastAsia="仿宋_GB2312" w:hAnsi="Calibri" w:cs="仿宋_GB2312"/>
          <w:kern w:val="0"/>
          <w:sz w:val="32"/>
          <w:szCs w:val="32"/>
        </w:rPr>
      </w:pPr>
      <w:r w:rsidRPr="00734DF9">
        <w:rPr>
          <w:rFonts w:ascii="黑体" w:eastAsia="黑体" w:hAnsi="Calibri" w:cs="黑体" w:hint="eastAsia"/>
          <w:kern w:val="0"/>
          <w:sz w:val="32"/>
          <w:szCs w:val="32"/>
        </w:rPr>
        <w:t>三、强化银担合作联动。</w:t>
      </w:r>
      <w:r w:rsidRPr="00734DF9">
        <w:rPr>
          <w:rFonts w:ascii="仿宋_GB2312" w:eastAsia="仿宋_GB2312" w:hAnsi="仿宋" w:cs="黑体" w:hint="eastAsia"/>
          <w:color w:val="000000"/>
          <w:kern w:val="0"/>
          <w:sz w:val="32"/>
          <w:szCs w:val="32"/>
        </w:rPr>
        <w:t>配合有关部门和单位，利用好鑫润、信威等担保公司的力量，</w:t>
      </w:r>
      <w:r w:rsidRPr="00734DF9">
        <w:rPr>
          <w:rFonts w:ascii="仿宋_GB2312" w:eastAsia="仿宋_GB2312" w:hAnsi="Calibri" w:cs="仿宋_GB2312" w:hint="eastAsia"/>
          <w:kern w:val="0"/>
          <w:sz w:val="32"/>
          <w:szCs w:val="32"/>
        </w:rPr>
        <w:t>全面推进政府性融资体系建设，增加政府性担保业务，加大开展政银保工作，实现银担合作联动。</w:t>
      </w:r>
      <w:r w:rsidRPr="00734DF9">
        <w:rPr>
          <w:rFonts w:ascii="楷体_GB2312" w:eastAsia="楷体_GB2312" w:hAnsi="Calibri" w:cs="楷体_GB2312" w:hint="eastAsia"/>
          <w:kern w:val="0"/>
          <w:sz w:val="32"/>
          <w:szCs w:val="32"/>
        </w:rPr>
        <w:t>（责任科室：银行保险科；电话：</w:t>
      </w:r>
      <w:r w:rsidRPr="00734DF9">
        <w:rPr>
          <w:rFonts w:ascii="仿宋_GB2312" w:eastAsia="仿宋_GB2312" w:hAnsi="Calibri" w:cs="仿宋_GB2312" w:hint="eastAsia"/>
          <w:kern w:val="0"/>
          <w:sz w:val="32"/>
          <w:szCs w:val="32"/>
        </w:rPr>
        <w:t>7212172</w:t>
      </w:r>
      <w:r w:rsidRPr="00734DF9">
        <w:rPr>
          <w:rFonts w:ascii="楷体_GB2312" w:eastAsia="楷体_GB2312" w:hAnsi="Calibri" w:cs="楷体_GB2312" w:hint="eastAsia"/>
          <w:kern w:val="0"/>
          <w:sz w:val="32"/>
          <w:szCs w:val="32"/>
        </w:rPr>
        <w:t>）</w:t>
      </w:r>
    </w:p>
    <w:p w:rsidR="00734DF9" w:rsidRPr="00734DF9" w:rsidRDefault="00734DF9" w:rsidP="00734DF9">
      <w:pPr>
        <w:autoSpaceDE w:val="0"/>
        <w:autoSpaceDN w:val="0"/>
        <w:adjustRightInd w:val="0"/>
        <w:ind w:firstLineChars="200" w:firstLine="640"/>
        <w:rPr>
          <w:rFonts w:ascii="仿宋_GB2312" w:eastAsia="仿宋_GB2312" w:hAnsi="Calibri" w:cs="仿宋_GB2312"/>
          <w:kern w:val="0"/>
          <w:sz w:val="32"/>
          <w:szCs w:val="32"/>
        </w:rPr>
      </w:pPr>
      <w:r w:rsidRPr="00734DF9">
        <w:rPr>
          <w:rFonts w:ascii="黑体" w:eastAsia="黑体" w:hAnsi="Calibri" w:cs="黑体" w:hint="eastAsia"/>
          <w:kern w:val="0"/>
          <w:sz w:val="32"/>
          <w:szCs w:val="32"/>
        </w:rPr>
        <w:t>四、加快推进淄博市智慧金融综合服务平台。</w:t>
      </w:r>
      <w:r w:rsidRPr="00734DF9">
        <w:rPr>
          <w:rFonts w:ascii="仿宋_GB2312" w:eastAsia="仿宋_GB2312" w:hAnsi="Calibri" w:cs="仿宋_GB2312" w:hint="eastAsia"/>
          <w:kern w:val="0"/>
          <w:sz w:val="32"/>
          <w:szCs w:val="32"/>
        </w:rPr>
        <w:t>全面推进淄博市智慧金融综合服务平台服务功能</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拓宽中小微企业融资渠道，</w:t>
      </w:r>
      <w:r w:rsidRPr="00734DF9">
        <w:rPr>
          <w:rFonts w:ascii="仿宋_GB2312" w:eastAsia="仿宋_GB2312" w:hAnsi="Calibri" w:cs="仿宋_GB2312"/>
          <w:kern w:val="0"/>
          <w:sz w:val="32"/>
          <w:szCs w:val="32"/>
        </w:rPr>
        <w:t xml:space="preserve">2020 </w:t>
      </w:r>
      <w:r w:rsidRPr="00734DF9">
        <w:rPr>
          <w:rFonts w:ascii="仿宋_GB2312" w:eastAsia="仿宋_GB2312" w:hAnsi="Calibri" w:cs="仿宋_GB2312" w:hint="eastAsia"/>
          <w:kern w:val="0"/>
          <w:sz w:val="32"/>
          <w:szCs w:val="32"/>
        </w:rPr>
        <w:t>年接入企业1000家以上</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累计成交融资金额超过20亿元。</w:t>
      </w:r>
      <w:r w:rsidRPr="00734DF9">
        <w:rPr>
          <w:rFonts w:ascii="楷体_GB2312" w:eastAsia="楷体_GB2312" w:hAnsi="Calibri" w:cs="楷体_GB2312" w:hint="eastAsia"/>
          <w:kern w:val="0"/>
          <w:sz w:val="32"/>
          <w:szCs w:val="32"/>
        </w:rPr>
        <w:t>（责任科室：银行保险科；电话：</w:t>
      </w:r>
      <w:r w:rsidRPr="00734DF9">
        <w:rPr>
          <w:rFonts w:ascii="仿宋_GB2312" w:eastAsia="仿宋_GB2312" w:hAnsi="Calibri" w:cs="仿宋_GB2312" w:hint="eastAsia"/>
          <w:kern w:val="0"/>
          <w:sz w:val="32"/>
          <w:szCs w:val="32"/>
        </w:rPr>
        <w:t>7212172</w:t>
      </w:r>
      <w:r w:rsidRPr="00734DF9">
        <w:rPr>
          <w:rFonts w:ascii="楷体_GB2312" w:eastAsia="楷体_GB2312" w:hAnsi="Calibri" w:cs="楷体_GB2312" w:hint="eastAsia"/>
          <w:kern w:val="0"/>
          <w:sz w:val="32"/>
          <w:szCs w:val="32"/>
        </w:rPr>
        <w:t>）</w:t>
      </w:r>
    </w:p>
    <w:p w:rsidR="00734DF9" w:rsidRPr="00734DF9" w:rsidRDefault="00734DF9" w:rsidP="00734DF9">
      <w:pPr>
        <w:autoSpaceDE w:val="0"/>
        <w:autoSpaceDN w:val="0"/>
        <w:adjustRightInd w:val="0"/>
        <w:ind w:firstLineChars="200" w:firstLine="640"/>
        <w:rPr>
          <w:rFonts w:ascii="仿宋_GB2312" w:eastAsia="仿宋_GB2312" w:hAnsi="Calibri" w:cs="仿宋_GB2312"/>
          <w:kern w:val="0"/>
          <w:sz w:val="32"/>
          <w:szCs w:val="32"/>
        </w:rPr>
      </w:pPr>
      <w:r w:rsidRPr="00734DF9">
        <w:rPr>
          <w:rFonts w:ascii="黑体" w:eastAsia="黑体" w:hAnsi="Calibri" w:cs="黑体" w:hint="eastAsia"/>
          <w:kern w:val="0"/>
          <w:sz w:val="32"/>
          <w:szCs w:val="32"/>
        </w:rPr>
        <w:t>五、形成中小微企业信用贷款风险补偿机制。</w:t>
      </w:r>
      <w:r w:rsidRPr="00734DF9">
        <w:rPr>
          <w:rFonts w:ascii="仿宋_GB2312" w:eastAsia="仿宋_GB2312" w:hAnsi="Calibri" w:cs="仿宋_GB2312" w:hint="eastAsia"/>
          <w:kern w:val="0"/>
          <w:sz w:val="32"/>
          <w:szCs w:val="32"/>
        </w:rPr>
        <w:t>落实上级出台的中小微企业信用贷款风险补偿办法，积极争取对银行机构为我区符合条件的中小微企业发放信用贷款形成的不良给予一定风险补偿，激励银行机构加大对中小微企业信用贷款支持。</w:t>
      </w:r>
      <w:r w:rsidRPr="00734DF9">
        <w:rPr>
          <w:rFonts w:ascii="楷体_GB2312" w:eastAsia="楷体_GB2312" w:hAnsi="Calibri" w:cs="楷体_GB2312" w:hint="eastAsia"/>
          <w:kern w:val="0"/>
          <w:sz w:val="32"/>
          <w:szCs w:val="32"/>
        </w:rPr>
        <w:t>（责任科室：银行保险科；电话：</w:t>
      </w:r>
      <w:r w:rsidRPr="00734DF9">
        <w:rPr>
          <w:rFonts w:ascii="仿宋_GB2312" w:eastAsia="仿宋_GB2312" w:hAnsi="Calibri" w:cs="仿宋_GB2312" w:hint="eastAsia"/>
          <w:kern w:val="0"/>
          <w:sz w:val="32"/>
          <w:szCs w:val="32"/>
        </w:rPr>
        <w:t>7220586</w:t>
      </w:r>
      <w:r w:rsidRPr="00734DF9">
        <w:rPr>
          <w:rFonts w:ascii="楷体_GB2312" w:eastAsia="楷体_GB2312" w:hAnsi="Calibri" w:cs="楷体_GB2312" w:hint="eastAsia"/>
          <w:kern w:val="0"/>
          <w:sz w:val="32"/>
          <w:szCs w:val="32"/>
        </w:rPr>
        <w:t>）</w:t>
      </w:r>
    </w:p>
    <w:p w:rsidR="00734DF9" w:rsidRPr="00734DF9" w:rsidRDefault="00734DF9" w:rsidP="00734DF9">
      <w:pPr>
        <w:autoSpaceDE w:val="0"/>
        <w:autoSpaceDN w:val="0"/>
        <w:adjustRightInd w:val="0"/>
        <w:ind w:firstLineChars="200" w:firstLine="640"/>
        <w:rPr>
          <w:rFonts w:ascii="楷体_GB2312" w:eastAsia="楷体_GB2312" w:hAnsi="Calibri" w:cs="楷体_GB2312"/>
          <w:kern w:val="0"/>
          <w:sz w:val="32"/>
          <w:szCs w:val="32"/>
        </w:rPr>
      </w:pPr>
      <w:r w:rsidRPr="00734DF9">
        <w:rPr>
          <w:rFonts w:ascii="黑体" w:eastAsia="黑体" w:hAnsi="Calibri" w:cs="黑体" w:hint="eastAsia"/>
          <w:kern w:val="0"/>
          <w:sz w:val="32"/>
          <w:szCs w:val="32"/>
        </w:rPr>
        <w:lastRenderedPageBreak/>
        <w:t>六、保护中小投资者合法权益。</w:t>
      </w:r>
      <w:r w:rsidRPr="00734DF9">
        <w:rPr>
          <w:rFonts w:ascii="仿宋_GB2312" w:eastAsia="仿宋_GB2312" w:hAnsi="Calibri" w:cs="仿宋_GB2312" w:hint="eastAsia"/>
          <w:kern w:val="0"/>
          <w:sz w:val="32"/>
          <w:szCs w:val="32"/>
        </w:rPr>
        <w:t>配合证券监管部门，通过法治宣传、政策落实等方式，引导上市公司强化信息披露，提高公司透明度，保障中小股东权利，引导证券期货经营机构履行投资者适当性审查义务、信息披露义务和最大损失揭示义务，依法维护中小投资者正当权益。</w:t>
      </w:r>
      <w:r w:rsidRPr="00734DF9">
        <w:rPr>
          <w:rFonts w:ascii="楷体_GB2312" w:eastAsia="楷体_GB2312" w:hAnsi="Calibri" w:cs="楷体_GB2312" w:hint="eastAsia"/>
          <w:kern w:val="0"/>
          <w:sz w:val="32"/>
          <w:szCs w:val="32"/>
        </w:rPr>
        <w:t>（责任科室：资本市场科；电话：</w:t>
      </w:r>
      <w:r w:rsidRPr="00734DF9">
        <w:rPr>
          <w:rFonts w:ascii="仿宋_GB2312" w:eastAsia="仿宋_GB2312" w:hAnsi="Calibri" w:cs="仿宋_GB2312" w:hint="eastAsia"/>
          <w:kern w:val="0"/>
          <w:sz w:val="32"/>
          <w:szCs w:val="32"/>
        </w:rPr>
        <w:t>7212172</w:t>
      </w:r>
      <w:r w:rsidRPr="00734DF9">
        <w:rPr>
          <w:rFonts w:ascii="楷体_GB2312" w:eastAsia="楷体_GB2312" w:hAnsi="Calibri" w:cs="楷体_GB2312" w:hint="eastAsia"/>
          <w:kern w:val="0"/>
          <w:sz w:val="32"/>
          <w:szCs w:val="32"/>
        </w:rPr>
        <w:t>）</w:t>
      </w:r>
    </w:p>
    <w:p w:rsidR="00734DF9" w:rsidRPr="00734DF9" w:rsidRDefault="00734DF9" w:rsidP="00734DF9">
      <w:pPr>
        <w:autoSpaceDE w:val="0"/>
        <w:autoSpaceDN w:val="0"/>
        <w:adjustRightInd w:val="0"/>
        <w:ind w:firstLineChars="200" w:firstLine="640"/>
        <w:rPr>
          <w:rFonts w:ascii="楷体_GB2312" w:eastAsia="楷体_GB2312" w:hAnsi="Calibri" w:cs="楷体_GB2312"/>
          <w:kern w:val="0"/>
          <w:sz w:val="32"/>
          <w:szCs w:val="32"/>
        </w:rPr>
      </w:pPr>
    </w:p>
    <w:p w:rsidR="00734DF9" w:rsidRPr="00734DF9" w:rsidRDefault="00734DF9" w:rsidP="00734DF9">
      <w:pPr>
        <w:autoSpaceDE w:val="0"/>
        <w:autoSpaceDN w:val="0"/>
        <w:adjustRightInd w:val="0"/>
        <w:ind w:firstLineChars="200" w:firstLine="640"/>
        <w:rPr>
          <w:rFonts w:ascii="楷体_GB2312" w:eastAsia="楷体_GB2312" w:hAnsi="Calibri" w:cs="楷体_GB2312"/>
          <w:kern w:val="0"/>
          <w:sz w:val="32"/>
          <w:szCs w:val="32"/>
        </w:rPr>
      </w:pPr>
    </w:p>
    <w:p w:rsidR="00734DF9" w:rsidRPr="00734DF9" w:rsidRDefault="00734DF9" w:rsidP="00734DF9">
      <w:pPr>
        <w:autoSpaceDE w:val="0"/>
        <w:autoSpaceDN w:val="0"/>
        <w:adjustRightInd w:val="0"/>
        <w:ind w:firstLineChars="200" w:firstLine="640"/>
        <w:rPr>
          <w:rFonts w:ascii="仿宋_GB2312" w:eastAsia="仿宋_GB2312" w:hAnsi="Calibri" w:cs="楷体_GB2312"/>
          <w:kern w:val="0"/>
          <w:sz w:val="32"/>
          <w:szCs w:val="32"/>
        </w:rPr>
      </w:pPr>
      <w:r w:rsidRPr="00734DF9">
        <w:rPr>
          <w:rFonts w:ascii="楷体_GB2312" w:eastAsia="楷体_GB2312" w:hAnsi="Calibri" w:cs="楷体_GB2312" w:hint="eastAsia"/>
          <w:kern w:val="0"/>
          <w:sz w:val="32"/>
          <w:szCs w:val="32"/>
        </w:rPr>
        <w:t xml:space="preserve">               </w:t>
      </w:r>
      <w:r w:rsidRPr="00734DF9">
        <w:rPr>
          <w:rFonts w:ascii="仿宋_GB2312" w:eastAsia="仿宋_GB2312" w:hAnsi="Calibri" w:cs="楷体_GB2312" w:hint="eastAsia"/>
          <w:kern w:val="0"/>
          <w:sz w:val="32"/>
          <w:szCs w:val="32"/>
        </w:rPr>
        <w:t xml:space="preserve">  临淄区地方金融事务协调服务中心</w:t>
      </w:r>
    </w:p>
    <w:p w:rsidR="00734DF9" w:rsidRPr="00734DF9" w:rsidRDefault="00734DF9" w:rsidP="00734DF9">
      <w:pPr>
        <w:ind w:firstLineChars="1400" w:firstLine="4480"/>
        <w:rPr>
          <w:rFonts w:ascii="Calibri" w:eastAsia="宋体" w:hAnsi="Calibri" w:cs="Times New Roman"/>
          <w:szCs w:val="22"/>
        </w:rPr>
      </w:pPr>
      <w:r w:rsidRPr="00734DF9">
        <w:rPr>
          <w:rFonts w:ascii="仿宋_GB2312" w:eastAsia="仿宋_GB2312" w:hAnsi="Calibri" w:cs="楷体_GB2312" w:hint="eastAsia"/>
          <w:kern w:val="0"/>
          <w:sz w:val="32"/>
          <w:szCs w:val="32"/>
        </w:rPr>
        <w:t>2020年9月11日</w:t>
      </w:r>
    </w:p>
    <w:p w:rsidR="005B7480" w:rsidRDefault="005B7480" w:rsidP="005B7480"/>
    <w:p w:rsidR="005B7480" w:rsidRDefault="005B7480" w:rsidP="005B7480">
      <w:pPr>
        <w:pStyle w:val="1"/>
      </w:pPr>
    </w:p>
    <w:p w:rsidR="00734DF9" w:rsidRDefault="00734DF9" w:rsidP="00734DF9"/>
    <w:p w:rsidR="00734DF9" w:rsidRDefault="00734DF9" w:rsidP="00734DF9">
      <w:pPr>
        <w:pStyle w:val="1"/>
      </w:pPr>
    </w:p>
    <w:p w:rsidR="00734DF9" w:rsidRDefault="00734DF9" w:rsidP="00734DF9"/>
    <w:p w:rsidR="00734DF9" w:rsidRDefault="00734DF9" w:rsidP="00734DF9">
      <w:pPr>
        <w:pStyle w:val="1"/>
      </w:pPr>
    </w:p>
    <w:p w:rsidR="00734DF9" w:rsidRPr="00734DF9" w:rsidRDefault="00734DF9" w:rsidP="00734DF9">
      <w:pPr>
        <w:pStyle w:val="1"/>
      </w:pPr>
    </w:p>
    <w:p w:rsidR="005B7480" w:rsidRPr="005B7480" w:rsidRDefault="005B7480" w:rsidP="00060637">
      <w:pPr>
        <w:spacing w:line="600" w:lineRule="exact"/>
      </w:pPr>
      <w:r>
        <w:rPr>
          <w:rFonts w:ascii="仿宋_GB2312" w:eastAsia="仿宋_GB2312" w:hint="eastAsia"/>
          <w:noProof/>
          <w:color w:val="000000"/>
          <w:sz w:val="28"/>
          <w:szCs w:val="28"/>
        </w:rPr>
        <mc:AlternateContent>
          <mc:Choice Requires="wps">
            <w:drawing>
              <wp:anchor distT="0" distB="0" distL="114300" distR="114300" simplePos="0" relativeHeight="251662336" behindDoc="0" locked="0" layoutInCell="1" allowOverlap="1" wp14:anchorId="3C590F29" wp14:editId="3FA761C6">
                <wp:simplePos x="0" y="0"/>
                <wp:positionH relativeFrom="column">
                  <wp:posOffset>-10160</wp:posOffset>
                </wp:positionH>
                <wp:positionV relativeFrom="paragraph">
                  <wp:posOffset>457200</wp:posOffset>
                </wp:positionV>
                <wp:extent cx="55245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6pt" to="434.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"/>
            </w:pict>
          </mc:Fallback>
        </mc:AlternateContent>
      </w:r>
      <w:r>
        <w:rPr>
          <w:rFonts w:ascii="仿宋_GB2312" w:eastAsia="仿宋_GB2312" w:hint="eastAsia"/>
          <w:noProof/>
          <w:color w:val="000000"/>
          <w:sz w:val="28"/>
          <w:szCs w:val="28"/>
        </w:rPr>
        <mc:AlternateContent>
          <mc:Choice Requires="wps">
            <w:drawing>
              <wp:anchor distT="0" distB="0" distL="114300" distR="114300" simplePos="0" relativeHeight="251661312" behindDoc="0" locked="0" layoutInCell="1" allowOverlap="1" wp14:anchorId="135EC685" wp14:editId="35F28AC6">
                <wp:simplePos x="0" y="0"/>
                <wp:positionH relativeFrom="column">
                  <wp:posOffset>5080</wp:posOffset>
                </wp:positionH>
                <wp:positionV relativeFrom="paragraph">
                  <wp:posOffset>15240</wp:posOffset>
                </wp:positionV>
                <wp:extent cx="5509260" cy="0"/>
                <wp:effectExtent l="0" t="0" r="1524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pt" to="43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"/>
            </w:pict>
          </mc:Fallback>
        </mc:AlternateContent>
      </w:r>
      <w:r>
        <w:rPr>
          <w:rFonts w:ascii="仿宋_GB2312" w:eastAsia="仿宋_GB2312" w:hint="eastAsia"/>
          <w:color w:val="000000"/>
          <w:sz w:val="28"/>
          <w:szCs w:val="28"/>
        </w:rPr>
        <w:t xml:space="preserve">  区金融协调服务中心                     2020年</w:t>
      </w:r>
      <w:r w:rsidR="00734DF9">
        <w:rPr>
          <w:rFonts w:ascii="仿宋_GB2312" w:eastAsia="仿宋_GB2312" w:hint="eastAsia"/>
          <w:color w:val="000000"/>
          <w:sz w:val="28"/>
          <w:szCs w:val="28"/>
        </w:rPr>
        <w:t>9</w:t>
      </w:r>
      <w:r>
        <w:rPr>
          <w:rFonts w:ascii="仿宋_GB2312" w:eastAsia="仿宋_GB2312" w:hint="eastAsia"/>
          <w:color w:val="000000"/>
          <w:sz w:val="28"/>
          <w:szCs w:val="28"/>
        </w:rPr>
        <w:t>月</w:t>
      </w:r>
      <w:r w:rsidR="00734DF9">
        <w:rPr>
          <w:rFonts w:ascii="仿宋_GB2312" w:eastAsia="仿宋_GB2312" w:hint="eastAsia"/>
          <w:color w:val="000000"/>
          <w:sz w:val="28"/>
          <w:szCs w:val="28"/>
        </w:rPr>
        <w:t>11</w:t>
      </w:r>
      <w:r>
        <w:rPr>
          <w:rFonts w:ascii="仿宋_GB2312" w:eastAsia="仿宋_GB2312" w:hint="eastAsia"/>
          <w:color w:val="000000"/>
          <w:sz w:val="28"/>
          <w:szCs w:val="28"/>
        </w:rPr>
        <w:t>日印发</w:t>
      </w:r>
    </w:p>
    <w:sectPr w:rsidR="005B7480" w:rsidRPr="005B7480" w:rsidSect="00AA3450">
      <w:footerReference w:type="even" r:id="rId8"/>
      <w:footerReference w:type="default" r:id="rId9"/>
      <w:pgSz w:w="11906" w:h="16838" w:code="9"/>
      <w:pgMar w:top="2098" w:right="1474" w:bottom="1985"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A4" w:rsidRDefault="006E1DA4">
      <w:r>
        <w:separator/>
      </w:r>
    </w:p>
  </w:endnote>
  <w:endnote w:type="continuationSeparator" w:id="0">
    <w:p w:rsidR="006E1DA4" w:rsidRDefault="006E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130071"/>
      <w:docPartObj>
        <w:docPartGallery w:val="Page Numbers (Bottom of Page)"/>
        <w:docPartUnique/>
      </w:docPartObj>
    </w:sdtPr>
    <w:sdtEndPr/>
    <w:sdtContent>
      <w:p w:rsidR="00AA3450" w:rsidRDefault="00AA3450" w:rsidP="00AA3450">
        <w:pPr>
          <w:pStyle w:val="a4"/>
          <w:ind w:right="180"/>
          <w:jc w:val="right"/>
        </w:pPr>
        <w:r>
          <w:rPr>
            <w:rFonts w:ascii="宋体" w:eastAsia="宋体" w:hAnsi="宋体" w:hint="eastAsia"/>
            <w:sz w:val="28"/>
            <w:szCs w:val="28"/>
          </w:rPr>
          <w:t xml:space="preserve">   </w:t>
        </w:r>
      </w:p>
    </w:sdtContent>
  </w:sdt>
  <w:sdt>
    <w:sdtPr>
      <w:id w:val="-1250575623"/>
      <w:docPartObj>
        <w:docPartGallery w:val="Page Numbers (Bottom of Page)"/>
        <w:docPartUnique/>
      </w:docPartObj>
    </w:sdtPr>
    <w:sdtEndPr/>
    <w:sdtContent>
      <w:p w:rsidR="00AA3450" w:rsidRDefault="00AA3450" w:rsidP="00AA3450">
        <w:pPr>
          <w:pStyle w:val="a4"/>
          <w:ind w:right="180" w:firstLineChars="100" w:firstLine="180"/>
        </w:pPr>
        <w:r>
          <w:rPr>
            <w:rFonts w:ascii="宋体" w:eastAsia="宋体" w:hAnsi="宋体"/>
            <w:sz w:val="28"/>
            <w:szCs w:val="28"/>
          </w:rPr>
          <w:t>—</w:t>
        </w:r>
        <w:r>
          <w:rPr>
            <w:rFonts w:ascii="宋体" w:eastAsia="宋体" w:hAnsi="宋体" w:hint="eastAsia"/>
            <w:sz w:val="28"/>
            <w:szCs w:val="28"/>
          </w:rPr>
          <w:t xml:space="preserve"> </w:t>
        </w:r>
        <w:r>
          <w:rPr>
            <w:rFonts w:hint="eastAsia"/>
          </w:rPr>
          <w:t xml:space="preserve"> </w:t>
        </w:r>
        <w:r w:rsidRPr="00060637">
          <w:rPr>
            <w:rFonts w:ascii="宋体" w:eastAsia="宋体" w:hAnsi="宋体"/>
            <w:sz w:val="28"/>
            <w:szCs w:val="28"/>
          </w:rPr>
          <w:fldChar w:fldCharType="begin"/>
        </w:r>
        <w:r w:rsidRPr="00060637">
          <w:rPr>
            <w:rFonts w:ascii="宋体" w:eastAsia="宋体" w:hAnsi="宋体"/>
            <w:sz w:val="28"/>
            <w:szCs w:val="28"/>
          </w:rPr>
          <w:instrText>PAGE   \* MERGEFORMAT</w:instrText>
        </w:r>
        <w:r w:rsidRPr="00060637">
          <w:rPr>
            <w:rFonts w:ascii="宋体" w:eastAsia="宋体" w:hAnsi="宋体"/>
            <w:sz w:val="28"/>
            <w:szCs w:val="28"/>
          </w:rPr>
          <w:fldChar w:fldCharType="separate"/>
        </w:r>
        <w:r w:rsidR="00A14CE7" w:rsidRPr="00A14CE7">
          <w:rPr>
            <w:rFonts w:ascii="宋体" w:eastAsia="宋体" w:hAnsi="宋体"/>
            <w:noProof/>
            <w:sz w:val="28"/>
            <w:szCs w:val="28"/>
            <w:lang w:val="zh-CN"/>
          </w:rPr>
          <w:t>2</w:t>
        </w:r>
        <w:r w:rsidRPr="00060637">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sz w:val="28"/>
            <w:szCs w:val="28"/>
          </w:rPr>
          <w:t>—</w:t>
        </w:r>
        <w:r>
          <w:rPr>
            <w:rFonts w:ascii="宋体" w:eastAsia="宋体" w:hAnsi="宋体" w:hint="eastAsia"/>
            <w:sz w:val="28"/>
            <w:szCs w:val="28"/>
          </w:rPr>
          <w:t xml:space="preserve">   </w:t>
        </w:r>
      </w:p>
    </w:sdtContent>
  </w:sdt>
  <w:p w:rsidR="00060637" w:rsidRPr="00AA3450" w:rsidRDefault="00060637" w:rsidP="00AA3450">
    <w:pPr>
      <w:pStyle w:val="a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35674"/>
      <w:docPartObj>
        <w:docPartGallery w:val="Page Numbers (Bottom of Page)"/>
        <w:docPartUnique/>
      </w:docPartObj>
    </w:sdtPr>
    <w:sdtEndPr/>
    <w:sdtContent>
      <w:p w:rsidR="00060637" w:rsidRDefault="00060637" w:rsidP="00060637">
        <w:pPr>
          <w:pStyle w:val="a4"/>
          <w:ind w:right="180"/>
          <w:jc w:val="right"/>
        </w:pPr>
        <w:r>
          <w:rPr>
            <w:rFonts w:ascii="宋体" w:eastAsia="宋体" w:hAnsi="宋体"/>
            <w:sz w:val="28"/>
            <w:szCs w:val="28"/>
          </w:rPr>
          <w:t>—</w:t>
        </w:r>
        <w:r>
          <w:rPr>
            <w:rFonts w:ascii="宋体" w:eastAsia="宋体" w:hAnsi="宋体" w:hint="eastAsia"/>
            <w:sz w:val="28"/>
            <w:szCs w:val="28"/>
          </w:rPr>
          <w:t xml:space="preserve"> </w:t>
        </w:r>
        <w:r>
          <w:rPr>
            <w:rFonts w:hint="eastAsia"/>
          </w:rPr>
          <w:t xml:space="preserve"> </w:t>
        </w:r>
        <w:r w:rsidRPr="00060637">
          <w:rPr>
            <w:rFonts w:ascii="宋体" w:eastAsia="宋体" w:hAnsi="宋体"/>
            <w:sz w:val="28"/>
            <w:szCs w:val="28"/>
          </w:rPr>
          <w:fldChar w:fldCharType="begin"/>
        </w:r>
        <w:r w:rsidRPr="00060637">
          <w:rPr>
            <w:rFonts w:ascii="宋体" w:eastAsia="宋体" w:hAnsi="宋体"/>
            <w:sz w:val="28"/>
            <w:szCs w:val="28"/>
          </w:rPr>
          <w:instrText>PAGE   \* MERGEFORMAT</w:instrText>
        </w:r>
        <w:r w:rsidRPr="00060637">
          <w:rPr>
            <w:rFonts w:ascii="宋体" w:eastAsia="宋体" w:hAnsi="宋体"/>
            <w:sz w:val="28"/>
            <w:szCs w:val="28"/>
          </w:rPr>
          <w:fldChar w:fldCharType="separate"/>
        </w:r>
        <w:r w:rsidR="00A14CE7" w:rsidRPr="00A14CE7">
          <w:rPr>
            <w:rFonts w:ascii="宋体" w:eastAsia="宋体" w:hAnsi="宋体"/>
            <w:noProof/>
            <w:sz w:val="28"/>
            <w:szCs w:val="28"/>
            <w:lang w:val="zh-CN"/>
          </w:rPr>
          <w:t>3</w:t>
        </w:r>
        <w:r w:rsidRPr="00060637">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sz w:val="28"/>
            <w:szCs w:val="28"/>
          </w:rPr>
          <w:t>—</w:t>
        </w:r>
        <w:r>
          <w:rPr>
            <w:rFonts w:ascii="宋体" w:eastAsia="宋体" w:hAnsi="宋体" w:hint="eastAsia"/>
            <w:sz w:val="28"/>
            <w:szCs w:val="28"/>
          </w:rPr>
          <w:t xml:space="preserve">   </w:t>
        </w:r>
      </w:p>
    </w:sdtContent>
  </w:sdt>
  <w:p w:rsidR="00441F1B" w:rsidRDefault="00441F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A4" w:rsidRDefault="006E1DA4">
      <w:r>
        <w:separator/>
      </w:r>
    </w:p>
  </w:footnote>
  <w:footnote w:type="continuationSeparator" w:id="0">
    <w:p w:rsidR="006E1DA4" w:rsidRDefault="006E1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1B"/>
    <w:rsid w:val="00060637"/>
    <w:rsid w:val="000A5077"/>
    <w:rsid w:val="00441F1B"/>
    <w:rsid w:val="004B1071"/>
    <w:rsid w:val="005242BB"/>
    <w:rsid w:val="005B4DEA"/>
    <w:rsid w:val="005B7480"/>
    <w:rsid w:val="00685B70"/>
    <w:rsid w:val="006E1DA4"/>
    <w:rsid w:val="00734DF9"/>
    <w:rsid w:val="00A14CE7"/>
    <w:rsid w:val="00AA3450"/>
    <w:rsid w:val="00AC3538"/>
    <w:rsid w:val="00BA70C4"/>
    <w:rsid w:val="00EE2C7D"/>
    <w:rsid w:val="01E67D00"/>
    <w:rsid w:val="02675C35"/>
    <w:rsid w:val="02E25971"/>
    <w:rsid w:val="04925CD8"/>
    <w:rsid w:val="052F29ED"/>
    <w:rsid w:val="05C21C70"/>
    <w:rsid w:val="0898211F"/>
    <w:rsid w:val="09786CE4"/>
    <w:rsid w:val="098207C4"/>
    <w:rsid w:val="0A097C12"/>
    <w:rsid w:val="0A6A611D"/>
    <w:rsid w:val="0B2E3DE8"/>
    <w:rsid w:val="0C9D1C13"/>
    <w:rsid w:val="134D56BB"/>
    <w:rsid w:val="188C0BF2"/>
    <w:rsid w:val="19F23B26"/>
    <w:rsid w:val="1B70339E"/>
    <w:rsid w:val="1CE56194"/>
    <w:rsid w:val="1E4F074D"/>
    <w:rsid w:val="1E9C7EF6"/>
    <w:rsid w:val="1F326FEF"/>
    <w:rsid w:val="1F404A19"/>
    <w:rsid w:val="22452753"/>
    <w:rsid w:val="23A75260"/>
    <w:rsid w:val="240423E6"/>
    <w:rsid w:val="240460A1"/>
    <w:rsid w:val="260B3C82"/>
    <w:rsid w:val="269C2E2A"/>
    <w:rsid w:val="26B31066"/>
    <w:rsid w:val="27047FC5"/>
    <w:rsid w:val="286B42AB"/>
    <w:rsid w:val="2A674CC2"/>
    <w:rsid w:val="2B2D7DC4"/>
    <w:rsid w:val="334F16A2"/>
    <w:rsid w:val="338B1CD0"/>
    <w:rsid w:val="35133D0E"/>
    <w:rsid w:val="36212018"/>
    <w:rsid w:val="363534BA"/>
    <w:rsid w:val="38CE4777"/>
    <w:rsid w:val="38FC7776"/>
    <w:rsid w:val="398716A2"/>
    <w:rsid w:val="3A541478"/>
    <w:rsid w:val="3BA17F58"/>
    <w:rsid w:val="406A695E"/>
    <w:rsid w:val="41274737"/>
    <w:rsid w:val="41714513"/>
    <w:rsid w:val="43653ECF"/>
    <w:rsid w:val="4377158F"/>
    <w:rsid w:val="450D2EFF"/>
    <w:rsid w:val="45A804F9"/>
    <w:rsid w:val="45F81327"/>
    <w:rsid w:val="466F2647"/>
    <w:rsid w:val="47027920"/>
    <w:rsid w:val="47203C3F"/>
    <w:rsid w:val="47D93F8D"/>
    <w:rsid w:val="483235E4"/>
    <w:rsid w:val="48C770CC"/>
    <w:rsid w:val="49246F9D"/>
    <w:rsid w:val="4A317F1B"/>
    <w:rsid w:val="4B735273"/>
    <w:rsid w:val="4CE22867"/>
    <w:rsid w:val="4F113472"/>
    <w:rsid w:val="510E6AE4"/>
    <w:rsid w:val="516A500E"/>
    <w:rsid w:val="517C3D34"/>
    <w:rsid w:val="522A03A3"/>
    <w:rsid w:val="55554A21"/>
    <w:rsid w:val="56956C64"/>
    <w:rsid w:val="572B6172"/>
    <w:rsid w:val="575919C3"/>
    <w:rsid w:val="57A01EEF"/>
    <w:rsid w:val="57EB561F"/>
    <w:rsid w:val="58434797"/>
    <w:rsid w:val="5A7732C3"/>
    <w:rsid w:val="5C0B2107"/>
    <w:rsid w:val="5C816B1E"/>
    <w:rsid w:val="5D2B409E"/>
    <w:rsid w:val="5D772BD2"/>
    <w:rsid w:val="5E777F3C"/>
    <w:rsid w:val="5FD142C6"/>
    <w:rsid w:val="60534CB7"/>
    <w:rsid w:val="60EC611F"/>
    <w:rsid w:val="625041A9"/>
    <w:rsid w:val="627B11C7"/>
    <w:rsid w:val="66C320A0"/>
    <w:rsid w:val="67615490"/>
    <w:rsid w:val="67784354"/>
    <w:rsid w:val="695041A6"/>
    <w:rsid w:val="6AA67196"/>
    <w:rsid w:val="6AB55C40"/>
    <w:rsid w:val="6ACF4480"/>
    <w:rsid w:val="6B801AB6"/>
    <w:rsid w:val="6C1C0BBC"/>
    <w:rsid w:val="6CA82565"/>
    <w:rsid w:val="6D8C6850"/>
    <w:rsid w:val="6F6422EB"/>
    <w:rsid w:val="70E271E3"/>
    <w:rsid w:val="74B751DC"/>
    <w:rsid w:val="75AE6030"/>
    <w:rsid w:val="762B3FAC"/>
    <w:rsid w:val="78F113BF"/>
    <w:rsid w:val="798B6D74"/>
    <w:rsid w:val="798F1A84"/>
    <w:rsid w:val="79A409FC"/>
    <w:rsid w:val="79BF1C65"/>
    <w:rsid w:val="79FA40AA"/>
    <w:rsid w:val="7C8D709E"/>
    <w:rsid w:val="7D444FC1"/>
    <w:rsid w:val="7E215E98"/>
    <w:rsid w:val="7FD65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Normal (Web)"/>
    <w:basedOn w:val="a"/>
    <w:pPr>
      <w:jc w:val="left"/>
    </w:pPr>
    <w:rPr>
      <w:rFonts w:cs="Times New Roman"/>
      <w:kern w:val="0"/>
      <w:sz w:val="24"/>
    </w:rPr>
  </w:style>
  <w:style w:type="paragraph" w:styleId="a6">
    <w:name w:val="List Paragraph"/>
    <w:basedOn w:val="a"/>
    <w:uiPriority w:val="34"/>
    <w:qFormat/>
    <w:pPr>
      <w:ind w:firstLineChars="200" w:firstLine="420"/>
    </w:pPr>
  </w:style>
  <w:style w:type="table" w:styleId="a7">
    <w:name w:val="Table Grid"/>
    <w:basedOn w:val="a1"/>
    <w:rsid w:val="00AC35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rsid w:val="005B74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5B7480"/>
    <w:rPr>
      <w:rFonts w:asciiTheme="minorHAnsi" w:eastAsiaTheme="minorEastAsia" w:hAnsiTheme="minorHAnsi" w:cstheme="minorBidi"/>
      <w:kern w:val="2"/>
      <w:sz w:val="18"/>
      <w:szCs w:val="18"/>
    </w:rPr>
  </w:style>
  <w:style w:type="character" w:customStyle="1" w:styleId="Char">
    <w:name w:val="页脚 Char"/>
    <w:basedOn w:val="a0"/>
    <w:link w:val="a4"/>
    <w:uiPriority w:val="99"/>
    <w:rsid w:val="00060637"/>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Normal (Web)"/>
    <w:basedOn w:val="a"/>
    <w:pPr>
      <w:jc w:val="left"/>
    </w:pPr>
    <w:rPr>
      <w:rFonts w:cs="Times New Roman"/>
      <w:kern w:val="0"/>
      <w:sz w:val="24"/>
    </w:rPr>
  </w:style>
  <w:style w:type="paragraph" w:styleId="a6">
    <w:name w:val="List Paragraph"/>
    <w:basedOn w:val="a"/>
    <w:uiPriority w:val="34"/>
    <w:qFormat/>
    <w:pPr>
      <w:ind w:firstLineChars="200" w:firstLine="420"/>
    </w:pPr>
  </w:style>
  <w:style w:type="table" w:styleId="a7">
    <w:name w:val="Table Grid"/>
    <w:basedOn w:val="a1"/>
    <w:rsid w:val="00AC35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rsid w:val="005B74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5B7480"/>
    <w:rPr>
      <w:rFonts w:asciiTheme="minorHAnsi" w:eastAsiaTheme="minorEastAsia" w:hAnsiTheme="minorHAnsi" w:cstheme="minorBidi"/>
      <w:kern w:val="2"/>
      <w:sz w:val="18"/>
      <w:szCs w:val="18"/>
    </w:rPr>
  </w:style>
  <w:style w:type="character" w:customStyle="1" w:styleId="Char">
    <w:name w:val="页脚 Char"/>
    <w:basedOn w:val="a0"/>
    <w:link w:val="a4"/>
    <w:uiPriority w:val="99"/>
    <w:rsid w:val="00060637"/>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Administrator.USER-20181122LS</dc:creator>
  <cp:lastModifiedBy>xb21cn</cp:lastModifiedBy>
  <cp:revision>4</cp:revision>
  <cp:lastPrinted>2020-12-31T09:22:00Z</cp:lastPrinted>
  <dcterms:created xsi:type="dcterms:W3CDTF">2020-12-31T09:00:00Z</dcterms:created>
  <dcterms:modified xsi:type="dcterms:W3CDTF">2020-12-31T09:22:00Z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