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1744">
      <w:pPr>
        <w:jc w:val="center"/>
        <w:rPr>
          <w:rFonts w:hint="default" w:ascii="Times New Roman" w:hAnsi="Times New Roman" w:eastAsia="方正小标宋简体" w:cs="Times New Roman"/>
          <w:sz w:val="44"/>
          <w:szCs w:val="44"/>
        </w:rPr>
      </w:pPr>
    </w:p>
    <w:p w14:paraId="064CA4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临淄区发展和改革局202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年政府</w:t>
      </w:r>
    </w:p>
    <w:p w14:paraId="551750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信息公开工作年度报告</w:t>
      </w:r>
    </w:p>
    <w:p w14:paraId="502240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p>
    <w:p w14:paraId="4F975D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shd w:val="clear" w:color="auto" w:fill="FFFFFF"/>
        </w:rPr>
        <w:t>本年度报告中所列数据统计期限从202</w:t>
      </w:r>
      <w:r>
        <w:rPr>
          <w:rFonts w:hint="default" w:ascii="Times New Roman" w:hAnsi="Times New Roman" w:eastAsia="仿宋" w:cs="Times New Roman"/>
          <w:color w:val="000000"/>
          <w:sz w:val="32"/>
          <w:szCs w:val="32"/>
          <w:shd w:val="clear" w:color="auto" w:fill="FFFFFF"/>
          <w:lang w:val="en-US" w:eastAsia="zh-CN"/>
        </w:rPr>
        <w:t>4</w:t>
      </w:r>
      <w:r>
        <w:rPr>
          <w:rFonts w:hint="default" w:ascii="Times New Roman" w:hAnsi="Times New Roman" w:eastAsia="仿宋" w:cs="Times New Roman"/>
          <w:color w:val="000000"/>
          <w:sz w:val="32"/>
          <w:szCs w:val="32"/>
          <w:shd w:val="clear" w:color="auto" w:fill="FFFFFF"/>
        </w:rPr>
        <w:t>年1月1日到12月31日止。如对报告内容有疑问，请与淄博市临淄区发展和改革局联系（地址：临淄区齐兴路101号；邮编：255400；电话：0533-7220462；邮箱：lzqfgjbgs@zb.shandong.cn）</w:t>
      </w:r>
    </w:p>
    <w:p w14:paraId="079DA8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sz w:val="32"/>
          <w:szCs w:val="32"/>
        </w:rPr>
        <w:t>一、总体情况</w:t>
      </w:r>
    </w:p>
    <w:p w14:paraId="5B13BD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FF0000"/>
          <w:spacing w:val="-2"/>
          <w:sz w:val="32"/>
          <w:szCs w:val="32"/>
          <w:shd w:val="clear" w:color="auto" w:fill="FFFFFF"/>
          <w:lang w:eastAsia="zh-CN"/>
        </w:rPr>
      </w:pP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年区发展和改革局坚持以习近平新时代中国特色社会主义思想为指导，深入学习贯彻党的二十大和二十届三中全会精神，认真落实区委、区政府决策部署</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spacing w:val="-2"/>
          <w:sz w:val="32"/>
          <w:szCs w:val="32"/>
          <w:shd w:val="clear" w:color="auto" w:fill="FFFFFF"/>
        </w:rPr>
        <w:t>“</w:t>
      </w:r>
      <w:r>
        <w:rPr>
          <w:rFonts w:hint="eastAsia" w:ascii="Times New Roman" w:hAnsi="Times New Roman" w:eastAsia="仿宋" w:cs="Times New Roman"/>
          <w:spacing w:val="-2"/>
          <w:sz w:val="32"/>
          <w:szCs w:val="32"/>
          <w:shd w:val="clear" w:color="auto" w:fill="FFFFFF"/>
        </w:rPr>
        <w:t>以公开为常态、不公开为例外”为原则，紧密结合发改局工作实际，不断推进政府信息公开工作深入开展。</w:t>
      </w:r>
    </w:p>
    <w:p w14:paraId="1620EBEB">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楷体" w:cs="Times New Roman"/>
          <w:color w:val="000000"/>
          <w:sz w:val="32"/>
          <w:szCs w:val="32"/>
          <w:shd w:val="clear" w:color="auto" w:fill="FFFFFF"/>
        </w:rPr>
        <w:t>主动公开</w:t>
      </w:r>
      <w:r>
        <w:rPr>
          <w:rFonts w:hint="eastAsia" w:ascii="Times New Roman" w:hAnsi="Times New Roman" w:eastAsia="楷体" w:cs="Times New Roman"/>
          <w:color w:val="000000"/>
          <w:sz w:val="32"/>
          <w:szCs w:val="32"/>
          <w:shd w:val="clear" w:color="auto" w:fill="FFFFFF"/>
          <w:lang w:val="en-US" w:eastAsia="zh-CN"/>
        </w:rPr>
        <w:t>方面</w:t>
      </w:r>
      <w:r>
        <w:rPr>
          <w:rFonts w:hint="default" w:ascii="Times New Roman" w:hAnsi="Times New Roman" w:eastAsia="楷体" w:cs="Times New Roman"/>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202</w:t>
      </w:r>
      <w:r>
        <w:rPr>
          <w:rFonts w:hint="eastAsia" w:ascii="Times New Roman" w:hAnsi="Times New Roman" w:eastAsia="仿宋" w:cs="Times New Roman"/>
          <w:color w:val="000000"/>
          <w:sz w:val="32"/>
          <w:szCs w:val="32"/>
          <w:shd w:val="clear" w:color="auto" w:fill="FFFFFF"/>
          <w:lang w:val="en-US" w:eastAsia="zh-CN"/>
        </w:rPr>
        <w:t>4</w:t>
      </w:r>
      <w:r>
        <w:rPr>
          <w:rFonts w:hint="default" w:ascii="Times New Roman" w:hAnsi="Times New Roman" w:eastAsia="仿宋" w:cs="Times New Roman"/>
          <w:color w:val="000000"/>
          <w:sz w:val="32"/>
          <w:szCs w:val="32"/>
          <w:shd w:val="clear" w:color="auto" w:fill="FFFFFF"/>
        </w:rPr>
        <w:t>年度，</w:t>
      </w:r>
      <w:r>
        <w:rPr>
          <w:rFonts w:hint="eastAsia" w:ascii="Times New Roman" w:hAnsi="Times New Roman" w:eastAsia="仿宋" w:cs="Times New Roman"/>
          <w:color w:val="000000"/>
          <w:sz w:val="32"/>
          <w:szCs w:val="32"/>
          <w:shd w:val="clear" w:color="auto" w:fill="FFFFFF"/>
          <w:lang w:val="en-US" w:eastAsia="zh-CN"/>
        </w:rPr>
        <w:t>临淄</w:t>
      </w:r>
      <w:r>
        <w:rPr>
          <w:rFonts w:hint="default" w:ascii="Times New Roman" w:hAnsi="Times New Roman" w:eastAsia="仿宋" w:cs="Times New Roman"/>
          <w:color w:val="000000"/>
          <w:sz w:val="32"/>
          <w:szCs w:val="32"/>
          <w:shd w:val="clear" w:color="auto" w:fill="FFFFFF"/>
        </w:rPr>
        <w:t>区发展和改革局认真落实政务公开政务服务工作要点，全面推进政府信息公开工作，主动公开政务信息</w:t>
      </w:r>
      <w:r>
        <w:rPr>
          <w:rFonts w:hint="eastAsia" w:ascii="Times New Roman" w:hAnsi="Times New Roman" w:eastAsia="仿宋" w:cs="Times New Roman"/>
          <w:color w:val="000000"/>
          <w:sz w:val="32"/>
          <w:szCs w:val="32"/>
          <w:shd w:val="clear" w:color="auto" w:fill="FFFFFF"/>
          <w:lang w:val="en-US" w:eastAsia="zh-CN"/>
        </w:rPr>
        <w:t>111</w:t>
      </w:r>
      <w:r>
        <w:rPr>
          <w:rFonts w:hint="default" w:ascii="Times New Roman" w:hAnsi="Times New Roman" w:eastAsia="仿宋" w:cs="Times New Roman"/>
          <w:color w:val="000000"/>
          <w:sz w:val="32"/>
          <w:szCs w:val="32"/>
          <w:shd w:val="clear" w:color="auto" w:fill="FFFFFF"/>
        </w:rPr>
        <w:t>次（条），主要包括领导信息、规划信息、会议公开、</w:t>
      </w:r>
      <w:r>
        <w:rPr>
          <w:rFonts w:hint="eastAsia" w:ascii="Times New Roman" w:hAnsi="Times New Roman" w:eastAsia="仿宋" w:cs="Times New Roman"/>
          <w:color w:val="000000"/>
          <w:sz w:val="32"/>
          <w:szCs w:val="32"/>
          <w:shd w:val="clear" w:color="auto" w:fill="FFFFFF"/>
          <w:lang w:val="en-US" w:eastAsia="zh-CN"/>
        </w:rPr>
        <w:t>物价收费</w:t>
      </w:r>
      <w:r>
        <w:rPr>
          <w:rFonts w:hint="default" w:ascii="Times New Roman" w:hAnsi="Times New Roman" w:eastAsia="仿宋" w:cs="Times New Roman"/>
          <w:color w:val="000000"/>
          <w:sz w:val="32"/>
          <w:szCs w:val="32"/>
          <w:shd w:val="clear" w:color="auto" w:fill="FFFFFF"/>
        </w:rPr>
        <w:t>、</w:t>
      </w:r>
      <w:r>
        <w:rPr>
          <w:rFonts w:hint="eastAsia" w:ascii="Times New Roman" w:hAnsi="Times New Roman" w:eastAsia="仿宋" w:cs="Times New Roman"/>
          <w:color w:val="000000"/>
          <w:sz w:val="32"/>
          <w:szCs w:val="32"/>
          <w:shd w:val="clear" w:color="auto" w:fill="FFFFFF"/>
          <w:lang w:eastAsia="zh-CN"/>
        </w:rPr>
        <w:t>“</w:t>
      </w:r>
      <w:r>
        <w:rPr>
          <w:rFonts w:hint="eastAsia" w:ascii="Times New Roman" w:hAnsi="Times New Roman" w:eastAsia="仿宋" w:cs="Times New Roman"/>
          <w:color w:val="000000"/>
          <w:sz w:val="32"/>
          <w:szCs w:val="32"/>
          <w:shd w:val="clear" w:color="auto" w:fill="FFFFFF"/>
          <w:lang w:val="en-US" w:eastAsia="zh-CN"/>
        </w:rPr>
        <w:t>双随机、一公开</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、财政信息、</w:t>
      </w:r>
      <w:r>
        <w:rPr>
          <w:rFonts w:hint="eastAsia" w:ascii="Times New Roman" w:hAnsi="Times New Roman" w:eastAsia="仿宋" w:cs="Times New Roman"/>
          <w:color w:val="000000"/>
          <w:sz w:val="32"/>
          <w:szCs w:val="32"/>
          <w:shd w:val="clear" w:color="auto" w:fill="FFFFFF"/>
          <w:lang w:val="en-US" w:eastAsia="zh-CN"/>
        </w:rPr>
        <w:t>重大建设项目</w:t>
      </w:r>
      <w:r>
        <w:rPr>
          <w:rFonts w:hint="default" w:ascii="Times New Roman" w:hAnsi="Times New Roman" w:eastAsia="仿宋" w:cs="Times New Roman"/>
          <w:color w:val="000000"/>
          <w:sz w:val="32"/>
          <w:szCs w:val="32"/>
          <w:shd w:val="clear" w:color="auto" w:fill="FFFFFF"/>
        </w:rPr>
        <w:t>、政务公开保障机制等。</w:t>
      </w:r>
    </w:p>
    <w:p w14:paraId="41F14827">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FF0000"/>
          <w:sz w:val="32"/>
          <w:szCs w:val="32"/>
          <w:shd w:val="clear" w:color="auto" w:fill="FFFFFF"/>
        </w:rPr>
      </w:pPr>
      <w:r>
        <w:rPr>
          <w:rFonts w:hint="default" w:ascii="Times New Roman" w:hAnsi="Times New Roman" w:eastAsia="楷体" w:cs="Times New Roman"/>
          <w:color w:val="000000"/>
          <w:sz w:val="32"/>
          <w:szCs w:val="32"/>
          <w:shd w:val="clear" w:color="auto" w:fill="FFFFFF"/>
        </w:rPr>
        <w:t>依申请公开工作</w:t>
      </w:r>
      <w:r>
        <w:rPr>
          <w:rFonts w:hint="eastAsia" w:ascii="Times New Roman" w:hAnsi="Times New Roman" w:eastAsia="楷体" w:cs="Times New Roman"/>
          <w:color w:val="000000"/>
          <w:sz w:val="32"/>
          <w:szCs w:val="32"/>
          <w:shd w:val="clear" w:color="auto" w:fill="FFFFFF"/>
          <w:lang w:val="en-US" w:eastAsia="zh-CN"/>
        </w:rPr>
        <w:t>方面</w:t>
      </w:r>
      <w:r>
        <w:rPr>
          <w:rFonts w:hint="default" w:ascii="Times New Roman" w:hAnsi="Times New Roman" w:eastAsia="楷体" w:cs="Times New Roman"/>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202</w:t>
      </w:r>
      <w:r>
        <w:rPr>
          <w:rFonts w:hint="eastAsia" w:ascii="Times New Roman" w:hAnsi="Times New Roman" w:eastAsia="仿宋" w:cs="Times New Roman"/>
          <w:color w:val="000000"/>
          <w:sz w:val="32"/>
          <w:szCs w:val="32"/>
          <w:shd w:val="clear" w:color="auto" w:fill="FFFFFF"/>
          <w:lang w:val="en-US" w:eastAsia="zh-CN"/>
        </w:rPr>
        <w:t>4</w:t>
      </w:r>
      <w:r>
        <w:rPr>
          <w:rFonts w:hint="default" w:ascii="Times New Roman" w:hAnsi="Times New Roman" w:eastAsia="仿宋" w:cs="Times New Roman"/>
          <w:color w:val="000000"/>
          <w:sz w:val="32"/>
          <w:szCs w:val="32"/>
          <w:shd w:val="clear" w:color="auto" w:fill="FFFFFF"/>
        </w:rPr>
        <w:t>年，区发改局收到政府信息公开申请</w:t>
      </w:r>
      <w:r>
        <w:rPr>
          <w:rFonts w:hint="eastAsia" w:ascii="Times New Roman" w:hAnsi="Times New Roman" w:eastAsia="仿宋" w:cs="Times New Roman"/>
          <w:color w:val="000000"/>
          <w:sz w:val="32"/>
          <w:szCs w:val="32"/>
          <w:shd w:val="clear" w:color="auto" w:fill="FFFFFF"/>
          <w:lang w:val="en-US" w:eastAsia="zh-CN"/>
        </w:rPr>
        <w:t>6</w:t>
      </w:r>
      <w:r>
        <w:rPr>
          <w:rFonts w:hint="default" w:ascii="Times New Roman" w:hAnsi="Times New Roman" w:eastAsia="仿宋" w:cs="Times New Roman"/>
          <w:color w:val="000000"/>
          <w:sz w:val="32"/>
          <w:szCs w:val="32"/>
          <w:shd w:val="clear" w:color="auto" w:fill="FFFFFF"/>
        </w:rPr>
        <w:t>件</w:t>
      </w:r>
      <w:r>
        <w:rPr>
          <w:rFonts w:hint="eastAsia" w:ascii="Times New Roman" w:hAnsi="Times New Roman" w:eastAsia="仿宋" w:cs="Times New Roman"/>
          <w:color w:val="000000"/>
          <w:sz w:val="32"/>
          <w:szCs w:val="32"/>
          <w:shd w:val="clear" w:color="auto" w:fill="FFFFFF"/>
          <w:lang w:val="en-US" w:eastAsia="zh-CN"/>
        </w:rPr>
        <w:t>次</w:t>
      </w:r>
      <w:r>
        <w:rPr>
          <w:rFonts w:hint="default" w:ascii="Times New Roman" w:hAnsi="Times New Roman" w:eastAsia="仿宋" w:cs="Times New Roman"/>
          <w:color w:val="000000"/>
          <w:sz w:val="32"/>
          <w:szCs w:val="32"/>
          <w:shd w:val="clear" w:color="auto" w:fill="FFFFFF"/>
        </w:rPr>
        <w:t>，全部依法依规予以办理。不存在因政府信息公开引发的行政复议、行政诉讼情况。</w:t>
      </w:r>
    </w:p>
    <w:p w14:paraId="057F8695">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FF0000"/>
          <w:sz w:val="32"/>
          <w:szCs w:val="32"/>
          <w:shd w:val="clear" w:color="auto" w:fill="FFFFFF"/>
        </w:rPr>
      </w:pPr>
      <w:r>
        <w:rPr>
          <w:rFonts w:hint="default" w:ascii="Times New Roman" w:hAnsi="Times New Roman" w:eastAsia="楷体" w:cs="Times New Roman"/>
          <w:color w:val="000000"/>
          <w:sz w:val="32"/>
          <w:szCs w:val="32"/>
          <w:shd w:val="clear" w:color="auto" w:fill="FFFFFF"/>
        </w:rPr>
        <w:t>政府信息管理</w:t>
      </w:r>
      <w:r>
        <w:rPr>
          <w:rFonts w:hint="eastAsia" w:ascii="Times New Roman" w:hAnsi="Times New Roman" w:eastAsia="楷体" w:cs="Times New Roman"/>
          <w:color w:val="000000"/>
          <w:sz w:val="32"/>
          <w:szCs w:val="32"/>
          <w:shd w:val="clear" w:color="auto" w:fill="FFFFFF"/>
          <w:lang w:val="en-US" w:eastAsia="zh-CN"/>
        </w:rPr>
        <w:t>方面</w:t>
      </w:r>
      <w:r>
        <w:rPr>
          <w:rFonts w:hint="default" w:ascii="Times New Roman" w:hAnsi="Times New Roman" w:eastAsia="楷体" w:cs="Times New Roman"/>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在政府网站主动公开基本目录，并依据实际情况动态调整、实时更新，保障目录时效性与精准度。明确各公开事项的责任主体、具体内容、公开时限以及发布方式等关键要素，力保各环节信息准确无误。严格落实政府信息公开保密审查机制，强化风险防控意识，坚决杜绝因政务信息公开不当所引发的失泄密风险。进一步强化政府信息发布管理力度，扎实做好信息公开前的保密审查工作，确保政府信息能够及时、规范、有序地向社会公开。</w:t>
      </w:r>
    </w:p>
    <w:p w14:paraId="37097671">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楷体" w:cs="Times New Roman"/>
          <w:color w:val="000000"/>
          <w:sz w:val="32"/>
          <w:szCs w:val="32"/>
          <w:shd w:val="clear" w:color="auto" w:fill="FFFFFF"/>
        </w:rPr>
        <w:t>政府信息公开平台建设情况。</w:t>
      </w:r>
      <w:r>
        <w:rPr>
          <w:rFonts w:hint="default" w:ascii="Times New Roman" w:hAnsi="Times New Roman" w:eastAsia="仿宋" w:cs="Times New Roman"/>
          <w:color w:val="000000"/>
          <w:sz w:val="32"/>
          <w:szCs w:val="32"/>
          <w:shd w:val="clear" w:color="auto" w:fill="FFFFFF"/>
        </w:rPr>
        <w:t>202</w:t>
      </w:r>
      <w:r>
        <w:rPr>
          <w:rFonts w:hint="eastAsia" w:ascii="Times New Roman" w:hAnsi="Times New Roman" w:eastAsia="仿宋" w:cs="Times New Roman"/>
          <w:color w:val="000000"/>
          <w:sz w:val="32"/>
          <w:szCs w:val="32"/>
          <w:shd w:val="clear" w:color="auto" w:fill="FFFFFF"/>
          <w:lang w:val="en-US" w:eastAsia="zh-CN"/>
        </w:rPr>
        <w:t>4</w:t>
      </w:r>
      <w:r>
        <w:rPr>
          <w:rFonts w:hint="default" w:ascii="Times New Roman" w:hAnsi="Times New Roman" w:eastAsia="仿宋" w:cs="Times New Roman"/>
          <w:color w:val="000000"/>
          <w:sz w:val="32"/>
          <w:szCs w:val="32"/>
          <w:shd w:val="clear" w:color="auto" w:fill="FFFFFF"/>
        </w:rPr>
        <w:t>年，我局</w:t>
      </w:r>
      <w:r>
        <w:rPr>
          <w:rFonts w:hint="eastAsia" w:ascii="Times New Roman" w:hAnsi="Times New Roman" w:eastAsia="仿宋" w:cs="Times New Roman"/>
          <w:color w:val="000000"/>
          <w:sz w:val="32"/>
          <w:szCs w:val="32"/>
          <w:shd w:val="clear" w:color="auto" w:fill="FFFFFF"/>
          <w:lang w:val="en-US" w:eastAsia="zh-CN"/>
        </w:rPr>
        <w:t>通过临淄区人民</w:t>
      </w:r>
      <w:r>
        <w:rPr>
          <w:rFonts w:hint="default" w:ascii="Times New Roman" w:hAnsi="Times New Roman" w:eastAsia="仿宋" w:cs="Times New Roman"/>
          <w:color w:val="000000"/>
          <w:sz w:val="32"/>
          <w:szCs w:val="32"/>
          <w:shd w:val="clear" w:color="auto" w:fill="FFFFFF"/>
        </w:rPr>
        <w:t>政府网站进行政务公开，及时发布主动公开的政府信息，并对各栏目公开情况进行动态化监测，扎实做好日常维护与更新工作，确保信息的时效性与准确性。</w:t>
      </w:r>
    </w:p>
    <w:p w14:paraId="7326737F">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楷体" w:cs="Times New Roman"/>
          <w:color w:val="000000"/>
          <w:sz w:val="32"/>
          <w:szCs w:val="32"/>
          <w:shd w:val="clear" w:color="auto" w:fill="FFFFFF"/>
        </w:rPr>
        <w:t>政府信息公开监督保障情况。</w:t>
      </w:r>
      <w:r>
        <w:rPr>
          <w:rFonts w:hint="default" w:ascii="Times New Roman" w:hAnsi="Times New Roman" w:eastAsia="仿宋" w:cs="Times New Roman"/>
          <w:color w:val="000000"/>
          <w:sz w:val="32"/>
          <w:szCs w:val="32"/>
          <w:shd w:val="clear" w:color="auto" w:fill="FFFFFF"/>
        </w:rPr>
        <w:t>基于人员调整变动情况，及时对政务公开工作领导小组进行相应调整。</w:t>
      </w:r>
      <w:r>
        <w:rPr>
          <w:rFonts w:hint="eastAsia" w:ascii="Times New Roman" w:hAnsi="Times New Roman" w:eastAsia="仿宋" w:cs="Times New Roman"/>
          <w:color w:val="000000"/>
          <w:sz w:val="32"/>
          <w:szCs w:val="32"/>
          <w:shd w:val="clear" w:color="auto" w:fill="FFFFFF"/>
          <w:lang w:val="en-US" w:eastAsia="zh-CN"/>
        </w:rPr>
        <w:t>由</w:t>
      </w:r>
      <w:r>
        <w:rPr>
          <w:rFonts w:hint="default" w:ascii="Times New Roman" w:hAnsi="Times New Roman" w:eastAsia="仿宋" w:cs="Times New Roman"/>
          <w:color w:val="000000"/>
          <w:sz w:val="32"/>
          <w:szCs w:val="32"/>
          <w:shd w:val="clear" w:color="auto" w:fill="FFFFFF"/>
        </w:rPr>
        <w:t>专人负责政务信息公开事务，针对部门人员开展业务培训，对发现的问题责令即刻整改到位，推动政府信息公开工作朝着更加规范化、制度化方向发展。将信息公开的各项任务细化分解至相关科室，并督促指导各科室及事业单位，切实做好政务信息公开工作 。</w:t>
      </w:r>
    </w:p>
    <w:p w14:paraId="2CB0A046">
      <w:pPr>
        <w:pStyle w:val="6"/>
        <w:numPr>
          <w:ilvl w:val="0"/>
          <w:numId w:val="2"/>
        </w:numPr>
        <w:spacing w:before="0" w:beforeAutospacing="0" w:after="0" w:afterAutospacing="0" w:line="560" w:lineRule="atLeast"/>
        <w:ind w:firstLine="640"/>
        <w:jc w:val="both"/>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主动公开政府信息情况</w:t>
      </w: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Layout w:type="fixed"/>
        <w:tblCellMar>
          <w:top w:w="0" w:type="dxa"/>
          <w:left w:w="108" w:type="dxa"/>
          <w:bottom w:w="0" w:type="dxa"/>
          <w:right w:w="108" w:type="dxa"/>
        </w:tblCellMar>
      </w:tblPr>
      <w:tblGrid>
        <w:gridCol w:w="2694"/>
        <w:gridCol w:w="1985"/>
        <w:gridCol w:w="2030"/>
        <w:gridCol w:w="2222"/>
      </w:tblGrid>
      <w:tr w14:paraId="2561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73" w:hRule="atLeast"/>
          <w:jc w:val="center"/>
        </w:trPr>
        <w:tc>
          <w:tcPr>
            <w:tcW w:w="8931" w:type="dxa"/>
            <w:gridSpan w:val="4"/>
            <w:shd w:val="clear" w:color="auto" w:fill="BDD6EE" w:themeFill="accent1" w:themeFillTint="66"/>
            <w:vAlign w:val="center"/>
          </w:tcPr>
          <w:p w14:paraId="7F58CF6A">
            <w:pPr>
              <w:jc w:val="center"/>
              <w:rPr>
                <w:rFonts w:hint="default" w:ascii="Times New Roman" w:hAnsi="Times New Roman" w:cs="Times New Roman"/>
                <w:sz w:val="24"/>
              </w:rPr>
            </w:pPr>
            <w:r>
              <w:rPr>
                <w:rFonts w:hint="default" w:ascii="Times New Roman" w:hAnsi="Times New Roman" w:cs="Times New Roman"/>
                <w:sz w:val="24"/>
              </w:rPr>
              <w:t>第二十条  第（一）项</w:t>
            </w:r>
          </w:p>
        </w:tc>
      </w:tr>
      <w:tr w14:paraId="4234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550" w:hRule="atLeast"/>
          <w:jc w:val="center"/>
        </w:trPr>
        <w:tc>
          <w:tcPr>
            <w:tcW w:w="2694" w:type="dxa"/>
            <w:shd w:val="clear" w:color="auto" w:fill="auto"/>
            <w:vAlign w:val="center"/>
          </w:tcPr>
          <w:p w14:paraId="1D4D0674">
            <w:pPr>
              <w:jc w:val="center"/>
              <w:rPr>
                <w:rFonts w:hint="default" w:ascii="Times New Roman" w:hAnsi="Times New Roman" w:cs="Times New Roman"/>
                <w:sz w:val="24"/>
              </w:rPr>
            </w:pPr>
            <w:r>
              <w:rPr>
                <w:rFonts w:hint="default" w:ascii="Times New Roman" w:hAnsi="Times New Roman" w:cs="Times New Roman"/>
                <w:sz w:val="24"/>
              </w:rPr>
              <w:t>信息内容</w:t>
            </w:r>
          </w:p>
        </w:tc>
        <w:tc>
          <w:tcPr>
            <w:tcW w:w="1985" w:type="dxa"/>
            <w:shd w:val="clear" w:color="auto" w:fill="auto"/>
            <w:vAlign w:val="center"/>
          </w:tcPr>
          <w:p w14:paraId="191A2BF2">
            <w:pPr>
              <w:jc w:val="center"/>
              <w:rPr>
                <w:rFonts w:hint="default" w:ascii="Times New Roman" w:hAnsi="Times New Roman" w:cs="Times New Roman"/>
                <w:sz w:val="24"/>
              </w:rPr>
            </w:pPr>
            <w:r>
              <w:rPr>
                <w:rFonts w:hint="default" w:ascii="Times New Roman" w:hAnsi="Times New Roman" w:cs="Times New Roman"/>
                <w:sz w:val="24"/>
              </w:rPr>
              <w:t>本年制发数量</w:t>
            </w:r>
          </w:p>
        </w:tc>
        <w:tc>
          <w:tcPr>
            <w:tcW w:w="2030" w:type="dxa"/>
            <w:shd w:val="clear" w:color="auto" w:fill="auto"/>
            <w:vAlign w:val="center"/>
          </w:tcPr>
          <w:p w14:paraId="6D5286DA">
            <w:pPr>
              <w:jc w:val="center"/>
              <w:rPr>
                <w:rFonts w:hint="default" w:ascii="Times New Roman" w:hAnsi="Times New Roman" w:cs="Times New Roman"/>
                <w:sz w:val="24"/>
              </w:rPr>
            </w:pPr>
            <w:r>
              <w:rPr>
                <w:rFonts w:hint="default" w:ascii="Times New Roman" w:hAnsi="Times New Roman" w:cs="Times New Roman"/>
                <w:sz w:val="24"/>
              </w:rPr>
              <w:t>本年废止件数</w:t>
            </w:r>
          </w:p>
        </w:tc>
        <w:tc>
          <w:tcPr>
            <w:tcW w:w="2222" w:type="dxa"/>
            <w:shd w:val="clear" w:color="auto" w:fill="auto"/>
            <w:vAlign w:val="center"/>
          </w:tcPr>
          <w:p w14:paraId="70B9EA1E">
            <w:pPr>
              <w:jc w:val="center"/>
              <w:rPr>
                <w:rFonts w:hint="default" w:ascii="Times New Roman" w:hAnsi="Times New Roman" w:cs="Times New Roman"/>
                <w:sz w:val="24"/>
              </w:rPr>
            </w:pPr>
            <w:r>
              <w:rPr>
                <w:rFonts w:hint="default" w:ascii="Times New Roman" w:hAnsi="Times New Roman" w:cs="Times New Roman"/>
                <w:sz w:val="24"/>
              </w:rPr>
              <w:t>现行有效件数</w:t>
            </w:r>
          </w:p>
        </w:tc>
      </w:tr>
      <w:tr w14:paraId="22E8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558" w:hRule="atLeast"/>
          <w:jc w:val="center"/>
        </w:trPr>
        <w:tc>
          <w:tcPr>
            <w:tcW w:w="2694" w:type="dxa"/>
            <w:shd w:val="clear" w:color="auto" w:fill="auto"/>
            <w:vAlign w:val="center"/>
          </w:tcPr>
          <w:p w14:paraId="59D91730">
            <w:pPr>
              <w:rPr>
                <w:rFonts w:hint="default" w:ascii="Times New Roman" w:hAnsi="Times New Roman" w:cs="Times New Roman"/>
                <w:sz w:val="24"/>
              </w:rPr>
            </w:pPr>
            <w:r>
              <w:rPr>
                <w:rFonts w:hint="default" w:ascii="Times New Roman" w:hAnsi="Times New Roman" w:cs="Times New Roman"/>
                <w:sz w:val="24"/>
              </w:rPr>
              <w:t>规章</w:t>
            </w:r>
          </w:p>
        </w:tc>
        <w:tc>
          <w:tcPr>
            <w:tcW w:w="1985" w:type="dxa"/>
            <w:shd w:val="clear" w:color="auto" w:fill="auto"/>
            <w:vAlign w:val="center"/>
          </w:tcPr>
          <w:p w14:paraId="26608D54">
            <w:pPr>
              <w:jc w:val="center"/>
              <w:rPr>
                <w:rFonts w:hint="default" w:ascii="Times New Roman" w:hAnsi="Times New Roman" w:cs="Times New Roman"/>
                <w:sz w:val="24"/>
              </w:rPr>
            </w:pPr>
            <w:r>
              <w:rPr>
                <w:rFonts w:hint="default" w:ascii="Times New Roman" w:hAnsi="Times New Roman" w:cs="Times New Roman"/>
                <w:sz w:val="24"/>
              </w:rPr>
              <w:t>0</w:t>
            </w:r>
          </w:p>
        </w:tc>
        <w:tc>
          <w:tcPr>
            <w:tcW w:w="2030" w:type="dxa"/>
            <w:shd w:val="clear" w:color="auto" w:fill="auto"/>
            <w:vAlign w:val="center"/>
          </w:tcPr>
          <w:p w14:paraId="7E2EB66C">
            <w:pPr>
              <w:jc w:val="center"/>
              <w:rPr>
                <w:rFonts w:hint="default" w:ascii="Times New Roman" w:hAnsi="Times New Roman" w:cs="Times New Roman"/>
                <w:sz w:val="24"/>
              </w:rPr>
            </w:pPr>
            <w:r>
              <w:rPr>
                <w:rFonts w:hint="default" w:ascii="Times New Roman" w:hAnsi="Times New Roman" w:cs="Times New Roman"/>
                <w:sz w:val="24"/>
              </w:rPr>
              <w:t>0</w:t>
            </w:r>
          </w:p>
        </w:tc>
        <w:tc>
          <w:tcPr>
            <w:tcW w:w="2222" w:type="dxa"/>
            <w:shd w:val="clear" w:color="auto" w:fill="auto"/>
            <w:vAlign w:val="center"/>
          </w:tcPr>
          <w:p w14:paraId="5714FA66">
            <w:pPr>
              <w:jc w:val="center"/>
              <w:rPr>
                <w:rFonts w:hint="default" w:ascii="Times New Roman" w:hAnsi="Times New Roman" w:cs="Times New Roman"/>
                <w:sz w:val="24"/>
              </w:rPr>
            </w:pPr>
            <w:r>
              <w:rPr>
                <w:rFonts w:hint="default" w:ascii="Times New Roman" w:hAnsi="Times New Roman" w:cs="Times New Roman"/>
                <w:sz w:val="24"/>
              </w:rPr>
              <w:t>0</w:t>
            </w:r>
          </w:p>
        </w:tc>
      </w:tr>
      <w:tr w14:paraId="04C6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553" w:hRule="atLeast"/>
          <w:jc w:val="center"/>
        </w:trPr>
        <w:tc>
          <w:tcPr>
            <w:tcW w:w="2694" w:type="dxa"/>
            <w:shd w:val="clear" w:color="auto" w:fill="auto"/>
            <w:vAlign w:val="center"/>
          </w:tcPr>
          <w:p w14:paraId="430AA410">
            <w:pPr>
              <w:rPr>
                <w:rFonts w:hint="default" w:ascii="Times New Roman" w:hAnsi="Times New Roman" w:cs="Times New Roman"/>
                <w:sz w:val="24"/>
              </w:rPr>
            </w:pPr>
            <w:r>
              <w:rPr>
                <w:rFonts w:hint="default" w:ascii="Times New Roman" w:hAnsi="Times New Roman" w:cs="Times New Roman"/>
                <w:sz w:val="24"/>
              </w:rPr>
              <w:t>行政规范性文件</w:t>
            </w:r>
          </w:p>
        </w:tc>
        <w:tc>
          <w:tcPr>
            <w:tcW w:w="1985" w:type="dxa"/>
            <w:shd w:val="clear" w:color="auto" w:fill="auto"/>
            <w:vAlign w:val="center"/>
          </w:tcPr>
          <w:p w14:paraId="4CB1190A">
            <w:pPr>
              <w:jc w:val="center"/>
              <w:rPr>
                <w:rFonts w:hint="default" w:ascii="Times New Roman" w:hAnsi="Times New Roman" w:cs="Times New Roman"/>
                <w:sz w:val="24"/>
              </w:rPr>
            </w:pPr>
            <w:r>
              <w:rPr>
                <w:rFonts w:hint="default" w:ascii="Times New Roman" w:hAnsi="Times New Roman" w:cs="Times New Roman"/>
                <w:sz w:val="24"/>
              </w:rPr>
              <w:t>0</w:t>
            </w:r>
          </w:p>
        </w:tc>
        <w:tc>
          <w:tcPr>
            <w:tcW w:w="2030" w:type="dxa"/>
            <w:shd w:val="clear" w:color="auto" w:fill="auto"/>
            <w:vAlign w:val="center"/>
          </w:tcPr>
          <w:p w14:paraId="752BE41A">
            <w:pPr>
              <w:jc w:val="center"/>
              <w:rPr>
                <w:rFonts w:hint="default" w:ascii="Times New Roman" w:hAnsi="Times New Roman" w:cs="Times New Roman"/>
                <w:sz w:val="24"/>
              </w:rPr>
            </w:pPr>
            <w:r>
              <w:rPr>
                <w:rFonts w:hint="default" w:ascii="Times New Roman" w:hAnsi="Times New Roman" w:cs="Times New Roman"/>
                <w:sz w:val="24"/>
              </w:rPr>
              <w:t>0</w:t>
            </w:r>
          </w:p>
        </w:tc>
        <w:tc>
          <w:tcPr>
            <w:tcW w:w="2222" w:type="dxa"/>
            <w:shd w:val="clear" w:color="auto" w:fill="auto"/>
            <w:vAlign w:val="center"/>
          </w:tcPr>
          <w:p w14:paraId="29D92161">
            <w:pPr>
              <w:jc w:val="center"/>
              <w:rPr>
                <w:rFonts w:hint="default" w:ascii="Times New Roman" w:hAnsi="Times New Roman" w:cs="Times New Roman"/>
                <w:sz w:val="24"/>
              </w:rPr>
            </w:pPr>
            <w:r>
              <w:rPr>
                <w:rFonts w:hint="default" w:ascii="Times New Roman" w:hAnsi="Times New Roman" w:cs="Times New Roman"/>
                <w:sz w:val="24"/>
              </w:rPr>
              <w:t>0</w:t>
            </w:r>
          </w:p>
        </w:tc>
      </w:tr>
      <w:tr w14:paraId="50DE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539" w:hRule="atLeast"/>
          <w:jc w:val="center"/>
        </w:trPr>
        <w:tc>
          <w:tcPr>
            <w:tcW w:w="8931" w:type="dxa"/>
            <w:gridSpan w:val="4"/>
            <w:shd w:val="clear" w:color="auto" w:fill="BDD6EE" w:themeFill="accent1" w:themeFillTint="66"/>
            <w:vAlign w:val="center"/>
          </w:tcPr>
          <w:p w14:paraId="14543D32">
            <w:pPr>
              <w:jc w:val="center"/>
              <w:rPr>
                <w:rFonts w:hint="default" w:ascii="Times New Roman" w:hAnsi="Times New Roman" w:cs="Times New Roman"/>
                <w:sz w:val="24"/>
              </w:rPr>
            </w:pPr>
            <w:r>
              <w:rPr>
                <w:rFonts w:hint="default" w:ascii="Times New Roman" w:hAnsi="Times New Roman" w:cs="Times New Roman"/>
                <w:sz w:val="24"/>
              </w:rPr>
              <w:t>第二十条  第（五）项</w:t>
            </w:r>
          </w:p>
        </w:tc>
      </w:tr>
      <w:tr w14:paraId="7E2F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623" w:hRule="atLeast"/>
          <w:jc w:val="center"/>
        </w:trPr>
        <w:tc>
          <w:tcPr>
            <w:tcW w:w="2694" w:type="dxa"/>
            <w:shd w:val="clear" w:color="auto" w:fill="auto"/>
            <w:vAlign w:val="center"/>
          </w:tcPr>
          <w:p w14:paraId="284FC212">
            <w:pPr>
              <w:jc w:val="center"/>
              <w:rPr>
                <w:rFonts w:hint="default" w:ascii="Times New Roman" w:hAnsi="Times New Roman" w:cs="Times New Roman"/>
                <w:sz w:val="24"/>
              </w:rPr>
            </w:pPr>
            <w:r>
              <w:rPr>
                <w:rFonts w:hint="default" w:ascii="Times New Roman" w:hAnsi="Times New Roman" w:cs="Times New Roman"/>
                <w:sz w:val="24"/>
              </w:rPr>
              <w:t>信息内容</w:t>
            </w:r>
          </w:p>
        </w:tc>
        <w:tc>
          <w:tcPr>
            <w:tcW w:w="6237" w:type="dxa"/>
            <w:gridSpan w:val="3"/>
            <w:shd w:val="clear" w:color="auto" w:fill="auto"/>
            <w:vAlign w:val="center"/>
          </w:tcPr>
          <w:p w14:paraId="2EDAA7EB">
            <w:pPr>
              <w:jc w:val="center"/>
              <w:rPr>
                <w:rFonts w:hint="default" w:ascii="Times New Roman" w:hAnsi="Times New Roman" w:cs="Times New Roman"/>
                <w:sz w:val="24"/>
              </w:rPr>
            </w:pPr>
            <w:r>
              <w:rPr>
                <w:rFonts w:hint="default" w:ascii="Times New Roman" w:hAnsi="Times New Roman" w:cs="Times New Roman"/>
                <w:sz w:val="24"/>
              </w:rPr>
              <w:t>本年处理决定数量</w:t>
            </w:r>
          </w:p>
        </w:tc>
      </w:tr>
      <w:tr w14:paraId="5F17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544" w:hRule="atLeast"/>
          <w:jc w:val="center"/>
        </w:trPr>
        <w:tc>
          <w:tcPr>
            <w:tcW w:w="2694" w:type="dxa"/>
            <w:shd w:val="clear" w:color="auto" w:fill="auto"/>
            <w:vAlign w:val="center"/>
          </w:tcPr>
          <w:p w14:paraId="196E40A4">
            <w:pPr>
              <w:rPr>
                <w:rFonts w:hint="default" w:ascii="Times New Roman" w:hAnsi="Times New Roman" w:cs="Times New Roman"/>
                <w:sz w:val="24"/>
              </w:rPr>
            </w:pPr>
            <w:r>
              <w:rPr>
                <w:rFonts w:hint="default" w:ascii="Times New Roman" w:hAnsi="Times New Roman" w:cs="Times New Roman"/>
                <w:sz w:val="24"/>
              </w:rPr>
              <w:t>行政许可</w:t>
            </w:r>
          </w:p>
        </w:tc>
        <w:tc>
          <w:tcPr>
            <w:tcW w:w="6237" w:type="dxa"/>
            <w:gridSpan w:val="3"/>
            <w:shd w:val="clear" w:color="auto" w:fill="auto"/>
            <w:vAlign w:val="center"/>
          </w:tcPr>
          <w:p w14:paraId="2BEF80F8">
            <w:pPr>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9</w:t>
            </w:r>
          </w:p>
        </w:tc>
      </w:tr>
      <w:tr w14:paraId="6A2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08" w:hRule="atLeast"/>
          <w:jc w:val="center"/>
        </w:trPr>
        <w:tc>
          <w:tcPr>
            <w:tcW w:w="8931" w:type="dxa"/>
            <w:gridSpan w:val="4"/>
            <w:shd w:val="clear" w:color="auto" w:fill="BDD6EE" w:themeFill="accent1" w:themeFillTint="66"/>
            <w:vAlign w:val="center"/>
          </w:tcPr>
          <w:p w14:paraId="44FC106B">
            <w:pPr>
              <w:jc w:val="center"/>
              <w:rPr>
                <w:rFonts w:hint="default" w:ascii="Times New Roman" w:hAnsi="Times New Roman" w:cs="Times New Roman"/>
                <w:sz w:val="24"/>
              </w:rPr>
            </w:pPr>
            <w:r>
              <w:rPr>
                <w:rFonts w:hint="default" w:ascii="Times New Roman" w:hAnsi="Times New Roman" w:cs="Times New Roman"/>
                <w:sz w:val="24"/>
              </w:rPr>
              <w:t>第二十条  第（六）项</w:t>
            </w:r>
          </w:p>
        </w:tc>
      </w:tr>
      <w:tr w14:paraId="6658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81" w:hRule="atLeast"/>
          <w:jc w:val="center"/>
        </w:trPr>
        <w:tc>
          <w:tcPr>
            <w:tcW w:w="2694" w:type="dxa"/>
            <w:shd w:val="clear" w:color="auto" w:fill="auto"/>
            <w:vAlign w:val="center"/>
          </w:tcPr>
          <w:p w14:paraId="63C32B09">
            <w:pPr>
              <w:jc w:val="center"/>
              <w:rPr>
                <w:rFonts w:hint="default" w:ascii="Times New Roman" w:hAnsi="Times New Roman" w:cs="Times New Roman"/>
                <w:sz w:val="24"/>
              </w:rPr>
            </w:pPr>
            <w:r>
              <w:rPr>
                <w:rFonts w:hint="default" w:ascii="Times New Roman" w:hAnsi="Times New Roman" w:cs="Times New Roman"/>
                <w:sz w:val="24"/>
              </w:rPr>
              <w:t>信息内容</w:t>
            </w:r>
          </w:p>
        </w:tc>
        <w:tc>
          <w:tcPr>
            <w:tcW w:w="6237" w:type="dxa"/>
            <w:gridSpan w:val="3"/>
            <w:shd w:val="clear" w:color="auto" w:fill="auto"/>
            <w:vAlign w:val="center"/>
          </w:tcPr>
          <w:p w14:paraId="7AE73B8F">
            <w:pPr>
              <w:ind w:firstLine="1440" w:firstLineChars="600"/>
              <w:rPr>
                <w:rFonts w:hint="default" w:ascii="Times New Roman" w:hAnsi="Times New Roman" w:cs="Times New Roman"/>
                <w:sz w:val="24"/>
              </w:rPr>
            </w:pPr>
            <w:r>
              <w:rPr>
                <w:rFonts w:hint="default" w:ascii="Times New Roman" w:hAnsi="Times New Roman" w:cs="Times New Roman"/>
                <w:sz w:val="24"/>
              </w:rPr>
              <w:t>本年处理决定数量</w:t>
            </w:r>
          </w:p>
        </w:tc>
      </w:tr>
      <w:tr w14:paraId="7E71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29" w:hRule="atLeast"/>
          <w:jc w:val="center"/>
        </w:trPr>
        <w:tc>
          <w:tcPr>
            <w:tcW w:w="2694" w:type="dxa"/>
            <w:shd w:val="clear" w:color="auto" w:fill="auto"/>
            <w:vAlign w:val="center"/>
          </w:tcPr>
          <w:p w14:paraId="3D2C0D2E">
            <w:pPr>
              <w:rPr>
                <w:rFonts w:hint="default" w:ascii="Times New Roman" w:hAnsi="Times New Roman" w:cs="Times New Roman"/>
                <w:sz w:val="24"/>
              </w:rPr>
            </w:pPr>
            <w:r>
              <w:rPr>
                <w:rFonts w:hint="default" w:ascii="Times New Roman" w:hAnsi="Times New Roman" w:cs="Times New Roman"/>
                <w:sz w:val="24"/>
              </w:rPr>
              <w:t>行政处罚</w:t>
            </w:r>
          </w:p>
        </w:tc>
        <w:tc>
          <w:tcPr>
            <w:tcW w:w="6237" w:type="dxa"/>
            <w:gridSpan w:val="3"/>
            <w:shd w:val="clear" w:color="auto" w:fill="auto"/>
            <w:vAlign w:val="center"/>
          </w:tcPr>
          <w:p w14:paraId="6434A8C3">
            <w:pPr>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3</w:t>
            </w:r>
          </w:p>
        </w:tc>
      </w:tr>
      <w:tr w14:paraId="0806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29" w:hRule="atLeast"/>
          <w:jc w:val="center"/>
        </w:trPr>
        <w:tc>
          <w:tcPr>
            <w:tcW w:w="2694" w:type="dxa"/>
            <w:shd w:val="clear" w:color="auto" w:fill="auto"/>
            <w:vAlign w:val="center"/>
          </w:tcPr>
          <w:p w14:paraId="1F4ED39E">
            <w:pPr>
              <w:rPr>
                <w:rFonts w:hint="default" w:ascii="Times New Roman" w:hAnsi="Times New Roman" w:cs="Times New Roman"/>
                <w:sz w:val="24"/>
              </w:rPr>
            </w:pPr>
            <w:r>
              <w:rPr>
                <w:rFonts w:hint="default" w:ascii="Times New Roman" w:hAnsi="Times New Roman" w:cs="Times New Roman"/>
                <w:sz w:val="24"/>
              </w:rPr>
              <w:t>行政强制</w:t>
            </w:r>
          </w:p>
        </w:tc>
        <w:tc>
          <w:tcPr>
            <w:tcW w:w="6237" w:type="dxa"/>
            <w:gridSpan w:val="3"/>
            <w:shd w:val="clear" w:color="auto" w:fill="auto"/>
            <w:vAlign w:val="center"/>
          </w:tcPr>
          <w:p w14:paraId="668D591B">
            <w:pPr>
              <w:jc w:val="center"/>
              <w:rPr>
                <w:rFonts w:hint="default" w:ascii="Times New Roman" w:hAnsi="Times New Roman" w:cs="Times New Roman"/>
                <w:sz w:val="24"/>
              </w:rPr>
            </w:pPr>
            <w:r>
              <w:rPr>
                <w:rFonts w:hint="default" w:ascii="Times New Roman" w:hAnsi="Times New Roman" w:cs="Times New Roman"/>
                <w:sz w:val="24"/>
              </w:rPr>
              <w:t>0</w:t>
            </w:r>
          </w:p>
        </w:tc>
      </w:tr>
      <w:tr w14:paraId="08F1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71" w:hRule="atLeast"/>
          <w:jc w:val="center"/>
        </w:trPr>
        <w:tc>
          <w:tcPr>
            <w:tcW w:w="8931" w:type="dxa"/>
            <w:gridSpan w:val="4"/>
            <w:shd w:val="clear" w:color="auto" w:fill="BDD6EE" w:themeFill="accent1" w:themeFillTint="66"/>
            <w:vAlign w:val="center"/>
          </w:tcPr>
          <w:p w14:paraId="33B9573A">
            <w:pPr>
              <w:jc w:val="center"/>
              <w:rPr>
                <w:rFonts w:hint="default" w:ascii="Times New Roman" w:hAnsi="Times New Roman" w:cs="Times New Roman"/>
                <w:sz w:val="24"/>
              </w:rPr>
            </w:pPr>
            <w:r>
              <w:rPr>
                <w:rFonts w:hint="default" w:ascii="Times New Roman" w:hAnsi="Times New Roman" w:cs="Times New Roman"/>
                <w:sz w:val="24"/>
              </w:rPr>
              <w:t>第二十条  第（八）项</w:t>
            </w:r>
          </w:p>
        </w:tc>
      </w:tr>
      <w:tr w14:paraId="3E55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97" w:hRule="atLeast"/>
          <w:jc w:val="center"/>
        </w:trPr>
        <w:tc>
          <w:tcPr>
            <w:tcW w:w="2694" w:type="dxa"/>
            <w:shd w:val="clear" w:color="auto" w:fill="auto"/>
            <w:vAlign w:val="center"/>
          </w:tcPr>
          <w:p w14:paraId="0ED900E2">
            <w:pPr>
              <w:jc w:val="center"/>
              <w:rPr>
                <w:rFonts w:hint="default" w:ascii="Times New Roman" w:hAnsi="Times New Roman" w:cs="Times New Roman"/>
                <w:sz w:val="24"/>
              </w:rPr>
            </w:pPr>
            <w:r>
              <w:rPr>
                <w:rFonts w:hint="default" w:ascii="Times New Roman" w:hAnsi="Times New Roman" w:cs="Times New Roman"/>
                <w:sz w:val="24"/>
              </w:rPr>
              <w:t>信息内容</w:t>
            </w:r>
          </w:p>
        </w:tc>
        <w:tc>
          <w:tcPr>
            <w:tcW w:w="6237" w:type="dxa"/>
            <w:gridSpan w:val="3"/>
            <w:shd w:val="clear" w:color="auto" w:fill="auto"/>
          </w:tcPr>
          <w:p w14:paraId="12D483D7">
            <w:pPr>
              <w:jc w:val="left"/>
              <w:rPr>
                <w:rFonts w:hint="default" w:ascii="Times New Roman" w:hAnsi="Times New Roman" w:cs="Times New Roman"/>
                <w:sz w:val="24"/>
              </w:rPr>
            </w:pPr>
            <w:r>
              <w:rPr>
                <w:rFonts w:hint="default" w:ascii="Times New Roman" w:hAnsi="Times New Roman" w:cs="Times New Roman"/>
                <w:sz w:val="24"/>
              </w:rPr>
              <w:t>本年收费金额（单位：万元）</w:t>
            </w:r>
          </w:p>
        </w:tc>
      </w:tr>
      <w:tr w14:paraId="461A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497" w:hRule="atLeast"/>
          <w:jc w:val="center"/>
        </w:trPr>
        <w:tc>
          <w:tcPr>
            <w:tcW w:w="2694" w:type="dxa"/>
            <w:shd w:val="clear" w:color="auto" w:fill="auto"/>
            <w:vAlign w:val="center"/>
          </w:tcPr>
          <w:p w14:paraId="7ED9B591">
            <w:pPr>
              <w:rPr>
                <w:rFonts w:hint="default" w:ascii="Times New Roman" w:hAnsi="Times New Roman" w:cs="Times New Roman"/>
                <w:sz w:val="24"/>
              </w:rPr>
            </w:pPr>
            <w:r>
              <w:rPr>
                <w:rFonts w:hint="default" w:ascii="Times New Roman" w:hAnsi="Times New Roman" w:cs="Times New Roman"/>
                <w:sz w:val="24"/>
              </w:rPr>
              <w:t>行政事业性收费</w:t>
            </w:r>
          </w:p>
        </w:tc>
        <w:tc>
          <w:tcPr>
            <w:tcW w:w="6237" w:type="dxa"/>
            <w:gridSpan w:val="3"/>
            <w:shd w:val="clear" w:color="auto" w:fill="auto"/>
            <w:vAlign w:val="center"/>
          </w:tcPr>
          <w:p w14:paraId="44D73C02">
            <w:pPr>
              <w:jc w:val="center"/>
              <w:rPr>
                <w:rFonts w:hint="default" w:ascii="Times New Roman" w:hAnsi="Times New Roman" w:cs="Times New Roman"/>
                <w:sz w:val="24"/>
              </w:rPr>
            </w:pPr>
            <w:r>
              <w:rPr>
                <w:rFonts w:hint="default" w:ascii="Times New Roman" w:hAnsi="Times New Roman" w:cs="Times New Roman"/>
                <w:sz w:val="24"/>
              </w:rPr>
              <w:t>0</w:t>
            </w:r>
          </w:p>
        </w:tc>
      </w:tr>
    </w:tbl>
    <w:p w14:paraId="6A911BBF">
      <w:pPr>
        <w:pStyle w:val="6"/>
        <w:numPr>
          <w:numId w:val="0"/>
        </w:numPr>
        <w:spacing w:before="0" w:beforeAutospacing="0" w:after="0" w:afterAutospacing="0" w:line="560" w:lineRule="atLeast"/>
        <w:jc w:val="both"/>
        <w:rPr>
          <w:rFonts w:hint="default" w:ascii="Times New Roman" w:hAnsi="Times New Roman" w:eastAsia="黑体" w:cs="Times New Roman"/>
          <w:color w:val="000000"/>
          <w:sz w:val="32"/>
          <w:szCs w:val="32"/>
          <w:shd w:val="clear" w:color="auto" w:fill="FFFFFF"/>
        </w:rPr>
      </w:pPr>
    </w:p>
    <w:p w14:paraId="39EEF7E0">
      <w:pPr>
        <w:pStyle w:val="6"/>
        <w:numPr>
          <w:ilvl w:val="0"/>
          <w:numId w:val="2"/>
        </w:numPr>
        <w:spacing w:before="0" w:beforeAutospacing="0" w:after="0" w:afterAutospacing="0" w:line="560" w:lineRule="atLeast"/>
        <w:ind w:firstLine="640"/>
        <w:jc w:val="both"/>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收到和处理政府信息申请情况</w:t>
      </w:r>
    </w:p>
    <w:tbl>
      <w:tblPr>
        <w:tblStyle w:val="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2544"/>
        <w:gridCol w:w="735"/>
        <w:gridCol w:w="735"/>
        <w:gridCol w:w="735"/>
        <w:gridCol w:w="735"/>
        <w:gridCol w:w="736"/>
        <w:gridCol w:w="736"/>
        <w:gridCol w:w="738"/>
      </w:tblGrid>
      <w:tr w14:paraId="4C14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29" w:type="dxa"/>
            <w:gridSpan w:val="3"/>
            <w:vMerge w:val="restart"/>
            <w:vAlign w:val="center"/>
          </w:tcPr>
          <w:p w14:paraId="1DE2BA93">
            <w:pPr>
              <w:pStyle w:val="6"/>
              <w:spacing w:before="0" w:beforeAutospacing="0" w:after="0" w:afterAutospacing="0" w:line="240" w:lineRule="exact"/>
              <w:jc w:val="both"/>
              <w:rPr>
                <w:rFonts w:hint="default" w:ascii="Times New Roman" w:hAnsi="Times New Roman" w:eastAsia="楷体" w:cs="Times New Roman"/>
                <w:color w:val="000000"/>
                <w:sz w:val="32"/>
                <w:szCs w:val="32"/>
                <w:shd w:val="clear" w:color="auto" w:fill="FFFFFF"/>
              </w:rPr>
            </w:pPr>
            <w:r>
              <w:rPr>
                <w:rFonts w:hint="default" w:ascii="Times New Roman" w:hAnsi="Times New Roman" w:eastAsia="楷体" w:cs="Times New Roman"/>
                <w:color w:val="000000"/>
                <w:sz w:val="21"/>
                <w:szCs w:val="21"/>
                <w:shd w:val="clear" w:color="auto" w:fill="FFFFFF"/>
              </w:rPr>
              <w:t>（本列数据的勾稽关系为：第一项加第二项之和，等于第三项加第四项之和）</w:t>
            </w:r>
          </w:p>
        </w:tc>
        <w:tc>
          <w:tcPr>
            <w:tcW w:w="5150" w:type="dxa"/>
            <w:gridSpan w:val="7"/>
            <w:vAlign w:val="center"/>
          </w:tcPr>
          <w:p w14:paraId="5D0DC740">
            <w:pPr>
              <w:pStyle w:val="6"/>
              <w:spacing w:before="0" w:beforeAutospacing="0" w:after="0" w:afterAutospacing="0" w:line="560" w:lineRule="atLeast"/>
              <w:jc w:val="center"/>
              <w:rPr>
                <w:rFonts w:hint="default" w:ascii="Times New Roman" w:hAnsi="Times New Roman" w:eastAsia="宋体" w:cs="Times New Roman"/>
                <w:color w:val="000000"/>
                <w:shd w:val="clear" w:color="auto" w:fill="FFFFFF"/>
              </w:rPr>
            </w:pPr>
            <w:r>
              <w:rPr>
                <w:rFonts w:hint="default" w:ascii="Times New Roman" w:hAnsi="Times New Roman" w:eastAsia="宋体" w:cs="Times New Roman"/>
                <w:color w:val="000000"/>
                <w:shd w:val="clear" w:color="auto" w:fill="FFFFFF"/>
              </w:rPr>
              <w:t>申请人情况</w:t>
            </w:r>
          </w:p>
        </w:tc>
      </w:tr>
      <w:tr w14:paraId="1F35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9" w:type="dxa"/>
            <w:gridSpan w:val="3"/>
            <w:vMerge w:val="continue"/>
          </w:tcPr>
          <w:p w14:paraId="49E9AD89">
            <w:pPr>
              <w:pStyle w:val="6"/>
              <w:spacing w:before="0" w:beforeAutospacing="0" w:after="0" w:afterAutospacing="0" w:line="560" w:lineRule="atLeast"/>
              <w:jc w:val="both"/>
              <w:rPr>
                <w:rFonts w:hint="default" w:ascii="Times New Roman" w:hAnsi="Times New Roman" w:eastAsia="楷体" w:cs="Times New Roman"/>
                <w:color w:val="000000"/>
                <w:sz w:val="32"/>
                <w:szCs w:val="32"/>
                <w:shd w:val="clear" w:color="auto" w:fill="FFFFFF"/>
              </w:rPr>
            </w:pPr>
          </w:p>
        </w:tc>
        <w:tc>
          <w:tcPr>
            <w:tcW w:w="735" w:type="dxa"/>
            <w:vMerge w:val="restart"/>
            <w:vAlign w:val="center"/>
          </w:tcPr>
          <w:p w14:paraId="41A761D8">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自然人</w:t>
            </w:r>
          </w:p>
        </w:tc>
        <w:tc>
          <w:tcPr>
            <w:tcW w:w="3677" w:type="dxa"/>
            <w:gridSpan w:val="5"/>
            <w:vAlign w:val="center"/>
          </w:tcPr>
          <w:p w14:paraId="452E2D0A">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法人或其他组织</w:t>
            </w:r>
          </w:p>
        </w:tc>
        <w:tc>
          <w:tcPr>
            <w:tcW w:w="738" w:type="dxa"/>
            <w:vMerge w:val="restart"/>
            <w:vAlign w:val="center"/>
          </w:tcPr>
          <w:p w14:paraId="67E0F6BB">
            <w:pPr>
              <w:pStyle w:val="6"/>
              <w:spacing w:before="0" w:beforeAutospacing="0" w:after="0" w:afterAutospacing="0" w:line="560" w:lineRule="atLeast"/>
              <w:jc w:val="center"/>
              <w:rPr>
                <w:rFonts w:hint="default" w:ascii="Times New Roman" w:hAnsi="Times New Roman" w:eastAsia="宋体" w:cs="Times New Roman"/>
                <w:color w:val="000000"/>
                <w:shd w:val="clear" w:color="auto" w:fill="FFFFFF"/>
              </w:rPr>
            </w:pPr>
            <w:r>
              <w:rPr>
                <w:rFonts w:hint="default" w:ascii="Times New Roman" w:hAnsi="Times New Roman" w:eastAsia="宋体" w:cs="Times New Roman"/>
                <w:color w:val="000000"/>
                <w:shd w:val="clear" w:color="auto" w:fill="FFFFFF"/>
              </w:rPr>
              <w:t>总计</w:t>
            </w:r>
          </w:p>
        </w:tc>
      </w:tr>
      <w:tr w14:paraId="761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9" w:type="dxa"/>
            <w:gridSpan w:val="3"/>
            <w:vMerge w:val="continue"/>
          </w:tcPr>
          <w:p w14:paraId="1929AD00">
            <w:pPr>
              <w:pStyle w:val="6"/>
              <w:spacing w:before="0" w:beforeAutospacing="0" w:after="0" w:afterAutospacing="0" w:line="560" w:lineRule="atLeast"/>
              <w:jc w:val="both"/>
              <w:rPr>
                <w:rFonts w:hint="default" w:ascii="Times New Roman" w:hAnsi="Times New Roman" w:eastAsia="楷体" w:cs="Times New Roman"/>
                <w:color w:val="000000"/>
                <w:sz w:val="32"/>
                <w:szCs w:val="32"/>
                <w:shd w:val="clear" w:color="auto" w:fill="FFFFFF"/>
              </w:rPr>
            </w:pPr>
          </w:p>
        </w:tc>
        <w:tc>
          <w:tcPr>
            <w:tcW w:w="735" w:type="dxa"/>
            <w:vMerge w:val="continue"/>
            <w:vAlign w:val="center"/>
          </w:tcPr>
          <w:p w14:paraId="78B0FC4C">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735" w:type="dxa"/>
            <w:vAlign w:val="center"/>
          </w:tcPr>
          <w:p w14:paraId="04BAA842">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商业企业</w:t>
            </w:r>
          </w:p>
        </w:tc>
        <w:tc>
          <w:tcPr>
            <w:tcW w:w="735" w:type="dxa"/>
            <w:vAlign w:val="center"/>
          </w:tcPr>
          <w:p w14:paraId="445632F5">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科研机构</w:t>
            </w:r>
          </w:p>
        </w:tc>
        <w:tc>
          <w:tcPr>
            <w:tcW w:w="735" w:type="dxa"/>
            <w:vAlign w:val="center"/>
          </w:tcPr>
          <w:p w14:paraId="661C4586">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社会公益组织</w:t>
            </w:r>
          </w:p>
        </w:tc>
        <w:tc>
          <w:tcPr>
            <w:tcW w:w="736" w:type="dxa"/>
            <w:vAlign w:val="center"/>
          </w:tcPr>
          <w:p w14:paraId="7C60EF30">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法律服务机构</w:t>
            </w:r>
          </w:p>
        </w:tc>
        <w:tc>
          <w:tcPr>
            <w:tcW w:w="736" w:type="dxa"/>
            <w:vAlign w:val="center"/>
          </w:tcPr>
          <w:p w14:paraId="3781C66D">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其他</w:t>
            </w:r>
          </w:p>
        </w:tc>
        <w:tc>
          <w:tcPr>
            <w:tcW w:w="738" w:type="dxa"/>
            <w:vMerge w:val="continue"/>
            <w:vAlign w:val="center"/>
          </w:tcPr>
          <w:p w14:paraId="3818C0D9">
            <w:pPr>
              <w:pStyle w:val="6"/>
              <w:spacing w:before="0" w:beforeAutospacing="0" w:after="0" w:afterAutospacing="0" w:line="560" w:lineRule="atLeast"/>
              <w:jc w:val="center"/>
              <w:rPr>
                <w:rFonts w:hint="default" w:ascii="Times New Roman" w:hAnsi="Times New Roman" w:eastAsia="宋体" w:cs="Times New Roman"/>
                <w:color w:val="000000"/>
                <w:shd w:val="clear" w:color="auto" w:fill="FFFFFF"/>
              </w:rPr>
            </w:pPr>
          </w:p>
        </w:tc>
      </w:tr>
      <w:tr w14:paraId="35AA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29" w:type="dxa"/>
            <w:gridSpan w:val="3"/>
            <w:vAlign w:val="center"/>
          </w:tcPr>
          <w:p w14:paraId="641404C4">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一、本年新收政府信息公开申请数量</w:t>
            </w:r>
          </w:p>
        </w:tc>
        <w:tc>
          <w:tcPr>
            <w:tcW w:w="735" w:type="dxa"/>
            <w:vAlign w:val="center"/>
          </w:tcPr>
          <w:p w14:paraId="4CD42A3C">
            <w:pPr>
              <w:pStyle w:val="6"/>
              <w:spacing w:before="0" w:beforeAutospacing="0" w:after="0" w:afterAutospacing="0" w:line="240" w:lineRule="exact"/>
              <w:jc w:val="center"/>
              <w:rPr>
                <w:rFonts w:hint="eastAsia"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6</w:t>
            </w:r>
          </w:p>
        </w:tc>
        <w:tc>
          <w:tcPr>
            <w:tcW w:w="735" w:type="dxa"/>
            <w:vAlign w:val="center"/>
          </w:tcPr>
          <w:p w14:paraId="3D303290">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0634941A">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231B1CB2">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31DE579A">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0F11BB29">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8" w:type="dxa"/>
            <w:vAlign w:val="center"/>
          </w:tcPr>
          <w:p w14:paraId="4A44067B">
            <w:pPr>
              <w:pStyle w:val="6"/>
              <w:spacing w:before="0" w:beforeAutospacing="0" w:after="0" w:afterAutospacing="0" w:line="240" w:lineRule="exact"/>
              <w:jc w:val="center"/>
              <w:rPr>
                <w:rFonts w:hint="eastAsia"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6</w:t>
            </w:r>
          </w:p>
        </w:tc>
      </w:tr>
      <w:tr w14:paraId="44A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29" w:type="dxa"/>
            <w:gridSpan w:val="3"/>
            <w:vAlign w:val="center"/>
          </w:tcPr>
          <w:p w14:paraId="1866EA22">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二、上年结转政府信息公开申请数量</w:t>
            </w:r>
          </w:p>
        </w:tc>
        <w:tc>
          <w:tcPr>
            <w:tcW w:w="735" w:type="dxa"/>
            <w:vAlign w:val="center"/>
          </w:tcPr>
          <w:p w14:paraId="49BC1693">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bookmarkStart w:id="0" w:name="_GoBack"/>
            <w:bookmarkEnd w:id="0"/>
            <w:r>
              <w:rPr>
                <w:rFonts w:hint="default" w:ascii="Times New Roman" w:hAnsi="Times New Roman" w:eastAsia="宋体" w:cs="Times New Roman"/>
                <w:color w:val="000000"/>
                <w:sz w:val="21"/>
                <w:szCs w:val="21"/>
                <w:shd w:val="clear" w:color="auto" w:fill="FFFFFF"/>
              </w:rPr>
              <w:t>0</w:t>
            </w:r>
          </w:p>
        </w:tc>
        <w:tc>
          <w:tcPr>
            <w:tcW w:w="735" w:type="dxa"/>
            <w:vAlign w:val="center"/>
          </w:tcPr>
          <w:p w14:paraId="5509821A">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71D08856">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4462E95A">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04A06DEA">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28FA048F">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8" w:type="dxa"/>
            <w:vAlign w:val="center"/>
          </w:tcPr>
          <w:p w14:paraId="7C77B90D">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0</w:t>
            </w:r>
          </w:p>
        </w:tc>
      </w:tr>
      <w:tr w14:paraId="3186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restart"/>
            <w:vAlign w:val="center"/>
          </w:tcPr>
          <w:p w14:paraId="37FB5C1E">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三、本年度办理结果</w:t>
            </w:r>
          </w:p>
        </w:tc>
        <w:tc>
          <w:tcPr>
            <w:tcW w:w="3444" w:type="dxa"/>
            <w:gridSpan w:val="2"/>
            <w:vAlign w:val="center"/>
          </w:tcPr>
          <w:p w14:paraId="14533672">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（一）予以公开</w:t>
            </w:r>
          </w:p>
        </w:tc>
        <w:tc>
          <w:tcPr>
            <w:tcW w:w="735" w:type="dxa"/>
            <w:vAlign w:val="center"/>
          </w:tcPr>
          <w:p w14:paraId="0C15DDD4">
            <w:pPr>
              <w:pStyle w:val="6"/>
              <w:spacing w:before="0" w:beforeAutospacing="0" w:after="0" w:afterAutospacing="0" w:line="240" w:lineRule="exact"/>
              <w:jc w:val="center"/>
              <w:rPr>
                <w:rFonts w:hint="eastAsia" w:ascii="Times New Roman" w:hAnsi="Times New Roman" w:eastAsia="宋体" w:cs="Times New Roman"/>
                <w:sz w:val="21"/>
                <w:szCs w:val="21"/>
                <w:shd w:val="clear" w:color="auto" w:fill="FFFFFF"/>
                <w:lang w:val="en-US" w:eastAsia="zh-CN"/>
              </w:rPr>
            </w:pPr>
            <w:r>
              <w:rPr>
                <w:rFonts w:hint="eastAsia" w:ascii="Times New Roman" w:hAnsi="Times New Roman" w:eastAsia="宋体" w:cs="Times New Roman"/>
                <w:sz w:val="21"/>
                <w:szCs w:val="21"/>
                <w:shd w:val="clear" w:color="auto" w:fill="FFFFFF"/>
                <w:lang w:val="en-US" w:eastAsia="zh-CN"/>
              </w:rPr>
              <w:t>6</w:t>
            </w:r>
          </w:p>
        </w:tc>
        <w:tc>
          <w:tcPr>
            <w:tcW w:w="735" w:type="dxa"/>
            <w:vAlign w:val="center"/>
          </w:tcPr>
          <w:p w14:paraId="34557E0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4CA52AB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2AA81B9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0BB07DB">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42DADB29">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24E254F2">
            <w:pPr>
              <w:pStyle w:val="6"/>
              <w:spacing w:before="0" w:beforeAutospacing="0" w:after="0" w:afterAutospacing="0" w:line="240" w:lineRule="exact"/>
              <w:jc w:val="center"/>
              <w:rPr>
                <w:rFonts w:hint="eastAsia" w:ascii="Times New Roman" w:hAnsi="Times New Roman" w:eastAsia="宋体" w:cs="Times New Roman"/>
                <w:sz w:val="21"/>
                <w:szCs w:val="21"/>
                <w:shd w:val="clear" w:color="auto" w:fill="FFFFFF"/>
                <w:lang w:val="en-US" w:eastAsia="zh-CN"/>
              </w:rPr>
            </w:pPr>
            <w:r>
              <w:rPr>
                <w:rFonts w:hint="eastAsia" w:ascii="Times New Roman" w:hAnsi="Times New Roman" w:eastAsia="宋体" w:cs="Times New Roman"/>
                <w:sz w:val="21"/>
                <w:szCs w:val="21"/>
                <w:shd w:val="clear" w:color="auto" w:fill="FFFFFF"/>
                <w:lang w:val="en-US" w:eastAsia="zh-CN"/>
              </w:rPr>
              <w:t>6</w:t>
            </w:r>
          </w:p>
        </w:tc>
      </w:tr>
      <w:tr w14:paraId="7BB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0079869E">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3444" w:type="dxa"/>
            <w:gridSpan w:val="2"/>
            <w:vAlign w:val="center"/>
          </w:tcPr>
          <w:p w14:paraId="3CBBD1D5">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（二）部分公开</w:t>
            </w:r>
          </w:p>
        </w:tc>
        <w:tc>
          <w:tcPr>
            <w:tcW w:w="735" w:type="dxa"/>
            <w:vAlign w:val="center"/>
          </w:tcPr>
          <w:p w14:paraId="64F2B9C3">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3E64F96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884B75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666ED99F">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4E7555B4">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637444B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56587A70">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045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2A6E02EE">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restart"/>
            <w:vAlign w:val="center"/>
          </w:tcPr>
          <w:p w14:paraId="6A794B44">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（三）不予公开</w:t>
            </w:r>
          </w:p>
        </w:tc>
        <w:tc>
          <w:tcPr>
            <w:tcW w:w="2544" w:type="dxa"/>
            <w:vAlign w:val="center"/>
          </w:tcPr>
          <w:p w14:paraId="77A12E25">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1.属于国家秘密</w:t>
            </w:r>
          </w:p>
        </w:tc>
        <w:tc>
          <w:tcPr>
            <w:tcW w:w="735" w:type="dxa"/>
            <w:vAlign w:val="center"/>
          </w:tcPr>
          <w:p w14:paraId="7344D6D2">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3A1DA31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8D2BC7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3FE339CC">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3E54326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2F1724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30DAB9EC">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1E1A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2A484EDC">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4D54DF29">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64AA4FCF">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2.其他法律行政法规禁止公开</w:t>
            </w:r>
          </w:p>
        </w:tc>
        <w:tc>
          <w:tcPr>
            <w:tcW w:w="735" w:type="dxa"/>
            <w:vAlign w:val="center"/>
          </w:tcPr>
          <w:p w14:paraId="3EEC1ACD">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74FF00D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985988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68F0C25B">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20EE74C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FDF4FB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74535A31">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02A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69C62398">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19BA6AE3">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7777DE08">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3.危及“三安全一稳定”</w:t>
            </w:r>
          </w:p>
        </w:tc>
        <w:tc>
          <w:tcPr>
            <w:tcW w:w="735" w:type="dxa"/>
            <w:vAlign w:val="center"/>
          </w:tcPr>
          <w:p w14:paraId="05E2A446">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34306E2B">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6D556CDE">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23ECAE8E">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00DFAE80">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0B17ACFC">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521FB56D">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288D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18B23FA1">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71027C06">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4E4B0297">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4.保护第三方合法权益</w:t>
            </w:r>
          </w:p>
        </w:tc>
        <w:tc>
          <w:tcPr>
            <w:tcW w:w="735" w:type="dxa"/>
            <w:vAlign w:val="center"/>
          </w:tcPr>
          <w:p w14:paraId="0627CAF6">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16C29D4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4E81C0A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69E5F7F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48D193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0751E928">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0DD91B7C">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6B58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5F80A33C">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701AF4E6">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68EDB1A5">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5.属于三类内部事务信息</w:t>
            </w:r>
          </w:p>
        </w:tc>
        <w:tc>
          <w:tcPr>
            <w:tcW w:w="735" w:type="dxa"/>
            <w:vAlign w:val="center"/>
          </w:tcPr>
          <w:p w14:paraId="272D0CF1">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7A1EEA3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38855B0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23D6E274">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C12CB9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45DBFEB0">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7B539D8A">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30A9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7CD0601C">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27F79AEE">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2C09F8CF">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6.属于四类过程性信息</w:t>
            </w:r>
          </w:p>
        </w:tc>
        <w:tc>
          <w:tcPr>
            <w:tcW w:w="735" w:type="dxa"/>
            <w:vAlign w:val="center"/>
          </w:tcPr>
          <w:p w14:paraId="767B7B58">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0A9CE6D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3E6C4C4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1950D3A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F5EDCA9">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2269B0EE">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3317F920">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4B0F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6765477D">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2F7E7C57">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472BEE09">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7.属于行政执法案卷</w:t>
            </w:r>
          </w:p>
        </w:tc>
        <w:tc>
          <w:tcPr>
            <w:tcW w:w="735" w:type="dxa"/>
            <w:vAlign w:val="center"/>
          </w:tcPr>
          <w:p w14:paraId="1B0BEECF">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38D5A1F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677904A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4AB06DC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272D3739">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30BE591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7F75B1B7">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1445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6E2AA30A">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56B71728">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p>
        </w:tc>
        <w:tc>
          <w:tcPr>
            <w:tcW w:w="2544" w:type="dxa"/>
            <w:vAlign w:val="center"/>
          </w:tcPr>
          <w:p w14:paraId="3B9CA181">
            <w:pPr>
              <w:pStyle w:val="6"/>
              <w:spacing w:before="0" w:beforeAutospacing="0" w:after="0" w:afterAutospacing="0" w:line="240" w:lineRule="exact"/>
              <w:jc w:val="both"/>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8.属于行政查询事项</w:t>
            </w:r>
          </w:p>
        </w:tc>
        <w:tc>
          <w:tcPr>
            <w:tcW w:w="735" w:type="dxa"/>
            <w:vAlign w:val="center"/>
          </w:tcPr>
          <w:p w14:paraId="2983AEF2">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3630AA0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44A754CF">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2B5B8DB8">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57387AC">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36EAEEC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1257BC78">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20CB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6B5B8625">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restart"/>
            <w:vAlign w:val="center"/>
          </w:tcPr>
          <w:p w14:paraId="7BD193AA">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（四）无法提供</w:t>
            </w:r>
          </w:p>
        </w:tc>
        <w:tc>
          <w:tcPr>
            <w:tcW w:w="2544" w:type="dxa"/>
            <w:vAlign w:val="center"/>
          </w:tcPr>
          <w:p w14:paraId="386B9323">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1.本机关不掌握相关政府信息</w:t>
            </w:r>
          </w:p>
        </w:tc>
        <w:tc>
          <w:tcPr>
            <w:tcW w:w="735" w:type="dxa"/>
            <w:vAlign w:val="center"/>
          </w:tcPr>
          <w:p w14:paraId="74CCB0C7">
            <w:pPr>
              <w:pStyle w:val="6"/>
              <w:spacing w:before="0" w:beforeAutospacing="0" w:after="0" w:afterAutospacing="0" w:line="240" w:lineRule="exact"/>
              <w:jc w:val="center"/>
              <w:rPr>
                <w:rFonts w:hint="eastAsia" w:ascii="Times New Roman" w:hAnsi="Times New Roman" w:eastAsia="宋体" w:cs="Times New Roman"/>
                <w:sz w:val="21"/>
                <w:szCs w:val="21"/>
                <w:shd w:val="clear" w:color="auto" w:fill="FFFFFF"/>
                <w:lang w:val="en-US" w:eastAsia="zh-CN"/>
              </w:rPr>
            </w:pPr>
            <w:r>
              <w:rPr>
                <w:rFonts w:hint="eastAsia" w:ascii="Times New Roman" w:hAnsi="Times New Roman" w:eastAsia="宋体" w:cs="Times New Roman"/>
                <w:sz w:val="21"/>
                <w:szCs w:val="21"/>
                <w:shd w:val="clear" w:color="auto" w:fill="FFFFFF"/>
                <w:lang w:val="en-US" w:eastAsia="zh-CN"/>
              </w:rPr>
              <w:t>0</w:t>
            </w:r>
          </w:p>
        </w:tc>
        <w:tc>
          <w:tcPr>
            <w:tcW w:w="735" w:type="dxa"/>
            <w:vAlign w:val="center"/>
          </w:tcPr>
          <w:p w14:paraId="4E0A9EA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10024F59">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3A96915B">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FD4679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59D2E3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42A22FA2">
            <w:pPr>
              <w:pStyle w:val="6"/>
              <w:spacing w:before="0" w:beforeAutospacing="0" w:after="0" w:afterAutospacing="0" w:line="240" w:lineRule="exact"/>
              <w:jc w:val="center"/>
              <w:rPr>
                <w:rFonts w:hint="eastAsia" w:ascii="Times New Roman" w:hAnsi="Times New Roman" w:eastAsia="宋体" w:cs="Times New Roman"/>
                <w:sz w:val="21"/>
                <w:szCs w:val="21"/>
                <w:shd w:val="clear" w:color="auto" w:fill="FFFFFF"/>
                <w:lang w:val="en-US" w:eastAsia="zh-CN"/>
              </w:rPr>
            </w:pPr>
            <w:r>
              <w:rPr>
                <w:rFonts w:hint="eastAsia" w:ascii="Times New Roman" w:hAnsi="Times New Roman" w:eastAsia="宋体" w:cs="Times New Roman"/>
                <w:sz w:val="21"/>
                <w:szCs w:val="21"/>
                <w:shd w:val="clear" w:color="auto" w:fill="FFFFFF"/>
                <w:lang w:val="en-US" w:eastAsia="zh-CN"/>
              </w:rPr>
              <w:t>0</w:t>
            </w:r>
          </w:p>
        </w:tc>
      </w:tr>
      <w:tr w14:paraId="2DE1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34C5A0DB">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35BC3DCF">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1F6DAC2E">
            <w:pPr>
              <w:pStyle w:val="6"/>
              <w:numPr>
                <w:ilvl w:val="0"/>
                <w:numId w:val="3"/>
              </w:numPr>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没有现成信息需要另行制作</w:t>
            </w:r>
          </w:p>
        </w:tc>
        <w:tc>
          <w:tcPr>
            <w:tcW w:w="735" w:type="dxa"/>
            <w:vAlign w:val="center"/>
          </w:tcPr>
          <w:p w14:paraId="529D8219">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08747B5C">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290A03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651569D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166FC44">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0FB0ED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025591A0">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7409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1E820810">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26D8FC00">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7925CBED">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3.补正后申请内容仍不明确</w:t>
            </w:r>
          </w:p>
        </w:tc>
        <w:tc>
          <w:tcPr>
            <w:tcW w:w="735" w:type="dxa"/>
            <w:vAlign w:val="center"/>
          </w:tcPr>
          <w:p w14:paraId="256E55AF">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70EFDA90">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4CF1F87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7606531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ED66FE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569ACE4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3C8F767D">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677A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2F3CB865">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restart"/>
            <w:vAlign w:val="center"/>
          </w:tcPr>
          <w:p w14:paraId="49EADBD1">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（五）不予处理</w:t>
            </w:r>
          </w:p>
        </w:tc>
        <w:tc>
          <w:tcPr>
            <w:tcW w:w="2544" w:type="dxa"/>
            <w:vAlign w:val="center"/>
          </w:tcPr>
          <w:p w14:paraId="6D0242FA">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1.信访举报投诉类申请</w:t>
            </w:r>
          </w:p>
        </w:tc>
        <w:tc>
          <w:tcPr>
            <w:tcW w:w="735" w:type="dxa"/>
            <w:vAlign w:val="center"/>
          </w:tcPr>
          <w:p w14:paraId="37D79DDA">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1F7416ED">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60C4510">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EC378A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2DC6A9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6A0139FE">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4268D1E2">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2B53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65501E51">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5CFAE3D9">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1F4993E3">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2.重复申请</w:t>
            </w:r>
          </w:p>
        </w:tc>
        <w:tc>
          <w:tcPr>
            <w:tcW w:w="735" w:type="dxa"/>
            <w:vAlign w:val="center"/>
          </w:tcPr>
          <w:p w14:paraId="34E00B4B">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6820941F">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2CB3A50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5B268EBE">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5DE6216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E0ADDB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5BC51FCB">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1C1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22B953B5">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2D3B1DA2">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30EE9FBE">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3.要求提供公开出版物</w:t>
            </w:r>
          </w:p>
        </w:tc>
        <w:tc>
          <w:tcPr>
            <w:tcW w:w="735" w:type="dxa"/>
            <w:vAlign w:val="center"/>
          </w:tcPr>
          <w:p w14:paraId="59B7A973">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0FD19EB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0192E3E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72056CA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0EFB1FF2">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1DAB345E">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3D24910F">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4622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6CAEB141">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14F25141">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31634A23">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4.无正当理由大量反复申请</w:t>
            </w:r>
          </w:p>
        </w:tc>
        <w:tc>
          <w:tcPr>
            <w:tcW w:w="735" w:type="dxa"/>
            <w:vAlign w:val="center"/>
          </w:tcPr>
          <w:p w14:paraId="4E592C62">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328DB6D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000BC11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2C896136">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5F36F8E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E0AA730">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13107F4E">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1287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45992F42">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3EF9C8FD">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365EFC3B">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5.要求行政机关确认或重新出具已获取信息</w:t>
            </w:r>
          </w:p>
        </w:tc>
        <w:tc>
          <w:tcPr>
            <w:tcW w:w="735" w:type="dxa"/>
            <w:vAlign w:val="center"/>
          </w:tcPr>
          <w:p w14:paraId="65E9D552">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004B301B">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00CF70B9">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0D570E7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3572E48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257B4BF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01E958A8">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68D1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379671B3">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restart"/>
            <w:vAlign w:val="center"/>
          </w:tcPr>
          <w:p w14:paraId="2089A301">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p w14:paraId="19006C68">
            <w:pPr>
              <w:jc w:val="center"/>
              <w:rPr>
                <w:rFonts w:hint="default" w:ascii="Times New Roman" w:hAnsi="Times New Roman" w:cs="Times New Roman"/>
              </w:rPr>
            </w:pPr>
          </w:p>
          <w:p w14:paraId="46DB4891">
            <w:pPr>
              <w:jc w:val="center"/>
              <w:rPr>
                <w:rFonts w:hint="default" w:ascii="Times New Roman" w:hAnsi="Times New Roman" w:cs="Times New Roman"/>
              </w:rPr>
            </w:pPr>
            <w:r>
              <w:rPr>
                <w:rFonts w:hint="default" w:ascii="Times New Roman" w:hAnsi="Times New Roman" w:cs="Times New Roman"/>
              </w:rPr>
              <w:t>（六）其他处理</w:t>
            </w:r>
          </w:p>
        </w:tc>
        <w:tc>
          <w:tcPr>
            <w:tcW w:w="2544" w:type="dxa"/>
            <w:vAlign w:val="center"/>
          </w:tcPr>
          <w:p w14:paraId="3C9F4B16">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1.申请人无正当理由逾期不补正、行政机关不再处理其政府信息公开申请</w:t>
            </w:r>
          </w:p>
        </w:tc>
        <w:tc>
          <w:tcPr>
            <w:tcW w:w="735" w:type="dxa"/>
            <w:vAlign w:val="center"/>
          </w:tcPr>
          <w:p w14:paraId="27522098">
            <w:pPr>
              <w:pStyle w:val="6"/>
              <w:spacing w:before="0" w:beforeAutospacing="0" w:after="0" w:afterAutospacing="0" w:line="240" w:lineRule="exact"/>
              <w:jc w:val="center"/>
              <w:rPr>
                <w:rFonts w:hint="eastAsia" w:ascii="Times New Roman" w:hAnsi="Times New Roman" w:eastAsia="宋体" w:cs="Times New Roman"/>
                <w:sz w:val="21"/>
                <w:szCs w:val="21"/>
                <w:shd w:val="clear" w:color="auto" w:fill="FFFFFF"/>
                <w:lang w:val="en-US" w:eastAsia="zh-CN"/>
              </w:rPr>
            </w:pPr>
            <w:r>
              <w:rPr>
                <w:rFonts w:hint="eastAsia" w:ascii="Times New Roman" w:hAnsi="Times New Roman" w:eastAsia="宋体" w:cs="Times New Roman"/>
                <w:sz w:val="21"/>
                <w:szCs w:val="21"/>
                <w:shd w:val="clear" w:color="auto" w:fill="FFFFFF"/>
                <w:lang w:val="en-US" w:eastAsia="zh-CN"/>
              </w:rPr>
              <w:t>0</w:t>
            </w:r>
          </w:p>
        </w:tc>
        <w:tc>
          <w:tcPr>
            <w:tcW w:w="735" w:type="dxa"/>
            <w:vAlign w:val="center"/>
          </w:tcPr>
          <w:p w14:paraId="22D5FB68">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18D8AA2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7E7ED868">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04B2535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550F32B4">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31F08930">
            <w:pPr>
              <w:pStyle w:val="6"/>
              <w:spacing w:before="0" w:beforeAutospacing="0" w:after="0" w:afterAutospacing="0" w:line="240" w:lineRule="exact"/>
              <w:jc w:val="center"/>
              <w:rPr>
                <w:rFonts w:hint="eastAsia" w:ascii="Times New Roman" w:hAnsi="Times New Roman" w:eastAsia="宋体" w:cs="Times New Roman"/>
                <w:sz w:val="21"/>
                <w:szCs w:val="21"/>
                <w:shd w:val="clear" w:color="auto" w:fill="FFFFFF"/>
                <w:lang w:val="en-US" w:eastAsia="zh-CN"/>
              </w:rPr>
            </w:pPr>
            <w:r>
              <w:rPr>
                <w:rFonts w:hint="eastAsia" w:ascii="Times New Roman" w:hAnsi="Times New Roman" w:eastAsia="宋体" w:cs="Times New Roman"/>
                <w:sz w:val="21"/>
                <w:szCs w:val="21"/>
                <w:shd w:val="clear" w:color="auto" w:fill="FFFFFF"/>
                <w:lang w:val="en-US" w:eastAsia="zh-CN"/>
              </w:rPr>
              <w:t>0</w:t>
            </w:r>
          </w:p>
        </w:tc>
      </w:tr>
      <w:tr w14:paraId="5AF5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vAlign w:val="center"/>
          </w:tcPr>
          <w:p w14:paraId="21F0ABB7">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0DF1921A">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4449675B">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2.申请人逾期未按收费通知要求缴纳费用、行政机关不再处理其政府信息公开申请</w:t>
            </w:r>
          </w:p>
        </w:tc>
        <w:tc>
          <w:tcPr>
            <w:tcW w:w="735" w:type="dxa"/>
            <w:vAlign w:val="center"/>
          </w:tcPr>
          <w:p w14:paraId="6BFD7870">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6D0F7C3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72222AB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034492E5">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7E7DC7E4">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693BCCF7">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4CD68961">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6439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0F7C6E95">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900" w:type="dxa"/>
            <w:vMerge w:val="continue"/>
            <w:vAlign w:val="center"/>
          </w:tcPr>
          <w:p w14:paraId="308AD744">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2544" w:type="dxa"/>
            <w:vAlign w:val="center"/>
          </w:tcPr>
          <w:p w14:paraId="0C6A934A">
            <w:pPr>
              <w:pStyle w:val="6"/>
              <w:spacing w:before="0" w:beforeAutospacing="0" w:after="0" w:afterAutospacing="0" w:line="240" w:lineRule="exact"/>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3.其他</w:t>
            </w:r>
          </w:p>
        </w:tc>
        <w:tc>
          <w:tcPr>
            <w:tcW w:w="735" w:type="dxa"/>
            <w:vAlign w:val="center"/>
          </w:tcPr>
          <w:p w14:paraId="30F662DD">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c>
          <w:tcPr>
            <w:tcW w:w="735" w:type="dxa"/>
            <w:vAlign w:val="center"/>
          </w:tcPr>
          <w:p w14:paraId="58CC0BA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1849C533">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5" w:type="dxa"/>
            <w:vAlign w:val="center"/>
          </w:tcPr>
          <w:p w14:paraId="4C4127EA">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643CDDA1">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6" w:type="dxa"/>
            <w:vAlign w:val="center"/>
          </w:tcPr>
          <w:p w14:paraId="0A457D50">
            <w:pPr>
              <w:widowControl/>
              <w:spacing w:line="240" w:lineRule="exact"/>
              <w:jc w:val="center"/>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0</w:t>
            </w:r>
          </w:p>
        </w:tc>
        <w:tc>
          <w:tcPr>
            <w:tcW w:w="738" w:type="dxa"/>
            <w:vAlign w:val="center"/>
          </w:tcPr>
          <w:p w14:paraId="226F5996">
            <w:pPr>
              <w:pStyle w:val="6"/>
              <w:spacing w:before="0" w:beforeAutospacing="0" w:after="0" w:afterAutospacing="0" w:line="240" w:lineRule="exact"/>
              <w:jc w:val="center"/>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0</w:t>
            </w:r>
          </w:p>
        </w:tc>
      </w:tr>
      <w:tr w14:paraId="7357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Merge w:val="continue"/>
            <w:vAlign w:val="center"/>
          </w:tcPr>
          <w:p w14:paraId="7735E580">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p>
        </w:tc>
        <w:tc>
          <w:tcPr>
            <w:tcW w:w="3444" w:type="dxa"/>
            <w:gridSpan w:val="2"/>
            <w:vAlign w:val="center"/>
          </w:tcPr>
          <w:p w14:paraId="5057892F">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（七）总计</w:t>
            </w:r>
          </w:p>
        </w:tc>
        <w:tc>
          <w:tcPr>
            <w:tcW w:w="735" w:type="dxa"/>
            <w:vAlign w:val="center"/>
          </w:tcPr>
          <w:p w14:paraId="593F023A">
            <w:pPr>
              <w:pStyle w:val="6"/>
              <w:spacing w:before="0" w:beforeAutospacing="0" w:after="0" w:afterAutospacing="0" w:line="240" w:lineRule="exact"/>
              <w:jc w:val="center"/>
              <w:rPr>
                <w:rFonts w:hint="eastAsia"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6</w:t>
            </w:r>
          </w:p>
        </w:tc>
        <w:tc>
          <w:tcPr>
            <w:tcW w:w="735" w:type="dxa"/>
            <w:vAlign w:val="center"/>
          </w:tcPr>
          <w:p w14:paraId="259B839D">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0</w:t>
            </w:r>
          </w:p>
        </w:tc>
        <w:tc>
          <w:tcPr>
            <w:tcW w:w="735" w:type="dxa"/>
            <w:vAlign w:val="center"/>
          </w:tcPr>
          <w:p w14:paraId="61B4A68D">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7CC2D692">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3DDC4EF0">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4133D016">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8" w:type="dxa"/>
            <w:vAlign w:val="center"/>
          </w:tcPr>
          <w:p w14:paraId="4E4E2EC3">
            <w:pPr>
              <w:pStyle w:val="6"/>
              <w:spacing w:before="0" w:beforeAutospacing="0" w:after="0" w:afterAutospacing="0" w:line="240" w:lineRule="exact"/>
              <w:jc w:val="center"/>
              <w:rPr>
                <w:rFonts w:hint="eastAsia"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6</w:t>
            </w:r>
          </w:p>
        </w:tc>
      </w:tr>
      <w:tr w14:paraId="02B2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29" w:type="dxa"/>
            <w:gridSpan w:val="3"/>
            <w:vAlign w:val="center"/>
          </w:tcPr>
          <w:p w14:paraId="403F1109">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四、结转下年度继续办理</w:t>
            </w:r>
          </w:p>
        </w:tc>
        <w:tc>
          <w:tcPr>
            <w:tcW w:w="735" w:type="dxa"/>
            <w:vAlign w:val="center"/>
          </w:tcPr>
          <w:p w14:paraId="017775FE">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0</w:t>
            </w:r>
          </w:p>
        </w:tc>
        <w:tc>
          <w:tcPr>
            <w:tcW w:w="735" w:type="dxa"/>
            <w:vAlign w:val="center"/>
          </w:tcPr>
          <w:p w14:paraId="34BB1730">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43F4D004">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5" w:type="dxa"/>
            <w:vAlign w:val="center"/>
          </w:tcPr>
          <w:p w14:paraId="3B3C567F">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709EDE3E">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6" w:type="dxa"/>
            <w:vAlign w:val="center"/>
          </w:tcPr>
          <w:p w14:paraId="3F4D58C8">
            <w:pPr>
              <w:widowControl/>
              <w:spacing w:line="240" w:lineRule="exact"/>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0</w:t>
            </w:r>
          </w:p>
        </w:tc>
        <w:tc>
          <w:tcPr>
            <w:tcW w:w="738" w:type="dxa"/>
            <w:vAlign w:val="center"/>
          </w:tcPr>
          <w:p w14:paraId="3ECABBC4">
            <w:pPr>
              <w:pStyle w:val="6"/>
              <w:spacing w:before="0" w:beforeAutospacing="0" w:after="0" w:afterAutospacing="0" w:line="240" w:lineRule="exact"/>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0</w:t>
            </w:r>
          </w:p>
        </w:tc>
      </w:tr>
    </w:tbl>
    <w:p w14:paraId="6B3DAE1D">
      <w:pPr>
        <w:pStyle w:val="6"/>
        <w:numPr>
          <w:ilvl w:val="0"/>
          <w:numId w:val="2"/>
        </w:numPr>
        <w:spacing w:before="0" w:beforeAutospacing="0" w:after="0" w:afterAutospacing="0" w:line="560" w:lineRule="atLeast"/>
        <w:ind w:firstLine="640"/>
        <w:jc w:val="both"/>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政府信息公开行政复议、行政诉讼情况</w:t>
      </w:r>
    </w:p>
    <w:tbl>
      <w:tblPr>
        <w:tblStyle w:val="8"/>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53"/>
        <w:gridCol w:w="653"/>
        <w:gridCol w:w="653"/>
        <w:gridCol w:w="654"/>
        <w:gridCol w:w="642"/>
        <w:gridCol w:w="642"/>
        <w:gridCol w:w="642"/>
        <w:gridCol w:w="642"/>
        <w:gridCol w:w="642"/>
        <w:gridCol w:w="642"/>
        <w:gridCol w:w="642"/>
        <w:gridCol w:w="642"/>
        <w:gridCol w:w="642"/>
        <w:gridCol w:w="646"/>
      </w:tblGrid>
      <w:tr w14:paraId="42BE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6" w:type="dxa"/>
            <w:gridSpan w:val="5"/>
            <w:vAlign w:val="center"/>
          </w:tcPr>
          <w:p w14:paraId="5FB6D44F">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424" w:type="dxa"/>
            <w:gridSpan w:val="10"/>
            <w:vAlign w:val="center"/>
          </w:tcPr>
          <w:p w14:paraId="3B3BCDB0">
            <w:pPr>
              <w:jc w:val="center"/>
              <w:rPr>
                <w:rFonts w:hint="default" w:ascii="Times New Roman" w:hAnsi="Times New Roman" w:cs="Times New Roman"/>
                <w:szCs w:val="21"/>
              </w:rPr>
            </w:pPr>
            <w:r>
              <w:rPr>
                <w:rFonts w:hint="default" w:ascii="Times New Roman" w:hAnsi="Times New Roman" w:cs="Times New Roman"/>
                <w:szCs w:val="21"/>
              </w:rPr>
              <w:t>行政诉讼</w:t>
            </w:r>
          </w:p>
        </w:tc>
      </w:tr>
      <w:tr w14:paraId="6C2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Merge w:val="restart"/>
            <w:vAlign w:val="center"/>
          </w:tcPr>
          <w:p w14:paraId="6108AA01">
            <w:pPr>
              <w:jc w:val="center"/>
              <w:rPr>
                <w:rFonts w:hint="default" w:ascii="Times New Roman" w:hAnsi="Times New Roman" w:cs="Times New Roman"/>
              </w:rPr>
            </w:pPr>
            <w:r>
              <w:rPr>
                <w:rFonts w:hint="default" w:ascii="Times New Roman" w:hAnsi="Times New Roman" w:cs="Times New Roman"/>
              </w:rPr>
              <w:t>结果维持</w:t>
            </w:r>
          </w:p>
        </w:tc>
        <w:tc>
          <w:tcPr>
            <w:tcW w:w="653" w:type="dxa"/>
            <w:vMerge w:val="restart"/>
            <w:vAlign w:val="center"/>
          </w:tcPr>
          <w:p w14:paraId="6FD1B71B">
            <w:pPr>
              <w:jc w:val="center"/>
              <w:rPr>
                <w:rFonts w:hint="default" w:ascii="Times New Roman" w:hAnsi="Times New Roman" w:cs="Times New Roman"/>
              </w:rPr>
            </w:pPr>
            <w:r>
              <w:rPr>
                <w:rFonts w:hint="default" w:ascii="Times New Roman" w:hAnsi="Times New Roman" w:cs="Times New Roman"/>
              </w:rPr>
              <w:t>结果纠正</w:t>
            </w:r>
          </w:p>
        </w:tc>
        <w:tc>
          <w:tcPr>
            <w:tcW w:w="653" w:type="dxa"/>
            <w:vMerge w:val="restart"/>
            <w:vAlign w:val="center"/>
          </w:tcPr>
          <w:p w14:paraId="203FF892">
            <w:pPr>
              <w:jc w:val="center"/>
              <w:rPr>
                <w:rFonts w:hint="default" w:ascii="Times New Roman" w:hAnsi="Times New Roman" w:cs="Times New Roman"/>
              </w:rPr>
            </w:pPr>
            <w:r>
              <w:rPr>
                <w:rFonts w:hint="default" w:ascii="Times New Roman" w:hAnsi="Times New Roman" w:cs="Times New Roman"/>
              </w:rPr>
              <w:t>其他结果</w:t>
            </w:r>
          </w:p>
        </w:tc>
        <w:tc>
          <w:tcPr>
            <w:tcW w:w="653" w:type="dxa"/>
            <w:vMerge w:val="restart"/>
            <w:vAlign w:val="center"/>
          </w:tcPr>
          <w:p w14:paraId="63FDC4BD">
            <w:pPr>
              <w:jc w:val="center"/>
              <w:rPr>
                <w:rFonts w:hint="default" w:ascii="Times New Roman" w:hAnsi="Times New Roman" w:cs="Times New Roman"/>
              </w:rPr>
            </w:pPr>
            <w:r>
              <w:rPr>
                <w:rFonts w:hint="default" w:ascii="Times New Roman" w:hAnsi="Times New Roman" w:cs="Times New Roman"/>
              </w:rPr>
              <w:t>尚未审结</w:t>
            </w:r>
          </w:p>
        </w:tc>
        <w:tc>
          <w:tcPr>
            <w:tcW w:w="654" w:type="dxa"/>
            <w:vMerge w:val="restart"/>
            <w:vAlign w:val="center"/>
          </w:tcPr>
          <w:p w14:paraId="6764D2FD">
            <w:pPr>
              <w:jc w:val="center"/>
              <w:rPr>
                <w:rFonts w:hint="default" w:ascii="Times New Roman" w:hAnsi="Times New Roman" w:cs="Times New Roman"/>
              </w:rPr>
            </w:pPr>
            <w:r>
              <w:rPr>
                <w:rFonts w:hint="default" w:ascii="Times New Roman" w:hAnsi="Times New Roman" w:cs="Times New Roman"/>
              </w:rPr>
              <w:t>总计</w:t>
            </w:r>
          </w:p>
        </w:tc>
        <w:tc>
          <w:tcPr>
            <w:tcW w:w="3210" w:type="dxa"/>
            <w:gridSpan w:val="5"/>
            <w:vAlign w:val="center"/>
          </w:tcPr>
          <w:p w14:paraId="77DC68FA">
            <w:pPr>
              <w:jc w:val="center"/>
              <w:rPr>
                <w:rFonts w:hint="default" w:ascii="Times New Roman" w:hAnsi="Times New Roman" w:cs="Times New Roman"/>
              </w:rPr>
            </w:pPr>
            <w:r>
              <w:rPr>
                <w:rFonts w:hint="default" w:ascii="Times New Roman" w:hAnsi="Times New Roman" w:cs="Times New Roman"/>
              </w:rPr>
              <w:t>未经复议直接起诉</w:t>
            </w:r>
          </w:p>
        </w:tc>
        <w:tc>
          <w:tcPr>
            <w:tcW w:w="3214" w:type="dxa"/>
            <w:gridSpan w:val="5"/>
            <w:vAlign w:val="center"/>
          </w:tcPr>
          <w:p w14:paraId="76C472BE">
            <w:pPr>
              <w:jc w:val="center"/>
              <w:rPr>
                <w:rFonts w:hint="default" w:ascii="Times New Roman" w:hAnsi="Times New Roman" w:cs="Times New Roman"/>
              </w:rPr>
            </w:pPr>
            <w:r>
              <w:rPr>
                <w:rFonts w:hint="default" w:ascii="Times New Roman" w:hAnsi="Times New Roman" w:cs="Times New Roman"/>
              </w:rPr>
              <w:t>复议后起诉</w:t>
            </w:r>
          </w:p>
        </w:tc>
      </w:tr>
      <w:tr w14:paraId="0BB3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546E8E7C">
            <w:pPr>
              <w:jc w:val="left"/>
              <w:rPr>
                <w:rFonts w:hint="default" w:ascii="Times New Roman" w:hAnsi="Times New Roman" w:cs="Times New Roman"/>
              </w:rPr>
            </w:pPr>
          </w:p>
        </w:tc>
        <w:tc>
          <w:tcPr>
            <w:tcW w:w="653" w:type="dxa"/>
            <w:vMerge w:val="continue"/>
          </w:tcPr>
          <w:p w14:paraId="5CA81C9A">
            <w:pPr>
              <w:jc w:val="left"/>
              <w:rPr>
                <w:rFonts w:hint="default" w:ascii="Times New Roman" w:hAnsi="Times New Roman" w:cs="Times New Roman"/>
              </w:rPr>
            </w:pPr>
          </w:p>
        </w:tc>
        <w:tc>
          <w:tcPr>
            <w:tcW w:w="653" w:type="dxa"/>
            <w:vMerge w:val="continue"/>
          </w:tcPr>
          <w:p w14:paraId="437EDC4C">
            <w:pPr>
              <w:jc w:val="left"/>
              <w:rPr>
                <w:rFonts w:hint="default" w:ascii="Times New Roman" w:hAnsi="Times New Roman" w:cs="Times New Roman"/>
              </w:rPr>
            </w:pPr>
          </w:p>
        </w:tc>
        <w:tc>
          <w:tcPr>
            <w:tcW w:w="653" w:type="dxa"/>
            <w:vMerge w:val="continue"/>
          </w:tcPr>
          <w:p w14:paraId="308D069B">
            <w:pPr>
              <w:jc w:val="left"/>
              <w:rPr>
                <w:rFonts w:hint="default" w:ascii="Times New Roman" w:hAnsi="Times New Roman" w:cs="Times New Roman"/>
              </w:rPr>
            </w:pPr>
          </w:p>
        </w:tc>
        <w:tc>
          <w:tcPr>
            <w:tcW w:w="654" w:type="dxa"/>
            <w:vMerge w:val="continue"/>
          </w:tcPr>
          <w:p w14:paraId="0F2FA091">
            <w:pPr>
              <w:jc w:val="left"/>
              <w:rPr>
                <w:rFonts w:hint="default" w:ascii="Times New Roman" w:hAnsi="Times New Roman" w:cs="Times New Roman"/>
              </w:rPr>
            </w:pPr>
          </w:p>
        </w:tc>
        <w:tc>
          <w:tcPr>
            <w:tcW w:w="642" w:type="dxa"/>
          </w:tcPr>
          <w:p w14:paraId="7496C73E">
            <w:pPr>
              <w:jc w:val="left"/>
              <w:rPr>
                <w:rFonts w:hint="default" w:ascii="Times New Roman" w:hAnsi="Times New Roman" w:cs="Times New Roman"/>
              </w:rPr>
            </w:pPr>
            <w:r>
              <w:rPr>
                <w:rFonts w:hint="default" w:ascii="Times New Roman" w:hAnsi="Times New Roman" w:cs="Times New Roman"/>
              </w:rPr>
              <w:t>结果维持</w:t>
            </w:r>
          </w:p>
        </w:tc>
        <w:tc>
          <w:tcPr>
            <w:tcW w:w="642" w:type="dxa"/>
          </w:tcPr>
          <w:p w14:paraId="728FC0AC">
            <w:pPr>
              <w:jc w:val="left"/>
              <w:rPr>
                <w:rFonts w:hint="default" w:ascii="Times New Roman" w:hAnsi="Times New Roman" w:cs="Times New Roman"/>
              </w:rPr>
            </w:pPr>
            <w:r>
              <w:rPr>
                <w:rFonts w:hint="default" w:ascii="Times New Roman" w:hAnsi="Times New Roman" w:cs="Times New Roman"/>
              </w:rPr>
              <w:t>结果纠正</w:t>
            </w:r>
          </w:p>
        </w:tc>
        <w:tc>
          <w:tcPr>
            <w:tcW w:w="642" w:type="dxa"/>
          </w:tcPr>
          <w:p w14:paraId="52CFEC58">
            <w:pPr>
              <w:jc w:val="left"/>
              <w:rPr>
                <w:rFonts w:hint="default" w:ascii="Times New Roman" w:hAnsi="Times New Roman" w:cs="Times New Roman"/>
              </w:rPr>
            </w:pPr>
            <w:r>
              <w:rPr>
                <w:rFonts w:hint="default" w:ascii="Times New Roman" w:hAnsi="Times New Roman" w:cs="Times New Roman"/>
              </w:rPr>
              <w:t>其他结果</w:t>
            </w:r>
          </w:p>
        </w:tc>
        <w:tc>
          <w:tcPr>
            <w:tcW w:w="642" w:type="dxa"/>
          </w:tcPr>
          <w:p w14:paraId="2DB71309">
            <w:pPr>
              <w:jc w:val="left"/>
              <w:rPr>
                <w:rFonts w:hint="default" w:ascii="Times New Roman" w:hAnsi="Times New Roman" w:cs="Times New Roman"/>
              </w:rPr>
            </w:pPr>
            <w:r>
              <w:rPr>
                <w:rFonts w:hint="default" w:ascii="Times New Roman" w:hAnsi="Times New Roman" w:cs="Times New Roman"/>
              </w:rPr>
              <w:t>尚未审结</w:t>
            </w:r>
          </w:p>
        </w:tc>
        <w:tc>
          <w:tcPr>
            <w:tcW w:w="642" w:type="dxa"/>
            <w:vAlign w:val="center"/>
          </w:tcPr>
          <w:p w14:paraId="7E650DE8">
            <w:pPr>
              <w:jc w:val="center"/>
              <w:rPr>
                <w:rFonts w:hint="default" w:ascii="Times New Roman" w:hAnsi="Times New Roman" w:cs="Times New Roman"/>
              </w:rPr>
            </w:pPr>
            <w:r>
              <w:rPr>
                <w:rFonts w:hint="default" w:ascii="Times New Roman" w:hAnsi="Times New Roman" w:cs="Times New Roman"/>
              </w:rPr>
              <w:t>总计</w:t>
            </w:r>
          </w:p>
        </w:tc>
        <w:tc>
          <w:tcPr>
            <w:tcW w:w="642" w:type="dxa"/>
          </w:tcPr>
          <w:p w14:paraId="265AF8B7">
            <w:pPr>
              <w:jc w:val="left"/>
              <w:rPr>
                <w:rFonts w:hint="default" w:ascii="Times New Roman" w:hAnsi="Times New Roman" w:cs="Times New Roman"/>
              </w:rPr>
            </w:pPr>
            <w:r>
              <w:rPr>
                <w:rFonts w:hint="default" w:ascii="Times New Roman" w:hAnsi="Times New Roman" w:cs="Times New Roman"/>
              </w:rPr>
              <w:t>结果维持</w:t>
            </w:r>
          </w:p>
        </w:tc>
        <w:tc>
          <w:tcPr>
            <w:tcW w:w="642" w:type="dxa"/>
          </w:tcPr>
          <w:p w14:paraId="5492033C">
            <w:pPr>
              <w:jc w:val="left"/>
              <w:rPr>
                <w:rFonts w:hint="default" w:ascii="Times New Roman" w:hAnsi="Times New Roman" w:cs="Times New Roman"/>
              </w:rPr>
            </w:pPr>
            <w:r>
              <w:rPr>
                <w:rFonts w:hint="default" w:ascii="Times New Roman" w:hAnsi="Times New Roman" w:cs="Times New Roman"/>
              </w:rPr>
              <w:t>结果纠正</w:t>
            </w:r>
          </w:p>
        </w:tc>
        <w:tc>
          <w:tcPr>
            <w:tcW w:w="642" w:type="dxa"/>
          </w:tcPr>
          <w:p w14:paraId="3BADE53B">
            <w:pPr>
              <w:jc w:val="left"/>
              <w:rPr>
                <w:rFonts w:hint="default" w:ascii="Times New Roman" w:hAnsi="Times New Roman" w:cs="Times New Roman"/>
              </w:rPr>
            </w:pPr>
            <w:r>
              <w:rPr>
                <w:rFonts w:hint="default" w:ascii="Times New Roman" w:hAnsi="Times New Roman" w:cs="Times New Roman"/>
              </w:rPr>
              <w:t>其他结果</w:t>
            </w:r>
          </w:p>
        </w:tc>
        <w:tc>
          <w:tcPr>
            <w:tcW w:w="642" w:type="dxa"/>
          </w:tcPr>
          <w:p w14:paraId="2E43300A">
            <w:pPr>
              <w:jc w:val="left"/>
              <w:rPr>
                <w:rFonts w:hint="default" w:ascii="Times New Roman" w:hAnsi="Times New Roman" w:cs="Times New Roman"/>
              </w:rPr>
            </w:pPr>
            <w:r>
              <w:rPr>
                <w:rFonts w:hint="default" w:ascii="Times New Roman" w:hAnsi="Times New Roman" w:cs="Times New Roman"/>
              </w:rPr>
              <w:t>尚未审结</w:t>
            </w:r>
          </w:p>
        </w:tc>
        <w:tc>
          <w:tcPr>
            <w:tcW w:w="646" w:type="dxa"/>
            <w:vAlign w:val="center"/>
          </w:tcPr>
          <w:p w14:paraId="1D5C4D43">
            <w:pPr>
              <w:jc w:val="center"/>
              <w:rPr>
                <w:rFonts w:hint="default" w:ascii="Times New Roman" w:hAnsi="Times New Roman" w:cs="Times New Roman"/>
              </w:rPr>
            </w:pPr>
            <w:r>
              <w:rPr>
                <w:rFonts w:hint="default" w:ascii="Times New Roman" w:hAnsi="Times New Roman" w:cs="Times New Roman"/>
              </w:rPr>
              <w:t>总计</w:t>
            </w:r>
          </w:p>
        </w:tc>
      </w:tr>
      <w:tr w14:paraId="12FF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3" w:type="dxa"/>
            <w:vAlign w:val="center"/>
          </w:tcPr>
          <w:p w14:paraId="43018589">
            <w:pPr>
              <w:jc w:val="center"/>
              <w:rPr>
                <w:rFonts w:hint="default" w:ascii="Times New Roman" w:hAnsi="Times New Roman" w:cs="Times New Roman"/>
              </w:rPr>
            </w:pPr>
            <w:r>
              <w:rPr>
                <w:rFonts w:hint="default" w:ascii="Times New Roman" w:hAnsi="Times New Roman" w:cs="Times New Roman"/>
              </w:rPr>
              <w:t>0</w:t>
            </w:r>
          </w:p>
        </w:tc>
        <w:tc>
          <w:tcPr>
            <w:tcW w:w="653" w:type="dxa"/>
            <w:vAlign w:val="center"/>
          </w:tcPr>
          <w:p w14:paraId="3EF132F4">
            <w:pPr>
              <w:jc w:val="center"/>
              <w:rPr>
                <w:rFonts w:hint="default" w:ascii="Times New Roman" w:hAnsi="Times New Roman" w:cs="Times New Roman"/>
              </w:rPr>
            </w:pPr>
            <w:r>
              <w:rPr>
                <w:rFonts w:hint="default" w:ascii="Times New Roman" w:hAnsi="Times New Roman" w:cs="Times New Roman"/>
              </w:rPr>
              <w:t>0</w:t>
            </w:r>
          </w:p>
        </w:tc>
        <w:tc>
          <w:tcPr>
            <w:tcW w:w="653" w:type="dxa"/>
            <w:vAlign w:val="center"/>
          </w:tcPr>
          <w:p w14:paraId="435E41C4">
            <w:pPr>
              <w:jc w:val="center"/>
              <w:rPr>
                <w:rFonts w:hint="default" w:ascii="Times New Roman" w:hAnsi="Times New Roman" w:cs="Times New Roman"/>
              </w:rPr>
            </w:pPr>
            <w:r>
              <w:rPr>
                <w:rFonts w:hint="default" w:ascii="Times New Roman" w:hAnsi="Times New Roman" w:cs="Times New Roman"/>
              </w:rPr>
              <w:t>0</w:t>
            </w:r>
          </w:p>
        </w:tc>
        <w:tc>
          <w:tcPr>
            <w:tcW w:w="653" w:type="dxa"/>
            <w:vAlign w:val="center"/>
          </w:tcPr>
          <w:p w14:paraId="49359B7F">
            <w:pPr>
              <w:jc w:val="center"/>
              <w:rPr>
                <w:rFonts w:hint="default" w:ascii="Times New Roman" w:hAnsi="Times New Roman" w:cs="Times New Roman"/>
              </w:rPr>
            </w:pPr>
            <w:r>
              <w:rPr>
                <w:rFonts w:hint="default" w:ascii="Times New Roman" w:hAnsi="Times New Roman" w:cs="Times New Roman"/>
              </w:rPr>
              <w:t>0</w:t>
            </w:r>
          </w:p>
        </w:tc>
        <w:tc>
          <w:tcPr>
            <w:tcW w:w="654" w:type="dxa"/>
            <w:vAlign w:val="center"/>
          </w:tcPr>
          <w:p w14:paraId="0955DC47">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2AFD3895">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2B1478A8">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373D6F91">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76CC5993">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03B08DA3">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0DE68EA7">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36B18DA2">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19FB98D4">
            <w:pPr>
              <w:jc w:val="center"/>
              <w:rPr>
                <w:rFonts w:hint="default" w:ascii="Times New Roman" w:hAnsi="Times New Roman" w:cs="Times New Roman"/>
              </w:rPr>
            </w:pPr>
            <w:r>
              <w:rPr>
                <w:rFonts w:hint="default" w:ascii="Times New Roman" w:hAnsi="Times New Roman" w:cs="Times New Roman"/>
              </w:rPr>
              <w:t>0</w:t>
            </w:r>
          </w:p>
        </w:tc>
        <w:tc>
          <w:tcPr>
            <w:tcW w:w="642" w:type="dxa"/>
            <w:vAlign w:val="center"/>
          </w:tcPr>
          <w:p w14:paraId="1CDABA3D">
            <w:pPr>
              <w:jc w:val="center"/>
              <w:rPr>
                <w:rFonts w:hint="default" w:ascii="Times New Roman" w:hAnsi="Times New Roman" w:cs="Times New Roman"/>
              </w:rPr>
            </w:pPr>
            <w:r>
              <w:rPr>
                <w:rFonts w:hint="default" w:ascii="Times New Roman" w:hAnsi="Times New Roman" w:cs="Times New Roman"/>
              </w:rPr>
              <w:t>0</w:t>
            </w:r>
          </w:p>
        </w:tc>
        <w:tc>
          <w:tcPr>
            <w:tcW w:w="646" w:type="dxa"/>
            <w:vAlign w:val="center"/>
          </w:tcPr>
          <w:p w14:paraId="11D371D3">
            <w:pPr>
              <w:jc w:val="center"/>
              <w:rPr>
                <w:rFonts w:hint="default" w:ascii="Times New Roman" w:hAnsi="Times New Roman" w:cs="Times New Roman"/>
              </w:rPr>
            </w:pPr>
            <w:r>
              <w:rPr>
                <w:rFonts w:hint="default" w:ascii="Times New Roman" w:hAnsi="Times New Roman" w:cs="Times New Roman"/>
              </w:rPr>
              <w:t>0</w:t>
            </w:r>
          </w:p>
        </w:tc>
      </w:tr>
    </w:tbl>
    <w:p w14:paraId="372BCE6F">
      <w:pPr>
        <w:numPr>
          <w:ilvl w:val="0"/>
          <w:numId w:val="2"/>
        </w:numPr>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存在的主要问题及改进情况</w:t>
      </w:r>
    </w:p>
    <w:p w14:paraId="48DF98E6">
      <w:pPr>
        <w:widowControl/>
        <w:shd w:val="clear" w:color="auto" w:fill="FFFFFF"/>
        <w:ind w:firstLine="643"/>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w:t>
      </w:r>
      <w:r>
        <w:rPr>
          <w:rFonts w:hint="eastAsia" w:ascii="Times New Roman" w:hAnsi="Times New Roman" w:eastAsia="仿宋" w:cs="Times New Roman"/>
          <w:color w:val="000000"/>
          <w:kern w:val="0"/>
          <w:sz w:val="32"/>
          <w:szCs w:val="32"/>
          <w:lang w:val="en-US" w:eastAsia="zh-CN" w:bidi="ar-SA"/>
        </w:rPr>
        <w:t>4</w:t>
      </w:r>
      <w:r>
        <w:rPr>
          <w:rFonts w:hint="default" w:ascii="Times New Roman" w:hAnsi="Times New Roman" w:eastAsia="仿宋" w:cs="Times New Roman"/>
          <w:color w:val="000000"/>
          <w:kern w:val="0"/>
          <w:sz w:val="32"/>
          <w:szCs w:val="32"/>
          <w:lang w:val="en-US" w:eastAsia="zh-CN" w:bidi="ar-SA"/>
        </w:rPr>
        <w:t>年，我局政府信息公开工作取得了一定成效，但也存在一些薄弱环节，主要表现在：一是主动公开信息的力度仍需加强</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二是政策解读的方式仍需更加丰富具体</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三是公开信息的及时性、全面性仍需提高。</w:t>
      </w:r>
    </w:p>
    <w:p w14:paraId="1521E558">
      <w:pPr>
        <w:widowControl/>
        <w:shd w:val="clear" w:color="auto" w:fill="FFFFFF"/>
        <w:ind w:firstLine="643"/>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我局进一步拓展公开范围，丰富公开内容，健全受理机制，畅通受理渠道，推进网上申请、信函申请的及时受理。不断完善受理、审查、处理、答复等环节工作流程。同时，</w:t>
      </w:r>
      <w:r>
        <w:rPr>
          <w:rFonts w:hint="eastAsia" w:ascii="Times New Roman" w:hAnsi="Times New Roman" w:eastAsia="仿宋" w:cs="Times New Roman"/>
          <w:color w:val="000000"/>
          <w:kern w:val="0"/>
          <w:sz w:val="32"/>
          <w:szCs w:val="32"/>
          <w:lang w:val="en-US" w:eastAsia="zh-CN" w:bidi="ar-SA"/>
        </w:rPr>
        <w:t>积极</w:t>
      </w:r>
      <w:r>
        <w:rPr>
          <w:rFonts w:hint="default" w:ascii="Times New Roman" w:hAnsi="Times New Roman" w:eastAsia="仿宋" w:cs="Times New Roman"/>
          <w:color w:val="000000"/>
          <w:kern w:val="0"/>
          <w:sz w:val="32"/>
          <w:szCs w:val="32"/>
          <w:lang w:val="en-US" w:eastAsia="zh-CN" w:bidi="ar-SA"/>
        </w:rPr>
        <w:t>与兄弟单位学习交流，借鉴先进经验，查缺补漏，细化责任分工，将各栏目分解至对应科室</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做到信息发布严格具体，不断提升信息发布的质量。</w:t>
      </w:r>
    </w:p>
    <w:p w14:paraId="78AC2595">
      <w:pPr>
        <w:numPr>
          <w:ilvl w:val="0"/>
          <w:numId w:val="2"/>
        </w:numPr>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其他需要报告的事项</w:t>
      </w:r>
    </w:p>
    <w:p w14:paraId="68E81E04">
      <w:pPr>
        <w:pStyle w:val="6"/>
        <w:spacing w:before="0" w:beforeAutospacing="0" w:after="0" w:afterAutospacing="0" w:line="600" w:lineRule="atLeast"/>
        <w:ind w:firstLine="640"/>
        <w:jc w:val="both"/>
        <w:rPr>
          <w:rFonts w:hint="default" w:ascii="Times New Roman" w:hAnsi="Times New Roman" w:eastAsia="微软雅黑" w:cs="Times New Roman"/>
          <w:color w:val="000000"/>
        </w:rPr>
      </w:pPr>
      <w:r>
        <w:rPr>
          <w:rFonts w:hint="default" w:ascii="Times New Roman" w:hAnsi="Times New Roman" w:eastAsia="楷体" w:cs="Times New Roman"/>
          <w:color w:val="000000"/>
          <w:sz w:val="32"/>
          <w:szCs w:val="32"/>
        </w:rPr>
        <w:t>（一）收取信息处理费情况。</w:t>
      </w:r>
      <w:r>
        <w:rPr>
          <w:rFonts w:hint="default" w:ascii="Times New Roman" w:hAnsi="Times New Roman" w:eastAsia="仿宋" w:cs="Times New Roman"/>
          <w:color w:val="000000"/>
          <w:sz w:val="32"/>
          <w:szCs w:val="32"/>
        </w:rPr>
        <w:t>本年度未收取信息处理费。</w:t>
      </w:r>
    </w:p>
    <w:p w14:paraId="495BAC34">
      <w:pPr>
        <w:pStyle w:val="6"/>
        <w:spacing w:before="0" w:beforeAutospacing="0" w:after="0" w:afterAutospacing="0" w:line="600" w:lineRule="atLeast"/>
        <w:ind w:firstLine="640"/>
        <w:jc w:val="both"/>
        <w:rPr>
          <w:rFonts w:hint="default" w:ascii="Times New Roman" w:hAnsi="Times New Roman" w:eastAsia="微软雅黑" w:cs="Times New Roman"/>
          <w:color w:val="000000"/>
        </w:rPr>
      </w:pPr>
      <w:r>
        <w:rPr>
          <w:rFonts w:hint="default" w:ascii="Times New Roman" w:hAnsi="Times New Roman" w:eastAsia="楷体" w:cs="Times New Roman"/>
          <w:color w:val="000000"/>
          <w:sz w:val="32"/>
          <w:szCs w:val="32"/>
        </w:rPr>
        <w:t>（二）人大代表建议和政协提案办理情况。</w:t>
      </w:r>
      <w:r>
        <w:rPr>
          <w:rFonts w:hint="default" w:ascii="Times New Roman" w:hAnsi="Times New Roman" w:eastAsia="仿宋" w:cs="Times New Roman"/>
          <w:color w:val="000000"/>
          <w:sz w:val="32"/>
          <w:szCs w:val="32"/>
        </w:rPr>
        <w:t>202</w:t>
      </w:r>
      <w:r>
        <w:rPr>
          <w:rFonts w:hint="eastAsia"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年度，区发展和改革局共办理区级人大代表建议</w:t>
      </w:r>
      <w:r>
        <w:rPr>
          <w:rFonts w:hint="eastAsia"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rPr>
        <w:t>件，政协提案</w:t>
      </w:r>
      <w:r>
        <w:rPr>
          <w:rFonts w:hint="eastAsia" w:ascii="Times New Roman" w:hAnsi="Times New Roman" w:eastAsia="仿宋" w:cs="Times New Roman"/>
          <w:color w:val="000000"/>
          <w:sz w:val="32"/>
          <w:szCs w:val="32"/>
          <w:lang w:val="en-US" w:eastAsia="zh-CN"/>
        </w:rPr>
        <w:t>15</w:t>
      </w:r>
      <w:r>
        <w:rPr>
          <w:rFonts w:hint="default" w:ascii="Times New Roman" w:hAnsi="Times New Roman" w:eastAsia="仿宋" w:cs="Times New Roman"/>
          <w:color w:val="000000"/>
          <w:sz w:val="32"/>
          <w:szCs w:val="32"/>
        </w:rPr>
        <w:t>件。严格按照区委、区政府的要求，思想上高度重视，态度上积极主动，行动上切实有效，程序上合理规范，认真办理每一件建议提案，尽最大努力解决代表委员们所反映的问题。</w:t>
      </w:r>
    </w:p>
    <w:p w14:paraId="5F08F18D">
      <w:pPr>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（三）本部门在政务公开制度、内容、形式和平台建设方面的创新实践情况</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一是加强组织领导。</w:t>
      </w:r>
      <w:r>
        <w:rPr>
          <w:rFonts w:hint="eastAsia" w:ascii="Times New Roman" w:hAnsi="Times New Roman" w:eastAsia="仿宋" w:cs="Times New Roman"/>
          <w:sz w:val="32"/>
          <w:szCs w:val="32"/>
          <w:lang w:val="en-US" w:eastAsia="zh-CN"/>
        </w:rPr>
        <w:t>紧密贴合工作实际，适时调整政务公开领导小组人员架构，确保组织领导坚实有力。同时，将政务公开工作机制落细落实，在单位内部开展集中培训活动，对工作任务进行精细化拆解，层层压实责任，稳步推动政务公开迈向常态化、长效化轨道。</w:t>
      </w:r>
      <w:r>
        <w:rPr>
          <w:rFonts w:hint="default" w:ascii="Times New Roman" w:hAnsi="Times New Roman" w:eastAsia="楷体_GB2312" w:cs="Times New Roman"/>
          <w:sz w:val="32"/>
          <w:szCs w:val="32"/>
        </w:rPr>
        <w:t>二是持续深化完善依申请公开转主动公开常态化审查机制。</w:t>
      </w:r>
      <w:r>
        <w:rPr>
          <w:rFonts w:hint="default" w:ascii="Times New Roman" w:hAnsi="Times New Roman" w:eastAsia="仿宋" w:cs="Times New Roman"/>
          <w:sz w:val="32"/>
          <w:szCs w:val="32"/>
        </w:rPr>
        <w:t>严格按照《中华人民共和国政府信息公开条例》等有关法规文件要求，全方位梳理依申请公开工作流程，逐一细化各环节的操作程序、执行标准与责任归属，确保依法依规、及时精准地给予答复反馈，切实保障公众知情权。</w:t>
      </w:r>
    </w:p>
    <w:p w14:paraId="28A7517E">
      <w:pPr>
        <w:keepNext w:val="0"/>
        <w:keepLines w:val="0"/>
        <w:widowControl/>
        <w:suppressLineNumbers w:val="0"/>
        <w:ind w:firstLine="640" w:firstLineChars="200"/>
        <w:jc w:val="left"/>
        <w:rPr>
          <w:rFonts w:hint="default" w:ascii="Times New Roman" w:hAnsi="Times New Roman" w:eastAsia="仿宋" w:cs="Times New Roman"/>
          <w:color w:val="000000"/>
          <w:sz w:val="32"/>
          <w:szCs w:val="32"/>
          <w:shd w:val="clear" w:color="auto" w:fill="FFFFFF"/>
        </w:rPr>
      </w:pPr>
      <w:r>
        <w:rPr>
          <w:rFonts w:hint="default" w:ascii="Times New Roman" w:hAnsi="Times New Roman" w:eastAsia="楷体" w:cs="Times New Roman"/>
          <w:color w:val="000000"/>
          <w:sz w:val="32"/>
          <w:szCs w:val="32"/>
          <w:shd w:val="clear" w:color="auto" w:fill="FFFFFF"/>
        </w:rPr>
        <w:t>（四）</w:t>
      </w:r>
      <w:r>
        <w:rPr>
          <w:rFonts w:ascii="楷体" w:hAnsi="楷体" w:eastAsia="楷体" w:cs="楷体"/>
          <w:i w:val="0"/>
          <w:caps w:val="0"/>
          <w:color w:val="000000"/>
          <w:spacing w:val="0"/>
          <w:kern w:val="0"/>
          <w:sz w:val="32"/>
          <w:szCs w:val="32"/>
          <w:shd w:val="clear" w:fill="FFFFFF"/>
          <w:lang w:val="en-US" w:eastAsia="zh-CN" w:bidi="ar"/>
        </w:rPr>
        <w:t>年度工作要点落实情况。</w:t>
      </w:r>
      <w:r>
        <w:rPr>
          <w:rFonts w:hint="default" w:ascii="Times New Roman" w:hAnsi="Times New Roman" w:eastAsia="仿宋" w:cs="Times New Roman"/>
          <w:color w:val="000000"/>
          <w:sz w:val="32"/>
          <w:szCs w:val="32"/>
          <w:shd w:val="clear" w:color="auto" w:fill="FFFFFF"/>
        </w:rPr>
        <w:t>我局严格落实《202</w:t>
      </w:r>
      <w:r>
        <w:rPr>
          <w:rFonts w:hint="eastAsia" w:ascii="Times New Roman" w:hAnsi="Times New Roman" w:eastAsia="仿宋" w:cs="Times New Roman"/>
          <w:color w:val="000000"/>
          <w:sz w:val="32"/>
          <w:szCs w:val="32"/>
          <w:shd w:val="clear" w:color="auto" w:fill="FFFFFF"/>
          <w:lang w:val="en-US" w:eastAsia="zh-CN"/>
        </w:rPr>
        <w:t>4</w:t>
      </w:r>
      <w:r>
        <w:rPr>
          <w:rFonts w:hint="default" w:ascii="Times New Roman" w:hAnsi="Times New Roman" w:eastAsia="仿宋" w:cs="Times New Roman"/>
          <w:color w:val="000000"/>
          <w:sz w:val="32"/>
          <w:szCs w:val="32"/>
          <w:shd w:val="clear" w:color="auto" w:fill="FFFFFF"/>
        </w:rPr>
        <w:t>年淄博市政务公开工作方案》。围绕与群众关系密切的行政行为和服务事项，按照“应公开、尽公开”要求全面梳理公开事项，细化公开内容，督促指导各科室及时按照相关法律法规要求做好主动公开工作，进一步提高基层政务公开的针对性、时效性。</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7B7F4"/>
    <w:multiLevelType w:val="singleLevel"/>
    <w:tmpl w:val="DE67B7F4"/>
    <w:lvl w:ilvl="0" w:tentative="0">
      <w:start w:val="2"/>
      <w:numFmt w:val="chineseCounting"/>
      <w:suff w:val="nothing"/>
      <w:lvlText w:val="%1、"/>
      <w:lvlJc w:val="left"/>
      <w:pPr>
        <w:ind w:left="-10"/>
      </w:pPr>
      <w:rPr>
        <w:rFonts w:hint="eastAsia"/>
      </w:rPr>
    </w:lvl>
  </w:abstractNum>
  <w:abstractNum w:abstractNumId="1">
    <w:nsid w:val="4EC6F0AB"/>
    <w:multiLevelType w:val="singleLevel"/>
    <w:tmpl w:val="4EC6F0AB"/>
    <w:lvl w:ilvl="0" w:tentative="0">
      <w:start w:val="1"/>
      <w:numFmt w:val="chineseCounting"/>
      <w:suff w:val="nothing"/>
      <w:lvlText w:val="（%1）"/>
      <w:lvlJc w:val="left"/>
      <w:rPr>
        <w:rFonts w:hint="eastAsia"/>
        <w:color w:val="auto"/>
      </w:rPr>
    </w:lvl>
  </w:abstractNum>
  <w:abstractNum w:abstractNumId="2">
    <w:nsid w:val="54A52E15"/>
    <w:multiLevelType w:val="singleLevel"/>
    <w:tmpl w:val="54A52E15"/>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ZWQxMGQ5ODhjYWUxOGVmNzlhNzUxMTJmNWYzOTUifQ=="/>
  </w:docVars>
  <w:rsids>
    <w:rsidRoot w:val="00A41DD0"/>
    <w:rsid w:val="00016C32"/>
    <w:rsid w:val="00303F39"/>
    <w:rsid w:val="004F0635"/>
    <w:rsid w:val="00541339"/>
    <w:rsid w:val="00A41DD0"/>
    <w:rsid w:val="00CD3536"/>
    <w:rsid w:val="00D15AD5"/>
    <w:rsid w:val="00E37C0B"/>
    <w:rsid w:val="03996EBE"/>
    <w:rsid w:val="039B3DC0"/>
    <w:rsid w:val="0491627C"/>
    <w:rsid w:val="07634BF4"/>
    <w:rsid w:val="079F0674"/>
    <w:rsid w:val="08CD5150"/>
    <w:rsid w:val="092E3BEA"/>
    <w:rsid w:val="0CB101B0"/>
    <w:rsid w:val="106F2403"/>
    <w:rsid w:val="124B075F"/>
    <w:rsid w:val="13A07BFB"/>
    <w:rsid w:val="14865338"/>
    <w:rsid w:val="14B051F1"/>
    <w:rsid w:val="19CE6D54"/>
    <w:rsid w:val="1A0933D9"/>
    <w:rsid w:val="1CB12904"/>
    <w:rsid w:val="1D515F16"/>
    <w:rsid w:val="1DCD0BC2"/>
    <w:rsid w:val="1FBE07C2"/>
    <w:rsid w:val="210E72F3"/>
    <w:rsid w:val="214E3CFE"/>
    <w:rsid w:val="21C008BD"/>
    <w:rsid w:val="21D97B35"/>
    <w:rsid w:val="227930C6"/>
    <w:rsid w:val="2B4C2B63"/>
    <w:rsid w:val="2C111938"/>
    <w:rsid w:val="2C8114F5"/>
    <w:rsid w:val="2CEC5DF5"/>
    <w:rsid w:val="2CF27CFD"/>
    <w:rsid w:val="2D880661"/>
    <w:rsid w:val="2E6C001C"/>
    <w:rsid w:val="2EA150AF"/>
    <w:rsid w:val="312468F3"/>
    <w:rsid w:val="344F2EC5"/>
    <w:rsid w:val="352E7FF4"/>
    <w:rsid w:val="35B30F60"/>
    <w:rsid w:val="35D137B4"/>
    <w:rsid w:val="390D6387"/>
    <w:rsid w:val="3911775D"/>
    <w:rsid w:val="39763E93"/>
    <w:rsid w:val="39902D77"/>
    <w:rsid w:val="3A1E4827"/>
    <w:rsid w:val="3BD056AD"/>
    <w:rsid w:val="415C74BF"/>
    <w:rsid w:val="41AD27C7"/>
    <w:rsid w:val="43E44A3A"/>
    <w:rsid w:val="45B002FD"/>
    <w:rsid w:val="497943FF"/>
    <w:rsid w:val="49BB5BEF"/>
    <w:rsid w:val="4A183A5E"/>
    <w:rsid w:val="4A3752A4"/>
    <w:rsid w:val="4AC960E9"/>
    <w:rsid w:val="4ADF590D"/>
    <w:rsid w:val="4D2A1444"/>
    <w:rsid w:val="4FB6408C"/>
    <w:rsid w:val="4FF23487"/>
    <w:rsid w:val="507330FC"/>
    <w:rsid w:val="51794413"/>
    <w:rsid w:val="52214A5D"/>
    <w:rsid w:val="54E65AEA"/>
    <w:rsid w:val="56531FEC"/>
    <w:rsid w:val="57B43D41"/>
    <w:rsid w:val="58AC5387"/>
    <w:rsid w:val="5C9D79DE"/>
    <w:rsid w:val="5D0E4E1B"/>
    <w:rsid w:val="5F584043"/>
    <w:rsid w:val="61D37F74"/>
    <w:rsid w:val="63480DE2"/>
    <w:rsid w:val="6389067A"/>
    <w:rsid w:val="64E57CFD"/>
    <w:rsid w:val="65664FB6"/>
    <w:rsid w:val="6760523F"/>
    <w:rsid w:val="697162AB"/>
    <w:rsid w:val="6C4E4249"/>
    <w:rsid w:val="718F1BE2"/>
    <w:rsid w:val="721A613B"/>
    <w:rsid w:val="777FF946"/>
    <w:rsid w:val="7B9B206F"/>
    <w:rsid w:val="7DFD7DC9"/>
    <w:rsid w:val="BAEEA80B"/>
    <w:rsid w:val="BEF7F0BE"/>
    <w:rsid w:val="F57FA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80" w:lineRule="exact"/>
      <w:jc w:val="center"/>
      <w:outlineLvl w:val="0"/>
    </w:pPr>
    <w:rPr>
      <w:rFonts w:eastAsia="方正小标宋简体"/>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napToGrid w:val="0"/>
      <w:spacing w:line="300" w:lineRule="auto"/>
      <w:ind w:firstLine="556"/>
    </w:pPr>
    <w:rPr>
      <w:rFonts w:ascii="仿宋_GB2312" w:hAnsi="Calibri" w:eastAsia="仿宋_GB2312" w:cs="Times New Roman"/>
      <w:sz w:val="28"/>
    </w:rPr>
  </w:style>
  <w:style w:type="paragraph" w:styleId="4">
    <w:name w:val="Balloon Text"/>
    <w:basedOn w:val="1"/>
    <w:next w:val="5"/>
    <w:semiHidden/>
    <w:qFormat/>
    <w:uiPriority w:val="0"/>
    <w:rPr>
      <w:sz w:val="18"/>
      <w:szCs w:val="18"/>
    </w:rPr>
  </w:style>
  <w:style w:type="paragraph" w:styleId="5">
    <w:name w:val="toc 9"/>
    <w:basedOn w:val="1"/>
    <w:next w:val="1"/>
    <w:qFormat/>
    <w:uiPriority w:val="0"/>
    <w:pPr>
      <w:ind w:left="3360" w:leftChars="1600"/>
    </w:pPr>
    <w:rPr>
      <w:rFonts w:ascii="Calibri" w:hAnsi="Calibri" w:eastAsia="宋体" w:cs="Times New Roman"/>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2544</Words>
  <Characters>2635</Characters>
  <Lines>23</Lines>
  <Paragraphs>6</Paragraphs>
  <TotalTime>677</TotalTime>
  <ScaleCrop>false</ScaleCrop>
  <LinksUpToDate>false</LinksUpToDate>
  <CharactersWithSpaces>2650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2022-01-15T07:04:00Z</dcterms:created>
  <dc:creator>lenovo</dc:creator>
  <cp:lastModifiedBy>付丹丹</cp:lastModifiedBy>
  <cp:lastPrinted>2022-01-19T06:57:00Z</cp:lastPrinted>
  <dcterms:modified xsi:type="dcterms:W3CDTF">2025-01-22T06:30:07Z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632F7C4C28174B1B81B5A12E08445789_13</vt:lpwstr>
  </property>
  <property fmtid="{D5CDD505-2E9C-101B-9397-08002B2CF9AE}" pid="4" name="KSOTemplateDocerSaveRecord">
    <vt:lpwstr>eyJoZGlkIjoiZGFiYzVkNzY0MGY1ZTc4MzI4MzMzOTU5OTdmZDJjOGMiLCJ1c2VySWQiOiI5NzE1MDE2NDcifQ==</vt:lpwstr>
  </property>
</Properties>
</file>