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临淄区发展和改革局2023年政府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信息公开工作年度报告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本报告按照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本年度报告中所列数据统计期限从2023年1月1日到12月31日止。如对报告内容有疑问，请与淄博市临淄区发展和改革局联系（地址：临淄区齐兴路101号；邮编：255400；电话：0533-7220462；邮箱：lzqfgjbgs@zb.shandong.cn）</w:t>
      </w:r>
    </w:p>
    <w:p>
      <w:pPr>
        <w:ind w:firstLine="640" w:firstLineChars="200"/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2023年区发展和改革局全面贯彻落实党的二十大精神，坚持围绕中心、服务大局，严格按照《中华人民共和国政府信息公开条例》</w:t>
      </w:r>
      <w:r>
        <w:rPr>
          <w:rFonts w:hint="eastAsia" w:ascii="仿宋" w:hAnsi="仿宋" w:eastAsia="仿宋" w:cs="仿宋"/>
          <w:spacing w:val="-2"/>
          <w:sz w:val="32"/>
          <w:szCs w:val="32"/>
          <w:shd w:val="clear" w:color="auto" w:fill="FFFFFF"/>
        </w:rPr>
        <w:t>《山东省政府信息公开办法》规定</w:t>
      </w:r>
      <w:r>
        <w:rPr>
          <w:rFonts w:hint="eastAsia" w:ascii="仿宋" w:hAnsi="仿宋" w:eastAsia="仿宋" w:cs="仿宋"/>
          <w:sz w:val="32"/>
          <w:szCs w:val="32"/>
        </w:rPr>
        <w:t>，高度重视政府信息公开事务，围绕更高水平决策、政策解读回应、政务公开规范化建设等重点工作任务，进一步健全完善政府信息公开工作。在做好政府信息主动公开的同时，做好依申请公开工作，不断提高政府信息公开工作的针对性和时效性。</w:t>
      </w:r>
    </w:p>
    <w:p>
      <w:pPr>
        <w:pStyle w:val="6"/>
        <w:numPr>
          <w:ilvl w:val="0"/>
          <w:numId w:val="1"/>
        </w:numPr>
        <w:spacing w:before="0" w:beforeAutospacing="0" w:after="0" w:afterAutospacing="0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color w:val="000000"/>
          <w:sz w:val="32"/>
          <w:szCs w:val="32"/>
          <w:shd w:val="clear" w:color="auto" w:fill="FFFFFF"/>
        </w:rPr>
        <w:t>主动公开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信息情况。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2023年度，区发展和改革局共制发行政规范性文件0件，普通政府文件42件;通过政务公开平台公开信息88条，通过“临淄区发展和改革局”微信公众号公开信息232条。并安排专人专职做好政府信息公开工作，进一步更新完善了“双随机、一公开”等政府信息。</w:t>
      </w:r>
    </w:p>
    <w:p>
      <w:pPr>
        <w:pStyle w:val="6"/>
        <w:numPr>
          <w:ilvl w:val="0"/>
          <w:numId w:val="1"/>
        </w:numPr>
        <w:spacing w:before="0" w:beforeAutospacing="0" w:after="0" w:afterAutospacing="0"/>
        <w:ind w:firstLine="640" w:firstLineChars="200"/>
        <w:jc w:val="both"/>
        <w:rPr>
          <w:rFonts w:ascii="仿宋" w:hAnsi="仿宋" w:eastAsia="仿宋" w:cs="仿宋"/>
          <w:color w:val="FF0000"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color w:val="000000"/>
          <w:sz w:val="32"/>
          <w:szCs w:val="32"/>
          <w:shd w:val="clear" w:color="auto" w:fill="FFFFFF"/>
        </w:rPr>
        <w:t>依申请公开工作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情况。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2023年，区发改局收到政府信息公开申请4件，同比增长33%，全部依法依规予以办理。无因依申请公开引发的行政复议案件、行政诉讼案件，较好地保障了企业和群众获取信息的权利。</w:t>
      </w:r>
    </w:p>
    <w:p>
      <w:pPr>
        <w:pStyle w:val="6"/>
        <w:numPr>
          <w:ilvl w:val="0"/>
          <w:numId w:val="1"/>
        </w:numPr>
        <w:spacing w:before="0" w:beforeAutospacing="0" w:after="0" w:afterAutospacing="0"/>
        <w:ind w:firstLine="640" w:firstLineChars="200"/>
        <w:jc w:val="both"/>
        <w:rPr>
          <w:rFonts w:ascii="仿宋" w:hAnsi="仿宋" w:eastAsia="仿宋" w:cs="仿宋"/>
          <w:color w:val="FF0000"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color w:val="000000"/>
          <w:sz w:val="32"/>
          <w:szCs w:val="32"/>
          <w:shd w:val="clear" w:color="auto" w:fill="FFFFFF"/>
        </w:rPr>
        <w:t>政府信息管理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情况。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按照“以公开为常态、不公开为例外”的要求，深入贯彻实施政府信息公开条例，准确、及时、全面地公开政府信息。动态更新完善了机构职能、信息公开指南等信息，做到信息透明、服务便捷、利于监督。</w:t>
      </w:r>
    </w:p>
    <w:p>
      <w:pPr>
        <w:pStyle w:val="6"/>
        <w:numPr>
          <w:ilvl w:val="0"/>
          <w:numId w:val="1"/>
        </w:numPr>
        <w:spacing w:before="0" w:beforeAutospacing="0" w:after="0" w:afterAutospacing="0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color w:val="000000"/>
          <w:sz w:val="32"/>
          <w:szCs w:val="32"/>
          <w:shd w:val="clear" w:color="auto" w:fill="FFFFFF"/>
        </w:rPr>
        <w:t>政府信息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公开</w:t>
      </w:r>
      <w:r>
        <w:rPr>
          <w:rFonts w:ascii="楷体" w:hAnsi="楷体" w:eastAsia="楷体" w:cs="楷体"/>
          <w:color w:val="000000"/>
          <w:sz w:val="32"/>
          <w:szCs w:val="32"/>
          <w:shd w:val="clear" w:color="auto" w:fill="FFFFFF"/>
        </w:rPr>
        <w:t>平台建设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情况。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根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据工作部署，及时调整政府网站栏目设置。优化“双随机、一公开”专题，做好政策文件、政策解读、政府常务会议等公开专栏信息维护。发挥政务新媒体的推介宣传作用，微信公众号关注人数835人，全年发布推文232条。</w:t>
      </w:r>
    </w:p>
    <w:p>
      <w:pPr>
        <w:pStyle w:val="6"/>
        <w:numPr>
          <w:ilvl w:val="0"/>
          <w:numId w:val="1"/>
        </w:numPr>
        <w:spacing w:before="0" w:beforeAutospacing="0" w:after="0" w:afterAutospacing="0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color w:val="000000"/>
          <w:sz w:val="32"/>
          <w:szCs w:val="32"/>
          <w:shd w:val="clear" w:color="auto" w:fill="FFFFFF"/>
        </w:rPr>
        <w:t>政府信息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公开</w:t>
      </w:r>
      <w:r>
        <w:rPr>
          <w:rFonts w:ascii="楷体" w:hAnsi="楷体" w:eastAsia="楷体" w:cs="楷体"/>
          <w:color w:val="000000"/>
          <w:sz w:val="32"/>
          <w:szCs w:val="32"/>
          <w:shd w:val="clear" w:color="auto" w:fill="FFFFFF"/>
        </w:rPr>
        <w:t>监督保障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情况。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健全完善“首问责任制”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，明确主要负责同志对政务公开工作负总责，各分管领导不定期抽查分管业务科室政务信息公开情况，对未按时公开信息的科室进行督促批评。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制定2023年政务公开培训计划，加强政务公开人员信息采集和公开发布的针对性培训，进一步提升工作能力。全年开展专题培训2次，定期通报工作中存在的问题和不足，并指导督促进行问题整改。</w:t>
      </w:r>
    </w:p>
    <w:p>
      <w:pPr>
        <w:pStyle w:val="6"/>
        <w:numPr>
          <w:ilvl w:val="0"/>
          <w:numId w:val="2"/>
        </w:numPr>
        <w:spacing w:before="0" w:beforeAutospacing="0" w:after="0" w:afterAutospacing="0" w:line="560" w:lineRule="atLeast"/>
        <w:ind w:firstLine="640"/>
        <w:jc w:val="both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主动公开政府信息情况</w:t>
      </w:r>
    </w:p>
    <w:tbl>
      <w:tblPr>
        <w:tblStyle w:val="8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第二十条  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本年制发数量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本年废止件数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规章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行政规范性文件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第二十条  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信息内容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行政许可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第二十条  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信息内容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ind w:firstLine="1440" w:firstLineChars="600"/>
              <w:rPr>
                <w:sz w:val="24"/>
              </w:rPr>
            </w:pPr>
            <w:r>
              <w:rPr>
                <w:rFonts w:hint="eastAsia"/>
                <w:sz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行政处罚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行政强制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第二十条  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信息内容</w:t>
            </w:r>
          </w:p>
        </w:tc>
        <w:tc>
          <w:tcPr>
            <w:tcW w:w="6237" w:type="dxa"/>
            <w:gridSpan w:val="3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行政事业性收费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</w:tbl>
    <w:p>
      <w:pPr>
        <w:widowControl/>
        <w:shd w:val="clear" w:color="auto" w:fill="FFFFFF"/>
        <w:spacing w:after="225" w:line="360" w:lineRule="atLeast"/>
        <w:jc w:val="lef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</w:p>
    <w:p>
      <w:pPr>
        <w:pStyle w:val="6"/>
        <w:numPr>
          <w:ilvl w:val="0"/>
          <w:numId w:val="2"/>
        </w:numPr>
        <w:spacing w:before="0" w:beforeAutospacing="0" w:after="0" w:afterAutospacing="0" w:line="560" w:lineRule="atLeast"/>
        <w:ind w:firstLine="640"/>
        <w:jc w:val="both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收到和处理政府信息申请情况</w:t>
      </w:r>
    </w:p>
    <w:tbl>
      <w:tblPr>
        <w:tblStyle w:val="8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00"/>
        <w:gridCol w:w="2544"/>
        <w:gridCol w:w="735"/>
        <w:gridCol w:w="735"/>
        <w:gridCol w:w="735"/>
        <w:gridCol w:w="735"/>
        <w:gridCol w:w="736"/>
        <w:gridCol w:w="736"/>
        <w:gridCol w:w="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29" w:type="dxa"/>
            <w:gridSpan w:val="3"/>
            <w:vMerge w:val="restart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ascii="楷体" w:hAnsi="楷体" w:eastAsia="楷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shd w:val="clear" w:color="auto" w:fill="FFFFFF"/>
              </w:rPr>
              <w:t>（本列数据的勾稽关系为：第一项加第二项之和，等于第三项加第四项之和）</w:t>
            </w:r>
          </w:p>
        </w:tc>
        <w:tc>
          <w:tcPr>
            <w:tcW w:w="5150" w:type="dxa"/>
            <w:gridSpan w:val="7"/>
            <w:vAlign w:val="center"/>
          </w:tcPr>
          <w:p>
            <w:pPr>
              <w:pStyle w:val="6"/>
              <w:spacing w:before="0" w:beforeAutospacing="0" w:after="0" w:afterAutospacing="0" w:line="560" w:lineRule="atLeast"/>
              <w:jc w:val="center"/>
              <w:rPr>
                <w:rFonts w:eastAsia="宋体"/>
                <w:color w:val="000000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hd w:val="clear" w:color="auto" w:fill="FFFFFF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29" w:type="dxa"/>
            <w:gridSpan w:val="3"/>
            <w:vMerge w:val="continue"/>
          </w:tcPr>
          <w:p>
            <w:pPr>
              <w:pStyle w:val="6"/>
              <w:spacing w:before="0" w:beforeAutospacing="0" w:after="0" w:afterAutospacing="0" w:line="560" w:lineRule="atLeast"/>
              <w:jc w:val="both"/>
              <w:rPr>
                <w:rFonts w:ascii="楷体" w:hAnsi="楷体" w:eastAsia="楷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5" w:type="dxa"/>
            <w:vMerge w:val="restart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自然人</w:t>
            </w:r>
          </w:p>
        </w:tc>
        <w:tc>
          <w:tcPr>
            <w:tcW w:w="3677" w:type="dxa"/>
            <w:gridSpan w:val="5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法人或其他组织</w:t>
            </w:r>
          </w:p>
        </w:tc>
        <w:tc>
          <w:tcPr>
            <w:tcW w:w="738" w:type="dxa"/>
            <w:vMerge w:val="restart"/>
            <w:vAlign w:val="center"/>
          </w:tcPr>
          <w:p>
            <w:pPr>
              <w:pStyle w:val="6"/>
              <w:spacing w:before="0" w:beforeAutospacing="0" w:after="0" w:afterAutospacing="0" w:line="560" w:lineRule="atLeast"/>
              <w:jc w:val="center"/>
              <w:rPr>
                <w:rFonts w:eastAsia="宋体"/>
                <w:color w:val="000000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hd w:val="clear" w:color="auto" w:fill="FFFFFF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29" w:type="dxa"/>
            <w:gridSpan w:val="3"/>
            <w:vMerge w:val="continue"/>
          </w:tcPr>
          <w:p>
            <w:pPr>
              <w:pStyle w:val="6"/>
              <w:spacing w:before="0" w:beforeAutospacing="0" w:after="0" w:afterAutospacing="0" w:line="560" w:lineRule="atLeast"/>
              <w:jc w:val="both"/>
              <w:rPr>
                <w:rFonts w:ascii="楷体" w:hAnsi="楷体" w:eastAsia="楷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商业企业</w:t>
            </w:r>
          </w:p>
        </w:tc>
        <w:tc>
          <w:tcPr>
            <w:tcW w:w="735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科研机构</w:t>
            </w:r>
          </w:p>
        </w:tc>
        <w:tc>
          <w:tcPr>
            <w:tcW w:w="735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社会公益组织</w:t>
            </w:r>
          </w:p>
        </w:tc>
        <w:tc>
          <w:tcPr>
            <w:tcW w:w="736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法律服务机构</w:t>
            </w:r>
          </w:p>
        </w:tc>
        <w:tc>
          <w:tcPr>
            <w:tcW w:w="736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其他</w:t>
            </w:r>
          </w:p>
        </w:tc>
        <w:tc>
          <w:tcPr>
            <w:tcW w:w="738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560" w:lineRule="atLeast"/>
              <w:jc w:val="center"/>
              <w:rPr>
                <w:rFonts w:eastAsia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29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一、本年新收政府信息公开申请数量</w:t>
            </w:r>
          </w:p>
        </w:tc>
        <w:tc>
          <w:tcPr>
            <w:tcW w:w="735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29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二、上年结转政府信息公开申请数量</w:t>
            </w:r>
          </w:p>
        </w:tc>
        <w:tc>
          <w:tcPr>
            <w:tcW w:w="735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三、本年度办理结果</w:t>
            </w:r>
          </w:p>
        </w:tc>
        <w:tc>
          <w:tcPr>
            <w:tcW w:w="3444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（一）予以公开</w:t>
            </w:r>
          </w:p>
        </w:tc>
        <w:tc>
          <w:tcPr>
            <w:tcW w:w="735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444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（二）部分公开</w:t>
            </w:r>
          </w:p>
        </w:tc>
        <w:tc>
          <w:tcPr>
            <w:tcW w:w="735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（三）不予公开</w:t>
            </w:r>
          </w:p>
        </w:tc>
        <w:tc>
          <w:tcPr>
            <w:tcW w:w="2544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1.属于国家秘密</w:t>
            </w:r>
          </w:p>
        </w:tc>
        <w:tc>
          <w:tcPr>
            <w:tcW w:w="735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44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2.其他法律行政法规禁止公开</w:t>
            </w:r>
          </w:p>
        </w:tc>
        <w:tc>
          <w:tcPr>
            <w:tcW w:w="735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44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3.危及“三安全一稳定”</w:t>
            </w:r>
          </w:p>
        </w:tc>
        <w:tc>
          <w:tcPr>
            <w:tcW w:w="735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44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4.保护第三方合法权益</w:t>
            </w:r>
          </w:p>
        </w:tc>
        <w:tc>
          <w:tcPr>
            <w:tcW w:w="735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44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5.属于三类内部事务信息</w:t>
            </w:r>
          </w:p>
        </w:tc>
        <w:tc>
          <w:tcPr>
            <w:tcW w:w="735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44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6.属于四类过程性信息</w:t>
            </w:r>
          </w:p>
        </w:tc>
        <w:tc>
          <w:tcPr>
            <w:tcW w:w="735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44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7.属于行政执法案卷</w:t>
            </w:r>
          </w:p>
        </w:tc>
        <w:tc>
          <w:tcPr>
            <w:tcW w:w="735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44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8.属于行政查询事项</w:t>
            </w:r>
          </w:p>
        </w:tc>
        <w:tc>
          <w:tcPr>
            <w:tcW w:w="735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（四）无法提供</w:t>
            </w:r>
          </w:p>
        </w:tc>
        <w:tc>
          <w:tcPr>
            <w:tcW w:w="2544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1.本机关不掌握相关政府信息</w:t>
            </w:r>
          </w:p>
        </w:tc>
        <w:tc>
          <w:tcPr>
            <w:tcW w:w="735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44" w:type="dxa"/>
            <w:vAlign w:val="center"/>
          </w:tcPr>
          <w:p>
            <w:pPr>
              <w:pStyle w:val="6"/>
              <w:numPr>
                <w:ilvl w:val="0"/>
                <w:numId w:val="3"/>
              </w:numPr>
              <w:spacing w:before="0" w:beforeAutospacing="0" w:after="0" w:afterAutospacing="0" w:line="240" w:lineRule="exact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没有现成信息需要另行制作</w:t>
            </w:r>
          </w:p>
        </w:tc>
        <w:tc>
          <w:tcPr>
            <w:tcW w:w="735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44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3.补正后申请内容仍不明确</w:t>
            </w:r>
          </w:p>
        </w:tc>
        <w:tc>
          <w:tcPr>
            <w:tcW w:w="735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（五）不予处理</w:t>
            </w:r>
          </w:p>
        </w:tc>
        <w:tc>
          <w:tcPr>
            <w:tcW w:w="2544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1.信访举报投诉类申请</w:t>
            </w:r>
          </w:p>
        </w:tc>
        <w:tc>
          <w:tcPr>
            <w:tcW w:w="735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44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2.重复申请</w:t>
            </w:r>
          </w:p>
        </w:tc>
        <w:tc>
          <w:tcPr>
            <w:tcW w:w="735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44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3.要求提供公开出版物</w:t>
            </w:r>
          </w:p>
        </w:tc>
        <w:tc>
          <w:tcPr>
            <w:tcW w:w="735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44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4.无正当理由大量反复申请</w:t>
            </w:r>
          </w:p>
        </w:tc>
        <w:tc>
          <w:tcPr>
            <w:tcW w:w="735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44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5.要求行政机关确认或重新出具已获取信息</w:t>
            </w:r>
          </w:p>
        </w:tc>
        <w:tc>
          <w:tcPr>
            <w:tcW w:w="735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（六）其他处理</w:t>
            </w:r>
          </w:p>
        </w:tc>
        <w:tc>
          <w:tcPr>
            <w:tcW w:w="2544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1.申请人无正当理由逾期不补正、行政机关不再处理其政府信息公开申请</w:t>
            </w:r>
          </w:p>
        </w:tc>
        <w:tc>
          <w:tcPr>
            <w:tcW w:w="735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44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2.申请人逾期未按收费通知要求缴纳费用、行政机关不再处理其政府信息公开申请</w:t>
            </w:r>
          </w:p>
        </w:tc>
        <w:tc>
          <w:tcPr>
            <w:tcW w:w="735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44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3.其他</w:t>
            </w:r>
          </w:p>
        </w:tc>
        <w:tc>
          <w:tcPr>
            <w:tcW w:w="735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444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（七）总计</w:t>
            </w:r>
          </w:p>
        </w:tc>
        <w:tc>
          <w:tcPr>
            <w:tcW w:w="735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29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四、结转下年度继续办理</w:t>
            </w:r>
          </w:p>
        </w:tc>
        <w:tc>
          <w:tcPr>
            <w:tcW w:w="735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</w:rPr>
              <w:t>0</w:t>
            </w:r>
          </w:p>
        </w:tc>
      </w:tr>
    </w:tbl>
    <w:p>
      <w:pPr>
        <w:pStyle w:val="6"/>
        <w:numPr>
          <w:ilvl w:val="0"/>
          <w:numId w:val="2"/>
        </w:numPr>
        <w:spacing w:before="0" w:beforeAutospacing="0" w:after="0" w:afterAutospacing="0" w:line="560" w:lineRule="atLeast"/>
        <w:ind w:firstLine="640"/>
        <w:jc w:val="both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政府信息公开行政复议、行政诉讼情况</w:t>
      </w:r>
    </w:p>
    <w:tbl>
      <w:tblPr>
        <w:tblStyle w:val="8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653"/>
        <w:gridCol w:w="653"/>
        <w:gridCol w:w="653"/>
        <w:gridCol w:w="654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26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424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5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321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未经复议直接起诉</w:t>
            </w:r>
          </w:p>
        </w:tc>
        <w:tc>
          <w:tcPr>
            <w:tcW w:w="3214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jc w:val="left"/>
            </w:pPr>
          </w:p>
        </w:tc>
        <w:tc>
          <w:tcPr>
            <w:tcW w:w="653" w:type="dxa"/>
            <w:vMerge w:val="continue"/>
          </w:tcPr>
          <w:p>
            <w:pPr>
              <w:jc w:val="left"/>
            </w:pPr>
          </w:p>
        </w:tc>
        <w:tc>
          <w:tcPr>
            <w:tcW w:w="653" w:type="dxa"/>
            <w:vMerge w:val="continue"/>
          </w:tcPr>
          <w:p>
            <w:pPr>
              <w:jc w:val="left"/>
            </w:pPr>
          </w:p>
        </w:tc>
        <w:tc>
          <w:tcPr>
            <w:tcW w:w="653" w:type="dxa"/>
            <w:vMerge w:val="continue"/>
          </w:tcPr>
          <w:p>
            <w:pPr>
              <w:jc w:val="left"/>
            </w:pPr>
          </w:p>
        </w:tc>
        <w:tc>
          <w:tcPr>
            <w:tcW w:w="654" w:type="dxa"/>
            <w:vMerge w:val="continue"/>
          </w:tcPr>
          <w:p>
            <w:pPr>
              <w:jc w:val="left"/>
            </w:pPr>
          </w:p>
        </w:tc>
        <w:tc>
          <w:tcPr>
            <w:tcW w:w="642" w:type="dxa"/>
          </w:tcPr>
          <w:p>
            <w:pPr>
              <w:jc w:val="left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42" w:type="dxa"/>
          </w:tcPr>
          <w:p>
            <w:pPr>
              <w:jc w:val="left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42" w:type="dxa"/>
          </w:tcPr>
          <w:p>
            <w:pPr>
              <w:jc w:val="left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42" w:type="dxa"/>
          </w:tcPr>
          <w:p>
            <w:pPr>
              <w:jc w:val="left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642" w:type="dxa"/>
          </w:tcPr>
          <w:p>
            <w:pPr>
              <w:jc w:val="left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42" w:type="dxa"/>
          </w:tcPr>
          <w:p>
            <w:pPr>
              <w:jc w:val="left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42" w:type="dxa"/>
          </w:tcPr>
          <w:p>
            <w:pPr>
              <w:jc w:val="left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42" w:type="dxa"/>
          </w:tcPr>
          <w:p>
            <w:pPr>
              <w:jc w:val="left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64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>
      <w:pPr>
        <w:widowControl/>
        <w:shd w:val="clear" w:color="auto" w:fill="FFFFFF"/>
        <w:ind w:firstLine="643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楷体" w:hAnsi="楷体" w:eastAsia="楷体" w:cs="楷体"/>
          <w:kern w:val="0"/>
          <w:sz w:val="32"/>
          <w:szCs w:val="32"/>
          <w:shd w:val="clear" w:color="auto" w:fill="FFFFFF"/>
          <w:lang w:val="en-US" w:eastAsia="zh-CN" w:bidi="ar"/>
        </w:rPr>
        <w:t>一</w:t>
      </w:r>
      <w:r>
        <w:rPr>
          <w:rFonts w:hint="eastAsia" w:ascii="楷体" w:hAnsi="楷体" w:eastAsia="楷体" w:cs="楷体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楷体" w:hAnsi="楷体" w:eastAsia="楷体" w:cs="楷体"/>
          <w:kern w:val="0"/>
          <w:sz w:val="32"/>
          <w:szCs w:val="32"/>
          <w:shd w:val="clear" w:color="auto" w:fill="FFFFFF"/>
          <w:lang w:bidi="ar"/>
        </w:rPr>
        <w:t>存在问题：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一是信息公开渠道有待进一步拓宽，对于通过新媒体进行政务公开这一渠道不够重视。二是部分栏目信息发布前审核不严，导致公开文件中含有错别字等问题。</w:t>
      </w:r>
    </w:p>
    <w:p>
      <w:pPr>
        <w:widowControl/>
        <w:shd w:val="clear" w:color="auto" w:fill="FFFFFF"/>
        <w:ind w:firstLine="643"/>
        <w:rPr>
          <w:rFonts w:ascii="楷体" w:hAnsi="楷体" w:eastAsia="楷体" w:cs="楷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楷体" w:hAnsi="楷体" w:eastAsia="楷体" w:cs="楷体"/>
          <w:kern w:val="0"/>
          <w:sz w:val="32"/>
          <w:szCs w:val="32"/>
          <w:shd w:val="clear" w:color="auto" w:fill="FFFFFF"/>
          <w:lang w:val="en-US" w:eastAsia="zh-CN" w:bidi="ar"/>
        </w:rPr>
        <w:t>二</w:t>
      </w:r>
      <w:r>
        <w:rPr>
          <w:rFonts w:hint="eastAsia" w:ascii="楷体" w:hAnsi="楷体" w:eastAsia="楷体" w:cs="楷体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楷体" w:hAnsi="楷体" w:eastAsia="楷体" w:cs="楷体"/>
          <w:kern w:val="0"/>
          <w:sz w:val="32"/>
          <w:szCs w:val="32"/>
          <w:shd w:val="clear" w:color="auto" w:fill="FFFFFF"/>
          <w:lang w:bidi="ar"/>
        </w:rPr>
        <w:t>改进情况：</w:t>
      </w:r>
      <w:r>
        <w:rPr>
          <w:rFonts w:hint="eastAsia" w:ascii="仿宋_GB2312" w:eastAsia="仿宋_GB2312" w:cs="仿宋_GB2312"/>
          <w:bCs/>
          <w:kern w:val="0"/>
          <w:sz w:val="32"/>
          <w:szCs w:val="32"/>
          <w:shd w:val="clear" w:color="auto" w:fill="FFFFFF"/>
          <w:lang w:bidi="ar"/>
        </w:rPr>
        <w:t>一是加强新媒体政务平台建设，及时在微信公众号等平台公开政务信息，保障群众获取信息的权利。二</w:t>
      </w:r>
      <w:r>
        <w:rPr>
          <w:rFonts w:ascii="仿宋_GB2312" w:eastAsia="仿宋_GB2312" w:cs="仿宋_GB2312"/>
          <w:bCs/>
          <w:kern w:val="0"/>
          <w:sz w:val="32"/>
          <w:szCs w:val="32"/>
          <w:shd w:val="clear" w:color="auto" w:fill="FFFFFF"/>
          <w:lang w:bidi="ar"/>
        </w:rPr>
        <w:t>是</w:t>
      </w:r>
      <w:r>
        <w:rPr>
          <w:rFonts w:hint="eastAsia" w:ascii="仿宋_GB2312" w:eastAsia="仿宋_GB2312" w:cs="仿宋_GB2312"/>
          <w:bCs/>
          <w:kern w:val="0"/>
          <w:sz w:val="32"/>
          <w:szCs w:val="32"/>
          <w:shd w:val="clear" w:color="auto" w:fill="FFFFFF"/>
          <w:lang w:bidi="ar"/>
        </w:rPr>
        <w:t>开展</w:t>
      </w:r>
      <w:r>
        <w:rPr>
          <w:rFonts w:ascii="仿宋_GB2312" w:eastAsia="仿宋_GB2312" w:cs="仿宋_GB2312"/>
          <w:bCs/>
          <w:kern w:val="0"/>
          <w:sz w:val="32"/>
          <w:szCs w:val="32"/>
          <w:shd w:val="clear" w:color="auto" w:fill="FFFFFF"/>
          <w:lang w:bidi="ar"/>
        </w:rPr>
        <w:t>强化</w:t>
      </w:r>
      <w:r>
        <w:rPr>
          <w:rFonts w:hint="eastAsia" w:ascii="仿宋_GB2312" w:eastAsia="仿宋_GB2312" w:cs="仿宋_GB2312"/>
          <w:bCs/>
          <w:kern w:val="0"/>
          <w:sz w:val="32"/>
          <w:szCs w:val="32"/>
          <w:shd w:val="clear" w:color="auto" w:fill="FFFFFF"/>
          <w:lang w:bidi="ar"/>
        </w:rPr>
        <w:t>培训</w:t>
      </w:r>
      <w:bookmarkStart w:id="0" w:name="_GoBack"/>
      <w:bookmarkEnd w:id="0"/>
      <w:r>
        <w:rPr>
          <w:rFonts w:ascii="仿宋_GB2312" w:eastAsia="仿宋_GB2312" w:cs="仿宋_GB2312"/>
          <w:bCs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按照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上级文件</w:t>
      </w: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要求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和工作部署</w:t>
      </w: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针对政务公开工作中可能出现的问题</w:t>
      </w: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进一步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开展培训</w:t>
      </w: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仿宋_GB2312" w:eastAsia="仿宋_GB2312" w:cs="仿宋_GB2312"/>
          <w:bCs/>
          <w:kern w:val="0"/>
          <w:sz w:val="32"/>
          <w:szCs w:val="32"/>
          <w:shd w:val="clear" w:color="auto" w:fill="FFFFFF"/>
          <w:lang w:bidi="ar"/>
        </w:rPr>
        <w:t>严格信息审查审核机制，</w:t>
      </w:r>
      <w:r>
        <w:rPr>
          <w:rFonts w:hint="eastAsia" w:ascii="仿宋_GB2312" w:eastAsia="仿宋_GB2312" w:cs="仿宋_GB2312"/>
          <w:bCs/>
          <w:kern w:val="0"/>
          <w:sz w:val="32"/>
          <w:szCs w:val="32"/>
          <w:shd w:val="clear" w:color="auto" w:fill="FFFFFF"/>
          <w:lang w:bidi="ar"/>
        </w:rPr>
        <w:t>在发布前进行联络员、科室负责人和分管领导三审三校。</w:t>
      </w:r>
    </w:p>
    <w:p>
      <w:pPr>
        <w:numPr>
          <w:ilvl w:val="0"/>
          <w:numId w:val="2"/>
        </w:numPr>
        <w:ind w:firstLine="64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其他需要报告的事项</w:t>
      </w:r>
    </w:p>
    <w:p>
      <w:pPr>
        <w:pStyle w:val="6"/>
        <w:spacing w:before="0" w:beforeAutospacing="0" w:after="0" w:afterAutospacing="0" w:line="600" w:lineRule="atLeast"/>
        <w:ind w:firstLine="640"/>
        <w:jc w:val="both"/>
        <w:rPr>
          <w:rFonts w:ascii="微软雅黑" w:hAnsi="微软雅黑" w:eastAsia="微软雅黑" w:cs="微软雅黑"/>
          <w:color w:val="000000"/>
        </w:rPr>
      </w:pPr>
      <w:r>
        <w:rPr>
          <w:rFonts w:ascii="楷体" w:hAnsi="楷体" w:eastAsia="楷体" w:cs="楷体"/>
          <w:color w:val="000000"/>
          <w:sz w:val="32"/>
          <w:szCs w:val="32"/>
        </w:rPr>
        <w:t>（一）收取信息处理费情况。</w:t>
      </w:r>
      <w:r>
        <w:rPr>
          <w:rFonts w:ascii="仿宋" w:hAnsi="仿宋" w:eastAsia="仿宋" w:cs="仿宋"/>
          <w:color w:val="000000"/>
          <w:sz w:val="32"/>
          <w:szCs w:val="32"/>
        </w:rPr>
        <w:t>本年度未收取信息处理费。</w:t>
      </w:r>
    </w:p>
    <w:p>
      <w:pPr>
        <w:pStyle w:val="6"/>
        <w:spacing w:before="0" w:beforeAutospacing="0" w:after="0" w:afterAutospacing="0" w:line="600" w:lineRule="atLeast"/>
        <w:ind w:firstLine="640"/>
        <w:jc w:val="both"/>
        <w:rPr>
          <w:rFonts w:ascii="微软雅黑" w:hAnsi="微软雅黑" w:eastAsia="微软雅黑" w:cs="微软雅黑"/>
          <w:color w:val="000000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（二）人大代表建议和政协提案办理情况。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2023年，区发展和改革局共承办人大代表建议</w:t>
      </w: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件，承办政协提案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件。主要涉及金融服务保障、企地协作发展、能源结构优化、价格领域、企业诚信建设、粮食储备等方面。各主办件均已完成书面答复报告和委员答复工作，我们将继续推动各项工作落地落细落实，高质量高标准办好建议和提案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（三）年度工作要点落实情况。</w:t>
      </w:r>
      <w:r>
        <w:rPr>
          <w:rFonts w:hint="eastAsia" w:ascii="楷体_GB2312" w:hAnsi="楷体_GB2312" w:eastAsia="楷体_GB2312" w:cs="楷体_GB2312"/>
          <w:sz w:val="32"/>
          <w:szCs w:val="32"/>
        </w:rPr>
        <w:t>一是组织集中学习方案要点工作。</w:t>
      </w:r>
      <w:r>
        <w:rPr>
          <w:rFonts w:hint="eastAsia" w:ascii="仿宋" w:hAnsi="仿宋" w:eastAsia="仿宋" w:cs="仿宋"/>
          <w:sz w:val="32"/>
          <w:szCs w:val="32"/>
        </w:rPr>
        <w:t>落实政务公开工作机制，在单位内开展集中培训，细致分解工作任务，压实工作责任，扎实推进政务公开常态化。</w:t>
      </w:r>
      <w:r>
        <w:rPr>
          <w:rFonts w:hint="eastAsia" w:ascii="楷体_GB2312" w:hAnsi="楷体_GB2312" w:eastAsia="楷体_GB2312" w:cs="楷体_GB2312"/>
          <w:sz w:val="32"/>
          <w:szCs w:val="32"/>
        </w:rPr>
        <w:t>二是做好重大项目建设信息公开。</w:t>
      </w:r>
      <w:r>
        <w:rPr>
          <w:rFonts w:hint="eastAsia" w:ascii="仿宋" w:hAnsi="仿宋" w:eastAsia="仿宋" w:cs="仿宋"/>
          <w:sz w:val="32"/>
          <w:szCs w:val="32"/>
        </w:rPr>
        <w:t>及时更新临淄区2023年度有关重大项目清单情况表，动态更新区重大项目建设进展情况。</w:t>
      </w:r>
      <w:r>
        <w:rPr>
          <w:rFonts w:hint="eastAsia" w:ascii="楷体_GB2312" w:hAnsi="楷体_GB2312" w:eastAsia="楷体_GB2312" w:cs="楷体_GB2312"/>
          <w:sz w:val="32"/>
          <w:szCs w:val="32"/>
        </w:rPr>
        <w:t>三是强化政策解读。</w:t>
      </w:r>
      <w:r>
        <w:rPr>
          <w:rFonts w:hint="eastAsia" w:ascii="仿宋" w:hAnsi="仿宋" w:eastAsia="仿宋" w:cs="仿宋"/>
          <w:sz w:val="32"/>
          <w:szCs w:val="32"/>
        </w:rPr>
        <w:t>针对服务对象和群众关心的《淄博市深化新旧动能转换推动绿色低碳高质量发展2023年重点工作任务》进行简明问答回复，为公众解读相关政策问题；深度解读《淄博市综合能源港布局专项规划（2023-2025年）》。</w:t>
      </w:r>
      <w:r>
        <w:rPr>
          <w:rFonts w:hint="eastAsia" w:ascii="楷体_GB2312" w:hAnsi="楷体_GB2312" w:eastAsia="楷体_GB2312" w:cs="楷体_GB2312"/>
          <w:sz w:val="32"/>
          <w:szCs w:val="32"/>
        </w:rPr>
        <w:t>四是持续深化完善依申请公开转主动公开常态化审查机制。</w:t>
      </w:r>
      <w:r>
        <w:rPr>
          <w:rFonts w:hint="eastAsia" w:ascii="仿宋" w:hAnsi="仿宋" w:eastAsia="仿宋" w:cs="仿宋"/>
          <w:sz w:val="32"/>
          <w:szCs w:val="32"/>
        </w:rPr>
        <w:t>严格按照《中华人民共和国政府信息公开条例》等有关法规文件要求，进一步完善依申请公开工作登记管理、协助调查、会商、归档等各个环节的程序、标准和责任划分，依法依规及时准确予以答复反馈。</w:t>
      </w:r>
      <w:r>
        <w:rPr>
          <w:rFonts w:hint="eastAsia" w:ascii="楷体_GB2312" w:hAnsi="楷体_GB2312" w:eastAsia="楷体_GB2312" w:cs="楷体_GB2312"/>
          <w:sz w:val="32"/>
          <w:szCs w:val="32"/>
        </w:rPr>
        <w:t>五是丰富政务公开形式。</w:t>
      </w:r>
      <w:r>
        <w:rPr>
          <w:rFonts w:hint="eastAsia" w:ascii="仿宋" w:hAnsi="仿宋" w:eastAsia="仿宋" w:cs="仿宋"/>
          <w:sz w:val="32"/>
          <w:szCs w:val="32"/>
        </w:rPr>
        <w:t>综合利用政府网站、微信公众号等媒介形式及时公开政务信息，开通电话咨询渠道，满足服务对象及社会公众的个性化信息需求。</w:t>
      </w:r>
    </w:p>
    <w:p>
      <w:pPr>
        <w:pStyle w:val="6"/>
        <w:spacing w:before="0" w:beforeAutospacing="0" w:after="0" w:afterAutospacing="0" w:line="30" w:lineRule="atLeast"/>
        <w:ind w:firstLine="641"/>
      </w:pPr>
      <w:r>
        <w:rPr>
          <w:rFonts w:ascii="楷体" w:hAnsi="楷体" w:eastAsia="楷体" w:cs="楷体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四</w:t>
      </w:r>
      <w:r>
        <w:rPr>
          <w:rFonts w:ascii="楷体" w:hAnsi="楷体" w:eastAsia="楷体" w:cs="楷体"/>
          <w:color w:val="000000"/>
          <w:sz w:val="32"/>
          <w:szCs w:val="32"/>
          <w:shd w:val="clear" w:color="auto" w:fill="FFFFFF"/>
        </w:rPr>
        <w:t>）政务公开工作创新情况。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强化落实政务公开工作机制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开展政务公开工作培训，提高政务信息发布质量，确保信息及时公开。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67B7F4"/>
    <w:multiLevelType w:val="singleLevel"/>
    <w:tmpl w:val="DE67B7F4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4EC6F0AB"/>
    <w:multiLevelType w:val="singleLevel"/>
    <w:tmpl w:val="4EC6F0AB"/>
    <w:lvl w:ilvl="0" w:tentative="0">
      <w:start w:val="1"/>
      <w:numFmt w:val="chineseCounting"/>
      <w:suff w:val="nothing"/>
      <w:lvlText w:val="（%1）"/>
      <w:lvlJc w:val="left"/>
      <w:rPr>
        <w:rFonts w:hint="eastAsia"/>
        <w:color w:val="auto"/>
      </w:rPr>
    </w:lvl>
  </w:abstractNum>
  <w:abstractNum w:abstractNumId="2">
    <w:nsid w:val="54A52E15"/>
    <w:multiLevelType w:val="singleLevel"/>
    <w:tmpl w:val="54A52E1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ZWQxMGQ5ODhjYWUxOGVmNzlhNzUxMTJmNWYzOTUifQ=="/>
  </w:docVars>
  <w:rsids>
    <w:rsidRoot w:val="00A41DD0"/>
    <w:rsid w:val="00016C32"/>
    <w:rsid w:val="00303F39"/>
    <w:rsid w:val="004F0635"/>
    <w:rsid w:val="00541339"/>
    <w:rsid w:val="00A41DD0"/>
    <w:rsid w:val="00CD3536"/>
    <w:rsid w:val="00D15AD5"/>
    <w:rsid w:val="00E37C0B"/>
    <w:rsid w:val="03996EBE"/>
    <w:rsid w:val="039B3DC0"/>
    <w:rsid w:val="0491627C"/>
    <w:rsid w:val="079F0674"/>
    <w:rsid w:val="08CD5150"/>
    <w:rsid w:val="092E3BEA"/>
    <w:rsid w:val="0CB101B0"/>
    <w:rsid w:val="124B075F"/>
    <w:rsid w:val="13A07BFB"/>
    <w:rsid w:val="14B051F1"/>
    <w:rsid w:val="19CE6D54"/>
    <w:rsid w:val="1A0933D9"/>
    <w:rsid w:val="1CB12904"/>
    <w:rsid w:val="1D515F16"/>
    <w:rsid w:val="1FBE07C2"/>
    <w:rsid w:val="214E3CFE"/>
    <w:rsid w:val="21C008BD"/>
    <w:rsid w:val="227930C6"/>
    <w:rsid w:val="2B4C2B63"/>
    <w:rsid w:val="2C111938"/>
    <w:rsid w:val="2C8114F5"/>
    <w:rsid w:val="2CEC5DF5"/>
    <w:rsid w:val="2CF27CFD"/>
    <w:rsid w:val="2E6C001C"/>
    <w:rsid w:val="312468F3"/>
    <w:rsid w:val="344F2EC5"/>
    <w:rsid w:val="352E7FF4"/>
    <w:rsid w:val="35B30F60"/>
    <w:rsid w:val="35D137B4"/>
    <w:rsid w:val="3911775D"/>
    <w:rsid w:val="39763E93"/>
    <w:rsid w:val="39902D77"/>
    <w:rsid w:val="3A1E4827"/>
    <w:rsid w:val="3BD056AD"/>
    <w:rsid w:val="415C74BF"/>
    <w:rsid w:val="41AD27C7"/>
    <w:rsid w:val="45B002FD"/>
    <w:rsid w:val="497943FF"/>
    <w:rsid w:val="49BB5BEF"/>
    <w:rsid w:val="4A183A5E"/>
    <w:rsid w:val="4A3752A4"/>
    <w:rsid w:val="4AC960E9"/>
    <w:rsid w:val="4ADF590D"/>
    <w:rsid w:val="4FB6408C"/>
    <w:rsid w:val="507330FC"/>
    <w:rsid w:val="56531FEC"/>
    <w:rsid w:val="58AC5387"/>
    <w:rsid w:val="5C9D79DE"/>
    <w:rsid w:val="5D0E4E1B"/>
    <w:rsid w:val="5E866118"/>
    <w:rsid w:val="5F584043"/>
    <w:rsid w:val="61D37F74"/>
    <w:rsid w:val="63480DE2"/>
    <w:rsid w:val="64E57CFD"/>
    <w:rsid w:val="65664FB6"/>
    <w:rsid w:val="6760523F"/>
    <w:rsid w:val="697162AB"/>
    <w:rsid w:val="6C4E4249"/>
    <w:rsid w:val="721A613B"/>
    <w:rsid w:val="7B9B206F"/>
    <w:rsid w:val="7DFD7DC9"/>
    <w:rsid w:val="BAEEA80B"/>
    <w:rsid w:val="BEF7F0BE"/>
    <w:rsid w:val="F57FA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8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snapToGrid w:val="0"/>
      <w:spacing w:line="300" w:lineRule="auto"/>
      <w:ind w:firstLine="556"/>
    </w:pPr>
    <w:rPr>
      <w:rFonts w:ascii="仿宋_GB2312" w:hAnsi="Calibri" w:eastAsia="仿宋_GB2312" w:cs="Times New Roman"/>
      <w:sz w:val="28"/>
    </w:rPr>
  </w:style>
  <w:style w:type="paragraph" w:styleId="4">
    <w:name w:val="Balloon Text"/>
    <w:basedOn w:val="1"/>
    <w:next w:val="5"/>
    <w:autoRedefine/>
    <w:semiHidden/>
    <w:qFormat/>
    <w:uiPriority w:val="0"/>
    <w:rPr>
      <w:sz w:val="18"/>
      <w:szCs w:val="18"/>
    </w:rPr>
  </w:style>
  <w:style w:type="paragraph" w:styleId="5">
    <w:name w:val="toc 9"/>
    <w:basedOn w:val="1"/>
    <w:next w:val="1"/>
    <w:autoRedefine/>
    <w:qFormat/>
    <w:uiPriority w:val="0"/>
    <w:pPr>
      <w:ind w:left="3360" w:leftChars="1600"/>
    </w:pPr>
    <w:rPr>
      <w:rFonts w:ascii="Calibri" w:hAnsi="Calibri" w:eastAsia="宋体" w:cs="Times New Roman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NormalIndent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484</Words>
  <Characters>2761</Characters>
  <Lines>23</Lines>
  <Paragraphs>6</Paragraphs>
  <TotalTime>82</TotalTime>
  <ScaleCrop>false</ScaleCrop>
  <LinksUpToDate>false</LinksUpToDate>
  <CharactersWithSpaces>3239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2022-01-14T23:04:00Z</dcterms:created>
  <dc:creator>lenovo</dc:creator>
  <cp:lastModifiedBy>女哥哥</cp:lastModifiedBy>
  <cp:lastPrinted>2022-01-18T22:57:00Z</cp:lastPrinted>
  <dcterms:modified xsi:type="dcterms:W3CDTF">2024-01-30T03:37:42Z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232B65A0DABD49F18262CDE5BBBC3A51_13</vt:lpwstr>
  </property>
</Properties>
</file>