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小标宋简体" w:hAnsi="方正小标宋简体" w:eastAsia="方正小标宋简体" w:cs="方正小标宋简体"/>
          <w:b w:val="0"/>
          <w:bCs w:val="0"/>
          <w:i w:val="0"/>
          <w:iCs w:val="0"/>
          <w:caps w:val="0"/>
          <w:color w:val="000000"/>
          <w:spacing w:val="0"/>
          <w:sz w:val="44"/>
          <w:szCs w:val="44"/>
        </w:rPr>
      </w:pPr>
      <w:r>
        <w:rPr>
          <w:rStyle w:val="6"/>
          <w:rFonts w:hint="eastAsia" w:ascii="方正小标宋简体" w:hAnsi="方正小标宋简体" w:eastAsia="方正小标宋简体" w:cs="方正小标宋简体"/>
          <w:b w:val="0"/>
          <w:bCs w:val="0"/>
          <w:i w:val="0"/>
          <w:iCs w:val="0"/>
          <w:caps w:val="0"/>
          <w:color w:val="000000"/>
          <w:spacing w:val="0"/>
          <w:sz w:val="44"/>
          <w:szCs w:val="44"/>
        </w:rPr>
        <w:t>关于第二轮中央</w:t>
      </w:r>
      <w:r>
        <w:rPr>
          <w:rStyle w:val="6"/>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生态</w:t>
      </w:r>
      <w:r>
        <w:rPr>
          <w:rStyle w:val="6"/>
          <w:rFonts w:hint="eastAsia" w:ascii="方正小标宋简体" w:hAnsi="方正小标宋简体" w:eastAsia="方正小标宋简体" w:cs="方正小标宋简体"/>
          <w:b w:val="0"/>
          <w:bCs w:val="0"/>
          <w:i w:val="0"/>
          <w:iCs w:val="0"/>
          <w:caps w:val="0"/>
          <w:color w:val="000000"/>
          <w:spacing w:val="0"/>
          <w:sz w:val="44"/>
          <w:szCs w:val="44"/>
        </w:rPr>
        <w:t>环境保护督察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Style w:val="6"/>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Style w:val="6"/>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反馈问题六</w:t>
      </w:r>
      <w:r>
        <w:rPr>
          <w:rStyle w:val="6"/>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Style w:val="6"/>
          <w:rFonts w:hint="eastAsia" w:ascii="方正小标宋简体" w:hAnsi="方正小标宋简体" w:eastAsia="方正小标宋简体" w:cs="方正小标宋简体"/>
          <w:b w:val="0"/>
          <w:bCs w:val="0"/>
          <w:i w:val="0"/>
          <w:iCs w:val="0"/>
          <w:caps w:val="0"/>
          <w:color w:val="000000"/>
          <w:spacing w:val="0"/>
          <w:sz w:val="44"/>
          <w:szCs w:val="44"/>
        </w:rPr>
        <w:t>整改情况的公示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Style w:val="6"/>
          <w:rFonts w:hint="eastAsia" w:ascii="仿宋_GB2312" w:hAnsi="仿宋_GB2312" w:eastAsia="仿宋_GB2312" w:cs="仿宋_GB2312"/>
          <w:b w:val="0"/>
          <w:bCs w:val="0"/>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560" w:lineRule="exact"/>
        <w:ind w:left="0" w:right="0" w:firstLine="640" w:firstLineChars="200"/>
        <w:jc w:val="both"/>
        <w:textAlignment w:val="auto"/>
        <w:rPr>
          <w:rStyle w:val="6"/>
          <w:rFonts w:hint="eastAsia" w:ascii="仿宋_GB2312" w:hAnsi="仿宋_GB2312" w:eastAsia="仿宋_GB2312" w:cs="仿宋_GB2312"/>
          <w:b w:val="0"/>
          <w:bCs w:val="0"/>
          <w:i w:val="0"/>
          <w:iCs w:val="0"/>
          <w:caps w:val="0"/>
          <w:color w:val="000000"/>
          <w:spacing w:val="0"/>
          <w:sz w:val="32"/>
          <w:szCs w:val="32"/>
          <w:lang w:val="en-US" w:eastAsia="zh-CN"/>
        </w:rPr>
      </w:pPr>
      <w:r>
        <w:rPr>
          <w:rStyle w:val="6"/>
          <w:rFonts w:hint="eastAsia" w:ascii="仿宋_GB2312" w:hAnsi="仿宋_GB2312" w:eastAsia="仿宋_GB2312" w:cs="仿宋_GB2312"/>
          <w:b w:val="0"/>
          <w:bCs w:val="0"/>
          <w:i w:val="0"/>
          <w:iCs w:val="0"/>
          <w:caps w:val="0"/>
          <w:color w:val="000000"/>
          <w:spacing w:val="0"/>
          <w:sz w:val="32"/>
          <w:szCs w:val="32"/>
          <w:lang w:val="en-US" w:eastAsia="zh-CN"/>
        </w:rPr>
        <w:t>按照省发展改革委《关于做好中央生态环境保护督察整改任务验收销号工作的函》、《中共淄博市委办公室  淄博市人民政府办公室关于印发&lt;淄博市贯彻《山东省贯彻落实中央生态环境保护督察报告整改方案》工作实施方案&gt;的通知》（淄办发〔2022〕7号</w:t>
      </w:r>
      <w:r>
        <w:rPr>
          <w:rStyle w:val="6"/>
          <w:rFonts w:hint="eastAsia" w:ascii="仿宋_GB2312" w:hAnsi="仿宋_GB2312" w:eastAsia="仿宋_GB2312" w:cs="仿宋_GB2312"/>
          <w:b w:val="0"/>
          <w:bCs w:val="0"/>
          <w:i w:val="0"/>
          <w:iCs w:val="0"/>
          <w:caps w:val="0"/>
          <w:color w:val="000000"/>
          <w:spacing w:val="0"/>
          <w:sz w:val="32"/>
          <w:szCs w:val="32"/>
          <w:lang w:val="en-US" w:eastAsia="zh-CN"/>
        </w:rPr>
        <w:t>）、《关于中央生态环境保护督察整改任务验收销号相关工作流程补充说明的通知》有关要求，现对第二轮中央生态环境保护督察“反馈问题六”整改工作进行公示。</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Style w:val="6"/>
          <w:rFonts w:hint="eastAsia" w:ascii="仿宋_GB2312" w:hAnsi="仿宋_GB2312" w:eastAsia="仿宋_GB2312" w:cs="仿宋_GB2312"/>
          <w:b w:val="0"/>
          <w:bCs w:val="0"/>
          <w:i w:val="0"/>
          <w:iCs w:val="0"/>
          <w:caps w:val="0"/>
          <w:color w:val="000000"/>
          <w:spacing w:val="0"/>
          <w:sz w:val="32"/>
          <w:szCs w:val="32"/>
        </w:rPr>
        <w:t>反馈问题：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两高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项目违规问题突出。山东省产业结构偏重、能源结构偏煤。近年来，通过实施新旧动能转换战略，顺利完成“十三五”能耗双控目标，2021年上半年全省能耗强度同比下降4.3个百分点。但是，一些地方和部门仍然存在对传统发展方式的路径依赖，习惯于打折扣、搞变通，想方设法为盲目上马“两高”项目“开绿灯”。2018年以来，全省新建“两高”项目206个，存在违规建设行为的有114个，其中，涉及节能评估问题45个，涉及煤炭消费减量替代问题23个，涉及产能置换问题11个。</w:t>
      </w:r>
      <w:r>
        <w:rPr>
          <w:rFonts w:hint="eastAsia" w:ascii="仿宋_GB2312" w:hAnsi="仿宋_GB2312" w:eastAsia="仿宋_GB2312" w:cs="仿宋_GB2312"/>
          <w:b w:val="0"/>
          <w:bCs w:val="0"/>
          <w:kern w:val="2"/>
          <w:sz w:val="32"/>
          <w:szCs w:val="32"/>
          <w:lang w:eastAsia="zh-CN"/>
        </w:rPr>
        <w:t>（共性问题）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Style w:val="6"/>
          <w:rFonts w:hint="eastAsia" w:ascii="仿宋_GB2312" w:hAnsi="仿宋_GB2312" w:eastAsia="仿宋_GB2312" w:cs="仿宋_GB2312"/>
          <w:b w:val="0"/>
          <w:bCs w:val="0"/>
          <w:i w:val="0"/>
          <w:iCs w:val="0"/>
          <w:caps w:val="0"/>
          <w:color w:val="000000"/>
          <w:spacing w:val="0"/>
          <w:sz w:val="32"/>
          <w:szCs w:val="32"/>
        </w:rPr>
        <w:t>整改完成情况：</w:t>
      </w:r>
      <w:r>
        <w:rPr>
          <w:rFonts w:hint="eastAsia" w:ascii="仿宋_GB2312" w:hAnsi="仿宋_GB2312" w:eastAsia="仿宋_GB2312" w:cs="仿宋_GB2312"/>
          <w:b w:val="0"/>
          <w:bCs w:val="0"/>
          <w:i w:val="0"/>
          <w:iCs w:val="0"/>
          <w:caps w:val="0"/>
          <w:color w:val="000000"/>
          <w:spacing w:val="0"/>
          <w:sz w:val="32"/>
          <w:szCs w:val="32"/>
        </w:rPr>
        <w:t>已完成整改。</w:t>
      </w:r>
      <w:r>
        <w:rPr>
          <w:rFonts w:hint="eastAsia" w:ascii="仿宋_GB2312" w:hAnsi="仿宋_GB2312" w:eastAsia="仿宋_GB2312" w:cs="仿宋_GB2312"/>
          <w:color w:val="auto"/>
          <w:kern w:val="2"/>
          <w:sz w:val="32"/>
          <w:szCs w:val="32"/>
          <w:lang w:val="en-US" w:eastAsia="zh-CN"/>
        </w:rPr>
        <w:t>（一）全面贯彻落实党中央、国务院关于坚决遏制“两高”项目盲目发展的决策部署和省、市工作要求，科学精准区分“两高”项目，落实省、市“两高”项目产能监测预警机制，建立“两高”项目清单，严格执行产能、能耗、煤耗、碳排放、污染物排放减量替代，未违规审批“两高”项目。（二）严格按照违规“两高”项目整改处理要求，及时给睿霖化工和清源石化下达停产通知，并按照省有关规定编制节能审查报告报省发改委审批，截止目前，淄博睿霖化工有限公司25万吨/年芳构化产品优化项目、山东清源石化有限公司25扩50万吨/年脱芳烃溶剂油技术升级改造项目、山东清源石化有限公司40万吨/年变压器油技改项目已取得省发改委节能审查意见。（三）严格按照《全省落实“三个坚决”行动方案（2021-2022）》</w:t>
      </w:r>
      <w:r>
        <w:rPr>
          <w:rFonts w:hint="eastAsia" w:ascii="仿宋_GB2312" w:hAnsi="仿宋_GB2312" w:eastAsia="仿宋_GB2312" w:cs="仿宋_GB2312"/>
          <w:kern w:val="2"/>
          <w:sz w:val="32"/>
          <w:szCs w:val="32"/>
          <w:lang w:val="en-US" w:eastAsia="zh-CN"/>
        </w:rPr>
        <w:t>扎实做好</w:t>
      </w:r>
      <w:r>
        <w:rPr>
          <w:rFonts w:hint="eastAsia" w:ascii="仿宋_GB2312" w:hAnsi="仿宋_GB2312" w:eastAsia="仿宋_GB2312" w:cs="仿宋_GB2312"/>
          <w:kern w:val="2"/>
          <w:sz w:val="32"/>
          <w:szCs w:val="32"/>
          <w:highlight w:val="none"/>
          <w:lang w:val="en-US" w:eastAsia="zh-CN"/>
        </w:rPr>
        <w:t>水泥等</w:t>
      </w:r>
      <w:r>
        <w:rPr>
          <w:rFonts w:hint="eastAsia" w:ascii="仿宋_GB2312" w:hAnsi="仿宋_GB2312" w:eastAsia="仿宋_GB2312" w:cs="仿宋_GB2312"/>
          <w:kern w:val="2"/>
          <w:sz w:val="32"/>
          <w:szCs w:val="32"/>
          <w:lang w:val="en-US" w:eastAsia="zh-CN"/>
        </w:rPr>
        <w:t>行业落后低效产能淘汰工作，分类组织实施产能转移、压减、整合、关停任务，严格按照时间节点完成多山水泥、多山建材关停退出工作。</w:t>
      </w:r>
      <w:r>
        <w:rPr>
          <w:rFonts w:hint="eastAsia" w:ascii="仿宋_GB2312" w:hAnsi="仿宋_GB2312" w:eastAsia="仿宋_GB2312" w:cs="仿宋_GB2312"/>
          <w:kern w:val="2"/>
          <w:sz w:val="32"/>
          <w:szCs w:val="32"/>
          <w:highlight w:val="none"/>
          <w:lang w:val="en-US" w:eastAsia="zh-CN"/>
        </w:rPr>
        <w:t>开展分布式光伏项目建设，根据各镇、街道屋顶可利用现状，合理制定任务指标并分解至各镇、街道，每周召开协调会解决建设过程中遇到的问题，提高分布式光伏装机容量。我区在建临淄热电生物质热电联产项目，项目建成后将替代部分化石能源消费。指导、督促项目单位尽快建成并网，提高非化石能源消费占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6"/>
          <w:rFonts w:hint="eastAsia" w:ascii="仿宋_GB2312" w:hAnsi="仿宋_GB2312" w:eastAsia="仿宋_GB2312" w:cs="仿宋_GB2312"/>
          <w:b w:val="0"/>
          <w:bCs w:val="0"/>
          <w:i w:val="0"/>
          <w:iCs w:val="0"/>
          <w:caps w:val="0"/>
          <w:color w:val="000000"/>
          <w:spacing w:val="0"/>
          <w:sz w:val="32"/>
          <w:szCs w:val="32"/>
        </w:rPr>
        <w:t>以上公示日期：2024年4月</w:t>
      </w:r>
      <w:r>
        <w:rPr>
          <w:rStyle w:val="6"/>
          <w:rFonts w:hint="eastAsia" w:ascii="仿宋_GB2312" w:hAnsi="仿宋_GB2312" w:eastAsia="仿宋_GB2312" w:cs="仿宋_GB2312"/>
          <w:b w:val="0"/>
          <w:bCs w:val="0"/>
          <w:i w:val="0"/>
          <w:iCs w:val="0"/>
          <w:caps w:val="0"/>
          <w:color w:val="000000"/>
          <w:spacing w:val="0"/>
          <w:sz w:val="32"/>
          <w:szCs w:val="32"/>
          <w:lang w:val="en-US" w:eastAsia="zh-CN"/>
        </w:rPr>
        <w:t>24</w:t>
      </w:r>
      <w:r>
        <w:rPr>
          <w:rStyle w:val="6"/>
          <w:rFonts w:hint="eastAsia" w:ascii="仿宋_GB2312" w:hAnsi="仿宋_GB2312" w:eastAsia="仿宋_GB2312" w:cs="仿宋_GB2312"/>
          <w:b w:val="0"/>
          <w:bCs w:val="0"/>
          <w:i w:val="0"/>
          <w:iCs w:val="0"/>
          <w:caps w:val="0"/>
          <w:color w:val="000000"/>
          <w:spacing w:val="0"/>
          <w:sz w:val="32"/>
          <w:szCs w:val="32"/>
        </w:rPr>
        <w:t>日至</w:t>
      </w:r>
      <w:r>
        <w:rPr>
          <w:rStyle w:val="6"/>
          <w:rFonts w:hint="eastAsia" w:ascii="仿宋_GB2312" w:hAnsi="仿宋_GB2312" w:eastAsia="仿宋_GB2312" w:cs="仿宋_GB2312"/>
          <w:b w:val="0"/>
          <w:bCs w:val="0"/>
          <w:i w:val="0"/>
          <w:iCs w:val="0"/>
          <w:caps w:val="0"/>
          <w:color w:val="000000"/>
          <w:spacing w:val="0"/>
          <w:sz w:val="32"/>
          <w:szCs w:val="32"/>
          <w:lang w:val="en-US" w:eastAsia="zh-CN"/>
        </w:rPr>
        <w:t>5</w:t>
      </w:r>
      <w:r>
        <w:rPr>
          <w:rStyle w:val="6"/>
          <w:rFonts w:hint="eastAsia" w:ascii="仿宋_GB2312" w:hAnsi="仿宋_GB2312" w:eastAsia="仿宋_GB2312" w:cs="仿宋_GB2312"/>
          <w:b w:val="0"/>
          <w:bCs w:val="0"/>
          <w:i w:val="0"/>
          <w:iCs w:val="0"/>
          <w:caps w:val="0"/>
          <w:color w:val="000000"/>
          <w:spacing w:val="0"/>
          <w:sz w:val="32"/>
          <w:szCs w:val="32"/>
        </w:rPr>
        <w:t>月</w:t>
      </w:r>
      <w:r>
        <w:rPr>
          <w:rStyle w:val="6"/>
          <w:rFonts w:hint="eastAsia" w:ascii="仿宋_GB2312" w:hAnsi="仿宋_GB2312" w:eastAsia="仿宋_GB2312" w:cs="仿宋_GB2312"/>
          <w:b w:val="0"/>
          <w:bCs w:val="0"/>
          <w:i w:val="0"/>
          <w:iCs w:val="0"/>
          <w:caps w:val="0"/>
          <w:color w:val="000000"/>
          <w:spacing w:val="0"/>
          <w:sz w:val="32"/>
          <w:szCs w:val="32"/>
          <w:lang w:val="en-US" w:eastAsia="zh-CN"/>
        </w:rPr>
        <w:t>9</w:t>
      </w:r>
      <w:r>
        <w:rPr>
          <w:rStyle w:val="6"/>
          <w:rFonts w:hint="eastAsia" w:ascii="仿宋_GB2312" w:hAnsi="仿宋_GB2312" w:eastAsia="仿宋_GB2312" w:cs="仿宋_GB2312"/>
          <w:b w:val="0"/>
          <w:bCs w:val="0"/>
          <w:i w:val="0"/>
          <w:iCs w:val="0"/>
          <w:caps w:val="0"/>
          <w:color w:val="000000"/>
          <w:spacing w:val="0"/>
          <w:sz w:val="32"/>
          <w:szCs w:val="32"/>
        </w:rPr>
        <w:t>日。如有异议，请致电0533-</w:t>
      </w:r>
      <w:r>
        <w:rPr>
          <w:rStyle w:val="6"/>
          <w:rFonts w:hint="eastAsia" w:ascii="仿宋_GB2312" w:hAnsi="仿宋_GB2312" w:eastAsia="仿宋_GB2312" w:cs="仿宋_GB2312"/>
          <w:b w:val="0"/>
          <w:bCs w:val="0"/>
          <w:i w:val="0"/>
          <w:iCs w:val="0"/>
          <w:caps w:val="0"/>
          <w:color w:val="000000"/>
          <w:spacing w:val="0"/>
          <w:sz w:val="32"/>
          <w:szCs w:val="32"/>
          <w:lang w:val="en-US" w:eastAsia="zh-CN"/>
        </w:rPr>
        <w:t>7220610</w:t>
      </w:r>
      <w:r>
        <w:rPr>
          <w:rStyle w:val="6"/>
          <w:rFonts w:hint="eastAsia" w:ascii="仿宋_GB2312" w:hAnsi="仿宋_GB2312" w:eastAsia="仿宋_GB2312" w:cs="仿宋_GB2312"/>
          <w:b w:val="0"/>
          <w:bCs w:val="0"/>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bookmarkStart w:id="0" w:name="_GoBack"/>
      <w:bookmarkEnd w:id="0"/>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N2NmNDA4OGMxYjRmZGY2OWU2NWZiZDBhMWExZDIifQ=="/>
  </w:docVars>
  <w:rsids>
    <w:rsidRoot w:val="00000000"/>
    <w:rsid w:val="211B4F13"/>
    <w:rsid w:val="592B61C1"/>
    <w:rsid w:val="68F7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2024-04-24T06:51:21Z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28F01F3814B54FEA8DA5C6C611F962A4_12</vt:lpwstr>
  </property>
</Properties>
</file>