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发展和改革局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本报告按照《国务院办公厅政府信息与政务公开办公室关于印发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中华人民共和国政府信息公开工作年度报告格式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国办公开办函〔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区发展和改革局紧紧围绕区委区政府重大决策部署和社会关切事项，深入贯彻《中华人民共和国政府信息公开条例》</w:t>
      </w: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、《山东省政府信息公开办法》</w:t>
      </w:r>
      <w:r>
        <w:rPr>
          <w:rFonts w:hint="eastAsia" w:ascii="仿宋" w:hAnsi="仿宋" w:eastAsia="仿宋" w:cs="仿宋"/>
          <w:sz w:val="32"/>
          <w:szCs w:val="32"/>
        </w:rPr>
        <w:t>精神，高度重视政府信息公开事务，积极稳妥推进完善政府信息公开工作。以完善制度机制、推进重点领域信息公开、加强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公开平台建设、落实政务公开工作要点为工作重点，进一步加大政务公开工作推进力度，在做好政府信息主动公开的同时，做好依申请公开工作，不断提高政府信息公开工作的针对性和时效性。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主动公开信息情况。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2021年度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本机关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通过政府信息公开平台总计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公开信息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;通过“临淄区发展和改革局”微信公众号公开信息86条。安排专人做好政府信息公开维护完善工作，进一步更新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完善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了机构职能等政府信息。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atLeas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4182110" cy="4123055"/>
            <wp:effectExtent l="0" t="0" r="8890" b="10795"/>
            <wp:docPr id="2" name="图片 2" descr="16425599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255994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依申请公开工作情况。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2021年，区发改局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收到依申请公开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政府信息4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件，为通过邮件方式收到自然人关于本单位政府信息公开申请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均已办结，办结率100%。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firstLine="64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按要求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更新完善了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《临淄区发展和改革局政务公开事项标准目录》《主动公开基本目录》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等信息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确保信息及时、规范公开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做好政府信息公开保密审查和个人信息保护。主动公开的政策性文件和规范性文件。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atLeast"/>
        <w:ind w:left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3173095" cy="3979545"/>
            <wp:effectExtent l="0" t="0" r="8255" b="1905"/>
            <wp:docPr id="1" name="图片 1" descr="16425597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255976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据主动公开目录全面优化政府网站栏目设置。增设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会议等公开专题专栏，更直观形象地展示公开信息。丰富站内检索，聚合政务服务等相关功能。</w:t>
      </w:r>
    </w:p>
    <w:p>
      <w:pPr>
        <w:pStyle w:val="2"/>
        <w:spacing w:before="0" w:beforeAutospacing="0" w:after="0" w:afterAutospacing="0" w:line="24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（五）政府信息公开监督保障情况。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配齐配强工作人员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加强部门人员业务培训，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加强对各科室、事业单位政务信息公开工作的督促指导。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atLeast"/>
        <w:ind w:left="-10" w:leftChars="0" w:firstLine="64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主动公开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政府信息情况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制发</w:t>
            </w: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废止件数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atLeast"/>
        <w:ind w:left="-10" w:leftChars="0" w:firstLine="64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收到和处理政府信息申请情况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2544"/>
        <w:gridCol w:w="735"/>
        <w:gridCol w:w="735"/>
        <w:gridCol w:w="735"/>
        <w:gridCol w:w="735"/>
        <w:gridCol w:w="736"/>
        <w:gridCol w:w="736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9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楷体" w:hAnsi="楷体" w:eastAsia="楷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50" w:type="dxa"/>
            <w:gridSpan w:val="7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 w:line="56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9" w:type="dxa"/>
            <w:gridSpan w:val="3"/>
            <w:vMerge w:val="continue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 w:line="560" w:lineRule="atLeast"/>
              <w:jc w:val="both"/>
              <w:rPr>
                <w:rFonts w:hint="default" w:ascii="楷体" w:hAnsi="楷体" w:eastAsia="楷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 w:line="56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9" w:type="dxa"/>
            <w:gridSpan w:val="3"/>
            <w:vMerge w:val="continue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 w:line="560" w:lineRule="atLeast"/>
              <w:jc w:val="both"/>
              <w:rPr>
                <w:rFonts w:hint="default" w:ascii="楷体" w:hAnsi="楷体" w:eastAsia="楷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  <w:tc>
          <w:tcPr>
            <w:tcW w:w="738" w:type="dxa"/>
            <w:vMerge w:val="continue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 w:line="56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2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一、</w:t>
            </w: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本年新收政府信息公开申请数量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2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（二）部分公开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没有现成信息需要另行制作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3.其他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2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60" w:lineRule="atLeast"/>
        <w:ind w:left="-10" w:leftChars="0" w:firstLine="64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政府信息公开行政复议、行政诉讼情况</w:t>
      </w: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3"/>
        <w:gridCol w:w="653"/>
        <w:gridCol w:w="653"/>
        <w:gridCol w:w="654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266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424" w:type="dxa"/>
            <w:gridSpan w:val="10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214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2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4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5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5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5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5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54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646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numPr>
          <w:ilvl w:val="0"/>
          <w:numId w:val="1"/>
        </w:numPr>
        <w:bidi w:val="0"/>
        <w:ind w:left="-10" w:leftChars="0" w:firstLine="64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cs="Calibri"/>
          <w:szCs w:val="21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存在问题：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1.重点领域信息公开力度不够，信息量较少；2.部分公开信息欠规范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val="en-US" w:eastAsia="zh-CN" w:bidi="ar"/>
        </w:rPr>
        <w:t>改进情况：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突出重点，主动公开。按照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上级文件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要求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和工作部署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，进一步健全完善信息公开工作协调机制，推进重大建设项目信息、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业务工作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等重点领域信息公开，确保信息公开重点工作稳步推进。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2.加强业务培训和业务信息调度工作力度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督促本局政务信息公开规范化、常态化，促进政务信息公开工作再上新台阶。</w:t>
      </w:r>
    </w:p>
    <w:p>
      <w:pPr>
        <w:numPr>
          <w:ilvl w:val="0"/>
          <w:numId w:val="1"/>
        </w:numPr>
        <w:bidi w:val="0"/>
        <w:ind w:left="-10" w:leftChars="0" w:firstLine="64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（一）收取信息处理费情况。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本年度未有收取信息处理费情况。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（二）人大代表建议和政协提案办理情况。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发展和改革局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共承办人大代表建议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件，办复率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；承办政协提案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办复率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（三）年度工作要点落实情况。</w:t>
      </w:r>
      <w:r>
        <w:rPr>
          <w:rFonts w:hint="eastAsia" w:ascii="仿宋" w:hAnsi="仿宋" w:eastAsia="仿宋" w:cs="仿宋"/>
          <w:sz w:val="32"/>
          <w:szCs w:val="32"/>
        </w:rPr>
        <w:t>一是主要经济指标实现快速增长，全区固定资产投资同比增长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27.7</w:t>
      </w:r>
      <w:r>
        <w:rPr>
          <w:rFonts w:hint="eastAsia" w:ascii="仿宋" w:hAnsi="仿宋" w:eastAsia="仿宋" w:cs="仿宋"/>
          <w:sz w:val="32"/>
          <w:szCs w:val="32"/>
        </w:rPr>
        <w:t>%，预计地区生产总值增长12%左右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二是抓好重点项目建设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累计总投资为884亿元的60个省、市重大项目开工41个，提前完成项目开工率、投资完成率双100%目标任务。三是全力做好对上争取。争取地方政府专项债券发行额度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近25</w:t>
      </w:r>
      <w:r>
        <w:rPr>
          <w:rFonts w:hint="eastAsia" w:ascii="仿宋" w:hAnsi="仿宋" w:eastAsia="仿宋" w:cs="仿宋"/>
          <w:sz w:val="32"/>
          <w:szCs w:val="32"/>
        </w:rPr>
        <w:t>亿元。我区成功列入国家整县（市、区）屋顶分布式光伏开发试点、全省上市公司孵化聚集区试点、省“十四五”规划实施创新试点、市级企业信用管理试点区县。四是持续优化营商环境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印发《临淄区优化营商环境创新突破行动实施方案》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着力提升企业全生命周期服务水平、企业投资贸易便利度和吸引力、政府监管服务能力。五是推动资本市场发展和金融稳定。英科环保登陆上交所科创板，实现不良贷款额和不良率压降“双减半”目标。六是能源工作有序开展。加大煤炭保供力度，强化煤炭消费压减和能耗双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落实拟建“两高”项目政策。七是保障四大领域安全生产，全力做好煤炭、油气管道、电力、粮食领域安全生产工作。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7B7F4"/>
    <w:multiLevelType w:val="singleLevel"/>
    <w:tmpl w:val="DE67B7F4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54A52E15"/>
    <w:multiLevelType w:val="singleLevel"/>
    <w:tmpl w:val="54A52E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536"/>
    <w:rsid w:val="039B3DC0"/>
    <w:rsid w:val="079F0674"/>
    <w:rsid w:val="08CD5150"/>
    <w:rsid w:val="0CB101B0"/>
    <w:rsid w:val="124B075F"/>
    <w:rsid w:val="13A07BFB"/>
    <w:rsid w:val="14B051F1"/>
    <w:rsid w:val="1A0933D9"/>
    <w:rsid w:val="1CB12904"/>
    <w:rsid w:val="1D515F16"/>
    <w:rsid w:val="1FBE07C2"/>
    <w:rsid w:val="214E3CFE"/>
    <w:rsid w:val="2C111938"/>
    <w:rsid w:val="2CEC5DF5"/>
    <w:rsid w:val="2CF27CFD"/>
    <w:rsid w:val="312468F3"/>
    <w:rsid w:val="344F2EC5"/>
    <w:rsid w:val="352E7FF4"/>
    <w:rsid w:val="35D137B4"/>
    <w:rsid w:val="39763E93"/>
    <w:rsid w:val="39902D77"/>
    <w:rsid w:val="3A1E4827"/>
    <w:rsid w:val="3BD056AD"/>
    <w:rsid w:val="41AD27C7"/>
    <w:rsid w:val="45B002FD"/>
    <w:rsid w:val="497943FF"/>
    <w:rsid w:val="4A183A5E"/>
    <w:rsid w:val="4AC960E9"/>
    <w:rsid w:val="507330FC"/>
    <w:rsid w:val="5C9D79DE"/>
    <w:rsid w:val="61D37F74"/>
    <w:rsid w:val="6760523F"/>
    <w:rsid w:val="697162AB"/>
    <w:rsid w:val="6C4E4249"/>
    <w:rsid w:val="7B9B206F"/>
    <w:rsid w:val="7D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2022-01-14T07:04:00Z</dcterms:created>
  <dc:creator>lenovo</dc:creator>
  <cp:lastModifiedBy>lenovo</cp:lastModifiedBy>
  <cp:lastPrinted>2022-01-18T06:57:00Z</cp:lastPrinted>
  <dcterms:modified xsi:type="dcterms:W3CDTF">2022-01-25T09:30:24Z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8A04FC8B7C3C403A9E48DF996FEED0DC</vt:lpwstr>
  </property>
</Properties>
</file>