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淄博市公安局临淄分局</w:t>
      </w:r>
      <w:r>
        <w:rPr>
          <w:rFonts w:hint="eastAsia" w:ascii="方正小标宋简体" w:eastAsia="方正小标宋简体"/>
          <w:kern w:val="0"/>
          <w:sz w:val="44"/>
          <w:szCs w:val="44"/>
        </w:rPr>
        <w:t>2020年政府工作报</w:t>
      </w: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进展成效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年以来，破获各类案件2228起，抓获违法犯罪嫌疑人1529人；打掉黑社会性质组织1个，恶势力犯罪集团8个，恶势力犯罪团伙4个，抓获涉黑恶犯罪嫌疑人382人，破获涉黑恶案件245起；破获侵财民生“小案”341起，抓获嫌疑人224人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抓获涉电诈犯罪嫌疑人119人、破获案件152起，先后止付账户975个、金额2400万元，冻结账户2758个、金额6940万元。年内，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全区刑事警情、盗窃警情同比分别下降29.4%、30%。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多措并举、全力攻坚,今年以来，市局交办15起案件全部化解；区十六大领域涉及公安13起案件化解11起,在侦2起；自行摸排的7起化解4起，在侦3起，达到了预期任务目标。5年以上信访积案共6起，已化解4起，5年以内信访积案化解率达到90%、新增信访案件全部化解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widowControl/>
        <w:spacing w:line="600" w:lineRule="exact"/>
        <w:ind w:firstLine="6080" w:firstLineChars="19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临淄公安分局</w:t>
      </w:r>
    </w:p>
    <w:p>
      <w:pPr>
        <w:widowControl/>
        <w:spacing w:line="600" w:lineRule="exact"/>
        <w:ind w:firstLine="5760" w:firstLineChars="18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2020年12月25日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kern w:val="0"/>
        </w:rPr>
      </w:pPr>
    </w:p>
    <w:p>
      <w:pPr>
        <w:jc w:val="left"/>
        <w:rPr>
          <w:rFonts w:hint="eastAsia" w:ascii="方正小标宋简体" w:eastAsia="方正小标宋简体"/>
          <w:kern w:val="0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0200E"/>
    <w:rsid w:val="0B4F54A6"/>
    <w:rsid w:val="69D0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szCs w:val="24"/>
    </w:rPr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 Char"/>
    <w:basedOn w:val="1"/>
    <w:link w:val="5"/>
    <w:uiPriority w:val="0"/>
    <w:rPr>
      <w:szCs w:val="24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2020-12-25T03:31:00Z</dcterms:created>
  <dc:creator>Administrator</dc:creator>
  <cp:lastModifiedBy>Administrator</cp:lastModifiedBy>
  <dcterms:modified xsi:type="dcterms:W3CDTF">2020-12-25T03:36:00Z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