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val="en-US" w:eastAsia="zh-CN"/>
        </w:rPr>
        <w:t>2019</w:t>
      </w:r>
      <w:r>
        <w:rPr>
          <w:rFonts w:hint="eastAsia"/>
          <w:b w:val="0"/>
          <w:bCs/>
        </w:rPr>
        <w:t>年</w:t>
      </w:r>
      <w:r>
        <w:rPr>
          <w:rFonts w:hint="eastAsia"/>
          <w:b w:val="0"/>
          <w:bCs/>
          <w:lang w:eastAsia="zh-CN"/>
        </w:rPr>
        <w:t>淄博市公安局临淄分局年度重点工作完成情况进展成效</w:t>
      </w:r>
    </w:p>
    <w:p>
      <w:pPr>
        <w:ind w:firstLine="640" w:firstLineChars="200"/>
        <w:rPr>
          <w:rFonts w:hint="eastAsia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严厉打击涉毒违法犯罪行为，深入开展三年禁毒人民战争、全市“2019飓风扫毒”专项行动、全省制毒物品管控“补短板、堵漏洞、防流弊”专项行动、全国打击芬太尼类物质等新型毒品犯罪专项行动。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，破获各类刑事案件328起，抓获刑事犯罪嫌疑人444人，刑事拘留351人，抓获各类逃犯285人。扫黑除恶工作卓有成效，年内侦破涉恶刑事案件96起，抓获犯罪嫌疑人97人，提请逮捕56人；侦办并移送审查起诉恶势力犯罪集团5个62人。破获各类经济犯罪案件30起，抓获犯罪嫌疑人42名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p>
      <w:pPr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淄博市公安局临淄分局</w:t>
      </w:r>
    </w:p>
    <w:p>
      <w:pPr>
        <w:ind w:firstLine="4480" w:firstLineChars="14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2019年11月11日</w:t>
      </w:r>
    </w:p>
    <w:p>
      <w:pPr>
        <w:pStyle w:val="2"/>
        <w:bidi w:val="0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42B39"/>
    <w:rsid w:val="14D20E4E"/>
    <w:rsid w:val="16942B39"/>
    <w:rsid w:val="4EF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2020-12-29T06:29:00Z</dcterms:created>
  <dc:creator>Administrator</dc:creator>
  <cp:lastModifiedBy>Administrator</cp:lastModifiedBy>
  <dcterms:modified xsi:type="dcterms:W3CDTF">2020-12-29T06:32:31Z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