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OLE_LINK1"/>
      <w:bookmarkStart w:id="1" w:name="OLE_LINK4"/>
      <w:r>
        <w:rPr>
          <w:rFonts w:hint="eastAsia" w:ascii="微软雅黑" w:hAnsi="微软雅黑" w:eastAsia="微软雅黑" w:cs="微软雅黑"/>
          <w:color w:val="auto"/>
          <w:sz w:val="32"/>
          <w:szCs w:val="32"/>
          <w:lang w:val="en-US" w:eastAsia="zh-CN"/>
        </w:rPr>
        <w:t>淄博市公安局临淄分局</w:t>
      </w:r>
      <w:bookmarkEnd w:id="0"/>
      <w:r>
        <w:rPr>
          <w:rFonts w:hint="eastAsia" w:ascii="微软雅黑" w:hAnsi="微软雅黑" w:eastAsia="微软雅黑" w:cs="微软雅黑"/>
          <w:color w:val="auto"/>
          <w:sz w:val="32"/>
          <w:szCs w:val="32"/>
          <w:lang w:val="en-US" w:eastAsia="zh-CN"/>
        </w:rPr>
        <w:t>2025年</w:t>
      </w:r>
      <w:r>
        <w:rPr>
          <w:rFonts w:hint="eastAsia" w:ascii="微软雅黑" w:hAnsi="微软雅黑" w:eastAsia="微软雅黑" w:cs="微软雅黑"/>
          <w:color w:val="auto"/>
          <w:sz w:val="32"/>
          <w:szCs w:val="32"/>
        </w:rPr>
        <w:t>政府信息公开工作年度报告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t>本年度报告中所列数据的统计期限自202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t>年1月1日起，至202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t>年12月31日止。如对报告内容有疑问，请与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32"/>
          <w:szCs w:val="32"/>
          <w:u w:val="single"/>
          <w:shd w:val="clear" w:color="auto" w:fill="FFFFFF"/>
          <w:lang w:val="en-US" w:eastAsia="zh-CN"/>
        </w:rPr>
        <w:t>淄博市公安局临淄分局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t>联系（地址：山东省淄博市临淄区桓公路117号；邮编：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val="en-US" w:eastAsia="zh-CN"/>
        </w:rPr>
        <w:t>255400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t>；电话：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val="en-US" w:eastAsia="zh-CN"/>
        </w:rPr>
        <w:t>0533-7181557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t>；电子邮箱：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instrText xml:space="preserve"> HYPERLINK "mailto:lzgafj@zb.shandong.cn）。" </w:instrTex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t>lzgafj@zb.shandong.cn）。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  <w:lang w:eastAsia="zh-CN"/>
        </w:rPr>
        <w:fldChar w:fldCharType="end"/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本报告按照《中华人民共和国政府信息公开条例》情况进行综述，主要包括主动公开、依申请公开、政府信息管理、政府信息公开平台建设、监督保障等方面，2025年淄博市公安局临淄分局坚持“公开为常态、不公开为例外”原则，以保障群众知情权、参与权、监督权为核心，将政务公开与公安主责主业深度融合，推动政府信息公开工作提质增效、走深走实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一）主动公开方面。2025年，我局通过临淄区人民政府门户网站主动发布各类政府信51条，其中业务工作21条、政府信息公开指南1条、治安管理3条、户政服务2条、财政预决算信息4条、“双随机、一公开”信息4条及需要主动公开的信息16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(二)依申请公开工作方面。2025年我局收到依申请公开16件，其中，通过邮件方式收到自然人关于本单位政府信息公开申请14件，通过政府平台收到自然人关于本单位政府信息公开申请2件，比去年增加14件，办结率100%；因依申请公开引发的行政复议案件0件，行政诉讼1件。目前，对于收到的政府信息公开申请，“以公开为原则，不公开为例外”的公开原则,严格按照工作程序处理，在法定时限内给予规范答复。保证了办理质量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(三)政府信息管理方面。强化政府信息管理，明确专人专责，严格信息发布审核，完善管理制度与全流程规范。严格落实保密审查，常态化开展监督检查与评估整改。扎实推进依申请公开、政务信息送交、工作交流及公开目录更新等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(四)平台建设方面。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优化分局门户网站栏目设置，</w:t>
      </w:r>
      <w:bookmarkStart w:id="2" w:name="OLE_LINK2"/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提升网站信息更新的及时性和准确性</w:t>
      </w:r>
      <w:bookmarkEnd w:id="2"/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，保证网站信息更新及时、内容准确，把该优化的功能做好做实；及时标注网站上的废止文件；推进网站集约化建设工作；做强政务新媒体阵地，抖音号关注人数2.9万余人，公众号关注人数2.4万余人。围绕打击破案、服务民生、安保护航等社会治安重点工作，策划并制作各类短视频、公众号270余部（篇），在各级媒体发布稿件、短视频160余篇（条），其中市级以上媒体80余篇（条），省级以上媒体30余篇（条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五）监督保障方面。健全组织保障体系，精准落实上级政务公开工作部署，确保各项任务按期完成，定期开展政务公开工作全面自查，及时纠偏纠错。常态化开展信息公开专项培训，助力工作人员吃透法规政策、提升业务能力，进一步优化政府信息公开工作成效，充分满足公众的知情权与期待。</w:t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主动公开政府信息情况</w:t>
      </w: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</w:p>
    <w:tbl>
      <w:tblPr>
        <w:tblStyle w:val="9"/>
        <w:tblW w:w="87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2195"/>
        <w:gridCol w:w="2195"/>
        <w:gridCol w:w="21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本年制发件数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本年废止件数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规章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行政规范性文件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65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行政许可</w:t>
            </w:r>
          </w:p>
        </w:tc>
        <w:tc>
          <w:tcPr>
            <w:tcW w:w="65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  <w:t>6852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65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行政处罚</w:t>
            </w:r>
          </w:p>
        </w:tc>
        <w:tc>
          <w:tcPr>
            <w:tcW w:w="65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  <w:t>653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9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行政强制</w:t>
            </w:r>
          </w:p>
        </w:tc>
        <w:tc>
          <w:tcPr>
            <w:tcW w:w="65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  <w:t>638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658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行政事业性收费</w:t>
            </w:r>
          </w:p>
        </w:tc>
        <w:tc>
          <w:tcPr>
            <w:tcW w:w="658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  <w:lang w:val="en-US" w:eastAsia="zh-CN"/>
              </w:rPr>
              <w:t>2.897</w:t>
            </w:r>
          </w:p>
        </w:tc>
      </w:tr>
    </w:tbl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收到和处理政府信息公开申请情况</w:t>
      </w:r>
    </w:p>
    <w:p>
      <w:pP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tbl>
      <w:tblPr>
        <w:tblStyle w:val="9"/>
        <w:tblW w:w="954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40"/>
        <w:gridCol w:w="540"/>
        <w:gridCol w:w="720"/>
        <w:gridCol w:w="675"/>
        <w:gridCol w:w="525"/>
        <w:gridCol w:w="7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（本列数据的勾稽关系为：第一项加第二项之和，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等于第三项加第四项之和）</w:t>
            </w:r>
          </w:p>
        </w:tc>
        <w:tc>
          <w:tcPr>
            <w:tcW w:w="4448" w:type="dxa"/>
            <w:gridSpan w:val="7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747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自然人</w:t>
            </w:r>
          </w:p>
        </w:tc>
        <w:tc>
          <w:tcPr>
            <w:tcW w:w="3000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法人或其他组织</w:t>
            </w:r>
          </w:p>
        </w:tc>
        <w:tc>
          <w:tcPr>
            <w:tcW w:w="70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747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-106" w:leftChars="-51" w:right="-107" w:rightChars="-51" w:hanging="1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商业企业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科研机构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社会公益组织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-106" w:leftChars="-51" w:right="-107" w:rightChars="-51" w:hanging="1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法律服务机构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-63" w:leftChars="-30" w:right="-134" w:rightChars="-64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其他</w:t>
            </w:r>
          </w:p>
        </w:tc>
        <w:tc>
          <w:tcPr>
            <w:tcW w:w="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bookmarkStart w:id="3" w:name="OLE_LINK3" w:colFirst="1" w:colLast="7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一、</w:t>
            </w:r>
            <w:bookmarkStart w:id="4" w:name="_Hlk66973412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本年新收政府信息公开申请数量</w:t>
            </w:r>
            <w:bookmarkEnd w:id="4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8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三、本年度办理结果</w:t>
            </w: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（一）予以公开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（二）部分公开（</w:t>
            </w:r>
            <w:bookmarkStart w:id="5" w:name="_Hlk66973981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区分处理的，只计这一情形，不计其他情形</w:t>
            </w:r>
            <w:bookmarkEnd w:id="5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）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-107" w:leftChars="-51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（三）不予公开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1.属于国家秘密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2.</w:t>
            </w:r>
            <w:bookmarkStart w:id="6" w:name="_Hlk66974104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其他法律行政法规禁止公开</w:t>
            </w:r>
            <w:bookmarkEnd w:id="6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3.危及“三安全一稳定”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4.</w:t>
            </w:r>
            <w:bookmarkStart w:id="7" w:name="_Hlk66974290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保护第三方合法权益</w:t>
            </w:r>
            <w:bookmarkEnd w:id="7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5.属于三类内部事务信息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6.</w:t>
            </w:r>
            <w:bookmarkStart w:id="8" w:name="_Hlk66974555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属于四类过程性信息</w:t>
            </w:r>
            <w:bookmarkEnd w:id="8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7.属于行政执法案卷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8.</w:t>
            </w:r>
            <w:bookmarkStart w:id="9" w:name="_Hlk66975211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属于行政查询事项</w:t>
            </w:r>
            <w:bookmarkEnd w:id="9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-107" w:leftChars="-51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（四）无法提供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1.本机关不掌握相关政府信息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-107" w:leftChars="-51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2.</w:t>
            </w:r>
            <w:bookmarkStart w:id="10" w:name="_Hlk66975392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没有现成信息需要另行制作</w:t>
            </w:r>
            <w:bookmarkEnd w:id="10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-107" w:leftChars="-51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3.</w:t>
            </w:r>
            <w:bookmarkStart w:id="11" w:name="_Hlk66975466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补正后申请内容仍不明确</w:t>
            </w:r>
            <w:bookmarkEnd w:id="11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-107" w:leftChars="-51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（五）不予处理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1.</w:t>
            </w:r>
            <w:bookmarkStart w:id="12" w:name="_Hlk66975537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信访举报投诉类申请</w:t>
            </w:r>
            <w:bookmarkEnd w:id="12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2.重复申请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3.要求提供公开出版物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4.无正当理由大量反复申请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5.要求行政机关确认或重新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 w:firstLine="320" w:firstLineChars="10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出具已获取信息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（六）其他处理</w:t>
            </w:r>
          </w:p>
        </w:tc>
        <w:tc>
          <w:tcPr>
            <w:tcW w:w="2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  <w:t>3.其他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（七）总计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四、结转下年度继续办理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  <w:lang w:val="en-US" w:eastAsia="zh-CN"/>
              </w:rPr>
              <w:t>2</w:t>
            </w:r>
          </w:p>
        </w:tc>
      </w:tr>
      <w:bookmarkEnd w:id="3"/>
    </w:tbl>
    <w:p>
      <w:pPr>
        <w:jc w:val="left"/>
        <w:rPr>
          <w:rFonts w:hint="eastAsia" w:ascii="微软雅黑" w:hAnsi="微软雅黑" w:eastAsia="微软雅黑" w:cs="微软雅黑"/>
          <w:color w:val="auto"/>
          <w:sz w:val="32"/>
          <w:szCs w:val="32"/>
        </w:rPr>
      </w:pPr>
      <w:bookmarkStart w:id="13" w:name="OLE_LINK6"/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9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49" w:leftChars="-71" w:right="-170" w:rightChars="-81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49" w:leftChars="-71" w:right="-170" w:rightChars="-81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43" w:leftChars="-21" w:right="-132" w:rightChars="-63" w:hanging="1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82" w:leftChars="-39" w:right="-97" w:rightChars="-46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18" w:leftChars="-56" w:right="-118" w:rightChars="-56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18" w:leftChars="-56" w:right="-118" w:rightChars="-56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bookmarkStart w:id="14" w:name="_Hlk67039688"/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复议后起诉</w:t>
            </w:r>
            <w:bookmarkEnd w:id="14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5" w:leftChars="-50" w:right="-126" w:rightChars="-6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86" w:leftChars="-41" w:right="-88" w:rightChars="-42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26" w:leftChars="-60" w:right="-136" w:rightChars="-65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26" w:leftChars="-60" w:right="-136" w:rightChars="-65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64" w:leftChars="-78" w:right="-153" w:rightChars="-73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64" w:leftChars="-78" w:right="-153" w:rightChars="-73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99" w:leftChars="-47" w:right="-78" w:rightChars="-37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36" w:leftChars="-65" w:right="-124" w:rightChars="-59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36" w:leftChars="-65" w:right="-124" w:rightChars="-59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73" w:leftChars="-83" w:right="-134" w:rightChars="-64" w:hanging="1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73" w:leftChars="-83" w:right="-134" w:rightChars="-64" w:hanging="1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66" w:leftChars="-33" w:right="-105" w:rightChars="-50" w:hanging="3" w:hangingChars="1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2"/>
                <w:szCs w:val="32"/>
                <w:lang w:val="en-US" w:eastAsia="zh-CN" w:bidi="ar"/>
              </w:rPr>
              <w:t>0</w:t>
            </w:r>
          </w:p>
        </w:tc>
      </w:tr>
      <w:bookmarkEnd w:id="13"/>
    </w:tbl>
    <w:p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rightChars="0"/>
        <w:jc w:val="left"/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存在的问题：信息公开质效有待提升， 公开渠道运用不够充分，工作规范化水平需持续强化。改进的措施： 精准提质，筑牢信息公开根基，拓宽渠道，增强公开传播实效， 强基固本，提升规范化运行水平。</w:t>
      </w:r>
    </w:p>
    <w:p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rightChars="0"/>
        <w:jc w:val="left"/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六、其他需要报告的事项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1.收取信息处理费情况。本年度未有收取信息处理费情况。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.人大代表建议和政协提案办理情况。区十九届人大四次会议代表第103号、十九届人大四次会议代表第104号、区十九届人大四次会议代表第99号、区十九届人大四次议代表第89号、区十九届人大四次会议代表第69号、区十九届人大四次会议第81号、区十九届人大四次会议代表第20号7项人大建议；区政协十一届四次会议委员第60号、区政协十一届四次会议委员第5号、区政协十一届四次会议委员第88号、区政协十一届四次会议委员第138号、区政协十一届四次会议委员第142号5项提案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.健全组织领导与规划，夯实职责，定期高效更新政府信息公开目录及指南，丰富公开内容，推进法定主动公开。加强政务公开培训，提升人员业务水平，拓展公开范围与深度，增强工作质量与实效，保障公众信息获取权益。形式创新，围绕社会需求，深化内容维度，拓展公开方式，完善基础设施，确保信息便捷获取，提升透明度与公信力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left"/>
        <w:textAlignment w:val="auto"/>
        <w:outlineLvl w:val="9"/>
        <w:rPr>
          <w:rFonts w:hint="default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15" w:name="OLE_LINK5"/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4.落实上级年度政务公开工作要点情况。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本年度，围绕年度工作要点明确的目</w:t>
      </w:r>
      <w:bookmarkStart w:id="16" w:name="_GoBack"/>
      <w:bookmarkEnd w:id="16"/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标任务、重点项目、责任分工，坚持统筹推进，各项工作按计划有序开展。一是完善内部管理制度，优化岗位职责与工作流程，队伍凝聚力和执行力明显增强。二是强化复盘总结，梳理经验做法，补齐短板弱项，提升工作系统性和前瞻性。三是持续优化协同机制，提升统筹协调能力，为下年度工作高质量开展奠定基础。</w:t>
      </w:r>
    </w:p>
    <w:bookmarkEnd w:id="15"/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left"/>
        <w:textAlignment w:val="auto"/>
        <w:outlineLvl w:val="9"/>
        <w:rPr>
          <w:rFonts w:hint="default" w:ascii="微软雅黑" w:hAnsi="微软雅黑" w:eastAsia="微软雅黑" w:cs="微软雅黑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bookmarkEnd w:id="1"/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A975"/>
    <w:multiLevelType w:val="singleLevel"/>
    <w:tmpl w:val="0FCEA97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A09A1"/>
    <w:rsid w:val="01D76DD2"/>
    <w:rsid w:val="02EC2C69"/>
    <w:rsid w:val="03BE09DB"/>
    <w:rsid w:val="043E520F"/>
    <w:rsid w:val="07B5468E"/>
    <w:rsid w:val="09056BAD"/>
    <w:rsid w:val="09ED0DC2"/>
    <w:rsid w:val="0AD75FFE"/>
    <w:rsid w:val="0B581E00"/>
    <w:rsid w:val="0E217C19"/>
    <w:rsid w:val="0EB53383"/>
    <w:rsid w:val="10C919A3"/>
    <w:rsid w:val="12291392"/>
    <w:rsid w:val="124D0ADE"/>
    <w:rsid w:val="13BA1DC8"/>
    <w:rsid w:val="13BB6C38"/>
    <w:rsid w:val="14422E4F"/>
    <w:rsid w:val="1B1C6381"/>
    <w:rsid w:val="1C4E1086"/>
    <w:rsid w:val="1CB17AAC"/>
    <w:rsid w:val="1D50258A"/>
    <w:rsid w:val="1FDE1594"/>
    <w:rsid w:val="22401FF4"/>
    <w:rsid w:val="22F11E8A"/>
    <w:rsid w:val="230E3DD6"/>
    <w:rsid w:val="247F469A"/>
    <w:rsid w:val="24ED11D9"/>
    <w:rsid w:val="25C52C35"/>
    <w:rsid w:val="25C90246"/>
    <w:rsid w:val="26C469FA"/>
    <w:rsid w:val="28202012"/>
    <w:rsid w:val="29D406C9"/>
    <w:rsid w:val="2BA6556C"/>
    <w:rsid w:val="2C6F1A6E"/>
    <w:rsid w:val="2E0232C6"/>
    <w:rsid w:val="2E455942"/>
    <w:rsid w:val="2F8566B3"/>
    <w:rsid w:val="30173ECC"/>
    <w:rsid w:val="3176612A"/>
    <w:rsid w:val="36163DC1"/>
    <w:rsid w:val="36EF26ED"/>
    <w:rsid w:val="370A36AD"/>
    <w:rsid w:val="394F25DA"/>
    <w:rsid w:val="39D55D34"/>
    <w:rsid w:val="3B9D6331"/>
    <w:rsid w:val="3E912714"/>
    <w:rsid w:val="411C2345"/>
    <w:rsid w:val="419D3324"/>
    <w:rsid w:val="43AB2EE0"/>
    <w:rsid w:val="442623EB"/>
    <w:rsid w:val="45C87640"/>
    <w:rsid w:val="473356D2"/>
    <w:rsid w:val="475E0D68"/>
    <w:rsid w:val="48D262AE"/>
    <w:rsid w:val="49B81CD6"/>
    <w:rsid w:val="4A2A5193"/>
    <w:rsid w:val="4BD961F7"/>
    <w:rsid w:val="4E67793A"/>
    <w:rsid w:val="531B30C1"/>
    <w:rsid w:val="532F7D24"/>
    <w:rsid w:val="54F228CE"/>
    <w:rsid w:val="570A39C2"/>
    <w:rsid w:val="5784624C"/>
    <w:rsid w:val="57EF7E03"/>
    <w:rsid w:val="58CA06F4"/>
    <w:rsid w:val="59402122"/>
    <w:rsid w:val="5940247F"/>
    <w:rsid w:val="5AC0578A"/>
    <w:rsid w:val="5AE27748"/>
    <w:rsid w:val="5B6619C4"/>
    <w:rsid w:val="5B7078DA"/>
    <w:rsid w:val="5CAA37FC"/>
    <w:rsid w:val="5E711272"/>
    <w:rsid w:val="5E8C0623"/>
    <w:rsid w:val="5EA05A5B"/>
    <w:rsid w:val="5ECA09A1"/>
    <w:rsid w:val="60804E85"/>
    <w:rsid w:val="619271E4"/>
    <w:rsid w:val="61E26EF3"/>
    <w:rsid w:val="64685CD2"/>
    <w:rsid w:val="649760A0"/>
    <w:rsid w:val="65EF79D2"/>
    <w:rsid w:val="6603459B"/>
    <w:rsid w:val="66B72DD7"/>
    <w:rsid w:val="68BA327C"/>
    <w:rsid w:val="6A9B46AB"/>
    <w:rsid w:val="718F668F"/>
    <w:rsid w:val="71BA5E0F"/>
    <w:rsid w:val="72397DDA"/>
    <w:rsid w:val="728865B7"/>
    <w:rsid w:val="73206BE7"/>
    <w:rsid w:val="75CA567C"/>
    <w:rsid w:val="783F7C75"/>
    <w:rsid w:val="78400CF1"/>
    <w:rsid w:val="79F21701"/>
    <w:rsid w:val="7A274222"/>
    <w:rsid w:val="7ADE6F3A"/>
    <w:rsid w:val="7CE9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ascii="仿宋_GB2312" w:eastAsia="仿宋_GB2312"/>
      <w:sz w:val="28"/>
      <w:szCs w:val="32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2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标题 1 Char"/>
    <w:link w:val="3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2618</Words>
  <Characters>2750</Characters>
  <Lines>1</Lines>
  <Paragraphs>1</Paragraphs>
  <TotalTime>4279</TotalTime>
  <ScaleCrop>false</ScaleCrop>
  <LinksUpToDate>false</LinksUpToDate>
  <CharactersWithSpaces>2755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2026-01-07T06:16:00Z</dcterms:created>
  <dc:creator>Administrator</dc:creator>
  <cp:lastModifiedBy>Administrator</cp:lastModifiedBy>
  <dcterms:modified xsi:type="dcterms:W3CDTF">2026-04-16T06:52:38Z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</Properties>
</file>