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color w:val="auto"/>
        </w:rPr>
      </w:pPr>
      <w:r>
        <w:rPr>
          <w:rFonts w:hint="default"/>
          <w:color w:val="auto"/>
        </w:rPr>
        <w:t>临淄区公安分局202</w:t>
      </w:r>
      <w:r>
        <w:rPr>
          <w:rFonts w:hint="eastAsia"/>
          <w:color w:val="auto"/>
          <w:lang w:val="en-US" w:eastAsia="zh-CN"/>
        </w:rPr>
        <w:t>2</w:t>
      </w:r>
      <w:r>
        <w:rPr>
          <w:rFonts w:hint="default"/>
          <w:color w:val="auto"/>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w:t>
      </w:r>
      <w:r>
        <w:rPr>
          <w:rFonts w:hint="eastAsia" w:ascii="Times New Roman" w:hAnsi="Times New Roman" w:eastAsia="仿宋_GB2312" w:cs="Times New Roman"/>
          <w:color w:val="auto"/>
          <w:sz w:val="32"/>
          <w:szCs w:val="32"/>
          <w:lang w:eastAsia="zh-CN"/>
        </w:rPr>
        <w:t>本年度报告中所列数据的统计期限自2022年1月1日起，至2022年12月31日止。如对报告内容有疑问，请与淄博市公安局临淄分局联系（地址：</w:t>
      </w:r>
      <w:r>
        <w:rPr>
          <w:rFonts w:hint="eastAsia" w:ascii="Times New Roman" w:hAnsi="Times New Roman" w:eastAsia="仿宋_GB2312" w:cs="Times New Roman"/>
          <w:color w:val="auto"/>
          <w:sz w:val="32"/>
          <w:szCs w:val="32"/>
          <w:lang w:val="en-US" w:eastAsia="zh-CN"/>
        </w:rPr>
        <w:t>临淄区桓公路117号</w:t>
      </w:r>
      <w:r>
        <w:rPr>
          <w:rFonts w:hint="eastAsia" w:ascii="Times New Roman" w:hAnsi="Times New Roman" w:eastAsia="仿宋_GB2312" w:cs="Times New Roman"/>
          <w:color w:val="auto"/>
          <w:sz w:val="32"/>
          <w:szCs w:val="32"/>
          <w:lang w:eastAsia="zh-CN"/>
        </w:rPr>
        <w:t>；邮编：</w:t>
      </w:r>
      <w:r>
        <w:rPr>
          <w:rFonts w:hint="eastAsia" w:ascii="Times New Roman" w:hAnsi="Times New Roman" w:eastAsia="仿宋_GB2312" w:cs="Times New Roman"/>
          <w:color w:val="auto"/>
          <w:sz w:val="32"/>
          <w:szCs w:val="32"/>
          <w:lang w:val="en-US" w:eastAsia="zh-CN"/>
        </w:rPr>
        <w:t>255400</w:t>
      </w:r>
      <w:r>
        <w:rPr>
          <w:rFonts w:hint="eastAsia" w:ascii="Times New Roman" w:hAnsi="Times New Roman" w:eastAsia="仿宋_GB2312" w:cs="Times New Roman"/>
          <w:color w:val="auto"/>
          <w:sz w:val="32"/>
          <w:szCs w:val="32"/>
          <w:lang w:eastAsia="zh-CN"/>
        </w:rPr>
        <w:t>；电话：</w:t>
      </w:r>
      <w:r>
        <w:rPr>
          <w:rFonts w:hint="default" w:ascii="Times New Roman" w:hAnsi="Times New Roman" w:eastAsia="仿宋_GB2312" w:cs="Times New Roman"/>
          <w:color w:val="auto"/>
          <w:sz w:val="32"/>
          <w:szCs w:val="32"/>
        </w:rPr>
        <w:t>0533-7181557</w:t>
      </w:r>
      <w:r>
        <w:rPr>
          <w:rFonts w:hint="eastAsia" w:ascii="Times New Roman" w:hAnsi="Times New Roman" w:eastAsia="仿宋_GB2312" w:cs="Times New Roman"/>
          <w:color w:val="auto"/>
          <w:sz w:val="32"/>
          <w:szCs w:val="32"/>
          <w:lang w:eastAsia="zh-CN"/>
        </w:rPr>
        <w:t>；邮箱：</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"mailto:lzgafj@zb.shandong.cn（此邮箱不接受政府信息公开申请））。" </w:instrText>
      </w:r>
      <w:r>
        <w:rPr>
          <w:rFonts w:hint="default" w:ascii="Times New Roman" w:hAnsi="Times New Roman" w:eastAsia="仿宋_GB2312" w:cs="Times New Roman"/>
          <w:color w:val="auto"/>
          <w:sz w:val="32"/>
          <w:szCs w:val="32"/>
          <w:u w:val="none"/>
        </w:rPr>
        <w:fldChar w:fldCharType="separate"/>
      </w:r>
      <w:r>
        <w:rPr>
          <w:rStyle w:val="10"/>
          <w:rFonts w:hint="default" w:ascii="Times New Roman" w:hAnsi="Times New Roman" w:eastAsia="仿宋_GB2312" w:cs="Times New Roman"/>
          <w:color w:val="auto"/>
          <w:sz w:val="32"/>
          <w:szCs w:val="32"/>
          <w:u w:val="none"/>
        </w:rPr>
        <w:t>lzgafj@zb.shandong.cn</w:t>
      </w:r>
      <w:r>
        <w:rPr>
          <w:rStyle w:val="10"/>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临淄公安分</w:t>
      </w:r>
      <w:r>
        <w:rPr>
          <w:rFonts w:hint="default" w:ascii="Times New Roman" w:hAnsi="Times New Roman" w:eastAsia="仿宋_GB2312" w:cs="Times New Roman"/>
          <w:color w:val="auto"/>
          <w:sz w:val="32"/>
          <w:szCs w:val="32"/>
        </w:rPr>
        <w:t>局认真贯彻落实《中华人民共和国政府信息公开条例》，</w:t>
      </w:r>
      <w:r>
        <w:rPr>
          <w:rFonts w:hint="eastAsia" w:ascii="Times New Roman" w:hAnsi="Times New Roman" w:eastAsia="仿宋_GB2312" w:cs="Times New Roman"/>
          <w:color w:val="auto"/>
          <w:sz w:val="32"/>
          <w:szCs w:val="32"/>
          <w:lang w:eastAsia="zh-CN"/>
        </w:rPr>
        <w:t>夯实主动公开工作基础，规范依申请公开办理流程，健全政府信息全链条管理，提升信息公开平台建设，加大监督保障力度，全力推进政府信息公开工作。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rPr>
        <w:t>（一）主动公开政府信息情况</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通过临淄区人民政府门户网站主动发布各类政府信</w:t>
      </w:r>
      <w:r>
        <w:rPr>
          <w:rFonts w:hint="eastAsia" w:ascii="Times New Roman" w:hAnsi="Times New Roman" w:eastAsia="仿宋_GB2312" w:cs="Times New Roman"/>
          <w:color w:val="auto"/>
          <w:sz w:val="32"/>
          <w:szCs w:val="32"/>
          <w:lang w:val="en-US" w:eastAsia="zh-CN"/>
        </w:rPr>
        <w:t>3984</w:t>
      </w:r>
      <w:r>
        <w:rPr>
          <w:rFonts w:hint="default" w:ascii="Times New Roman" w:hAnsi="Times New Roman" w:eastAsia="仿宋_GB2312" w:cs="Times New Roman"/>
          <w:color w:val="auto"/>
          <w:sz w:val="32"/>
          <w:szCs w:val="32"/>
        </w:rPr>
        <w:t>条，其中业务工作</w:t>
      </w:r>
      <w:r>
        <w:rPr>
          <w:rFonts w:hint="eastAsia" w:ascii="Times New Roman" w:hAnsi="Times New Roman" w:eastAsia="仿宋_GB2312" w:cs="Times New Roman"/>
          <w:color w:val="auto"/>
          <w:sz w:val="32"/>
          <w:szCs w:val="32"/>
          <w:lang w:val="en-US" w:eastAsia="zh-CN"/>
        </w:rPr>
        <w:t>129</w:t>
      </w:r>
      <w:r>
        <w:rPr>
          <w:rFonts w:hint="default" w:ascii="Times New Roman" w:hAnsi="Times New Roman" w:eastAsia="仿宋_GB2312" w:cs="Times New Roman"/>
          <w:color w:val="auto"/>
          <w:sz w:val="32"/>
          <w:szCs w:val="32"/>
        </w:rPr>
        <w:t>条、政府信息公开指南</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条、治安管理</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条、户政服务</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条、公益事业</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条、财政预决算信息</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条、“双随机、一公开”信息</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条、信用“双公示”</w:t>
      </w:r>
      <w:r>
        <w:rPr>
          <w:rFonts w:hint="eastAsia" w:ascii="Times New Roman" w:hAnsi="Times New Roman" w:eastAsia="仿宋_GB2312" w:cs="Times New Roman"/>
          <w:color w:val="auto"/>
          <w:sz w:val="32"/>
          <w:szCs w:val="32"/>
          <w:lang w:val="en-US" w:eastAsia="zh-CN"/>
        </w:rPr>
        <w:t>3679</w:t>
      </w:r>
      <w:r>
        <w:rPr>
          <w:rFonts w:hint="default" w:ascii="Times New Roman" w:hAnsi="Times New Roman" w:eastAsia="仿宋_GB2312" w:cs="Times New Roman"/>
          <w:color w:val="auto"/>
          <w:sz w:val="32"/>
          <w:szCs w:val="32"/>
        </w:rPr>
        <w:t>条、部门会议</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条、政协提案办理情</w:t>
      </w:r>
      <w:r>
        <w:rPr>
          <w:rFonts w:hint="eastAsia" w:ascii="Times New Roman" w:hAnsi="Times New Roman" w:eastAsia="仿宋_GB2312" w:cs="Times New Roman"/>
          <w:color w:val="auto"/>
          <w:sz w:val="32"/>
          <w:szCs w:val="32"/>
          <w:lang w:eastAsia="zh-CN"/>
        </w:rPr>
        <w:t>：政协十届五次会议</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项提案，</w:t>
      </w:r>
      <w:r>
        <w:rPr>
          <w:rFonts w:hint="default" w:ascii="Times New Roman" w:hAnsi="Times New Roman" w:eastAsia="仿宋_GB2312" w:cs="Times New Roman"/>
          <w:color w:val="auto"/>
          <w:sz w:val="32"/>
          <w:szCs w:val="32"/>
        </w:rPr>
        <w:t>人大代表建议</w:t>
      </w:r>
      <w:r>
        <w:rPr>
          <w:rFonts w:hint="eastAsia" w:ascii="Times New Roman" w:hAnsi="Times New Roman" w:eastAsia="仿宋_GB2312" w:cs="Times New Roman"/>
          <w:color w:val="auto"/>
          <w:sz w:val="32"/>
          <w:szCs w:val="32"/>
          <w:lang w:val="en-US" w:eastAsia="zh-CN"/>
        </w:rPr>
        <w:t>1条。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drawing>
          <wp:inline distT="0" distB="0" distL="114300" distR="114300">
            <wp:extent cx="5264150" cy="3539490"/>
            <wp:effectExtent l="0" t="0" r="12700" b="381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64150" cy="3539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drawing>
          <wp:inline distT="0" distB="0" distL="114300" distR="114300">
            <wp:extent cx="5269865" cy="3371850"/>
            <wp:effectExtent l="0" t="0" r="698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269865" cy="3371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drawing>
          <wp:inline distT="0" distB="0" distL="114300" distR="114300">
            <wp:extent cx="5269865" cy="2860675"/>
            <wp:effectExtent l="0" t="0" r="6985" b="1587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5269865" cy="2860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drawing>
          <wp:inline distT="0" distB="0" distL="114300" distR="114300">
            <wp:extent cx="5266055" cy="3462020"/>
            <wp:effectExtent l="0" t="0" r="10795" b="508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8"/>
                    <a:stretch>
                      <a:fillRect/>
                    </a:stretch>
                  </pic:blipFill>
                  <pic:spPr>
                    <a:xfrm>
                      <a:off x="0" y="0"/>
                      <a:ext cx="5266055" cy="34620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（二）依申请公开情况</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淄博市公安局临淄分局</w:t>
      </w:r>
      <w:r>
        <w:rPr>
          <w:rFonts w:hint="default" w:ascii="Times New Roman" w:hAnsi="Times New Roman" w:eastAsia="仿宋_GB2312" w:cs="Times New Roman"/>
          <w:color w:val="auto"/>
          <w:sz w:val="32"/>
          <w:szCs w:val="32"/>
        </w:rPr>
        <w:t>共收到通过邮件等方式自然人关于本单位政府信息公开申请依申请公开信函申请</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件。目前，对于收到的政府信息公开申请，</w:t>
      </w:r>
      <w:r>
        <w:rPr>
          <w:rFonts w:ascii="仿宋_GB2312" w:hAnsi="宋体" w:eastAsia="仿宋_GB2312" w:cs="仿宋_GB2312"/>
          <w:i w:val="0"/>
          <w:iCs w:val="0"/>
          <w:caps w:val="0"/>
          <w:color w:val="000000"/>
          <w:spacing w:val="0"/>
          <w:sz w:val="32"/>
          <w:szCs w:val="32"/>
          <w:shd w:val="clear" w:fill="FFFFFF"/>
        </w:rPr>
        <w:t>“以公开为原则，不公开为例外”的公开原则</w:t>
      </w:r>
      <w:r>
        <w:rPr>
          <w:rFonts w:hint="eastAsia" w:ascii="仿宋_GB2312" w:hAnsi="宋体" w:eastAsia="仿宋_GB2312" w:cs="仿宋_GB2312"/>
          <w:i w:val="0"/>
          <w:iCs w:val="0"/>
          <w:caps w:val="0"/>
          <w:color w:val="000000"/>
          <w:spacing w:val="0"/>
          <w:sz w:val="32"/>
          <w:szCs w:val="32"/>
          <w:shd w:val="clear" w:fill="FFFFFF"/>
          <w:lang w:val="en-US" w:eastAsia="zh-CN"/>
        </w:rPr>
        <w:t>,严格按照</w:t>
      </w:r>
      <w:r>
        <w:rPr>
          <w:rFonts w:hint="default" w:ascii="Times New Roman" w:hAnsi="Times New Roman" w:eastAsia="仿宋_GB2312" w:cs="Times New Roman"/>
          <w:color w:val="auto"/>
          <w:sz w:val="32"/>
          <w:szCs w:val="32"/>
        </w:rPr>
        <w:t>工作程序处理，在法定时限内给予规范答复。</w:t>
      </w:r>
      <w:r>
        <w:rPr>
          <w:rFonts w:ascii="仿宋_GB2312" w:hAnsi="宋体" w:eastAsia="仿宋_GB2312" w:cs="仿宋_GB2312"/>
          <w:i w:val="0"/>
          <w:iCs w:val="0"/>
          <w:caps w:val="0"/>
          <w:color w:val="000000"/>
          <w:spacing w:val="0"/>
          <w:sz w:val="32"/>
          <w:szCs w:val="32"/>
          <w:shd w:val="clear" w:fill="FFFFFF"/>
        </w:rPr>
        <w:t>保证了办理质量。</w:t>
      </w:r>
    </w:p>
    <w:p>
      <w:pPr>
        <w:numPr>
          <w:ilvl w:val="0"/>
          <w:numId w:val="1"/>
        </w:numPr>
        <w:spacing w:line="600" w:lineRule="exact"/>
        <w:ind w:firstLine="640" w:firstLineChars="200"/>
        <w:rPr>
          <w:rFonts w:hint="eastAsia"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政府信息管理。</w:t>
      </w:r>
      <w:r>
        <w:rPr>
          <w:rFonts w:hint="eastAsia" w:ascii="仿宋_GB2312" w:eastAsia="仿宋_GB2312"/>
          <w:color w:val="auto"/>
          <w:sz w:val="32"/>
          <w:szCs w:val="32"/>
        </w:rPr>
        <w:t>进一步压实政府信息管理工作责任</w:t>
      </w:r>
      <w:r>
        <w:rPr>
          <w:rFonts w:hint="eastAsia" w:ascii="Times New Roman" w:hAnsi="Times New Roman" w:eastAsia="仿宋_GB2312" w:cs="Times New Roman"/>
          <w:color w:val="auto"/>
          <w:sz w:val="32"/>
          <w:szCs w:val="32"/>
        </w:rPr>
        <w:t>，明确</w:t>
      </w:r>
      <w:r>
        <w:rPr>
          <w:rFonts w:ascii="Times New Roman" w:hAnsi="Times New Roman" w:eastAsia="仿宋_GB2312" w:cs="Times New Roman"/>
          <w:color w:val="auto"/>
          <w:sz w:val="32"/>
          <w:szCs w:val="32"/>
        </w:rPr>
        <w:t>专人负责</w:t>
      </w:r>
      <w:r>
        <w:rPr>
          <w:rFonts w:hint="eastAsia" w:ascii="Times New Roman" w:hAnsi="Times New Roman" w:eastAsia="仿宋_GB2312" w:cs="Times New Roman"/>
          <w:color w:val="auto"/>
          <w:sz w:val="32"/>
          <w:szCs w:val="32"/>
        </w:rPr>
        <w:t>，确保各项工作落实到位</w:t>
      </w:r>
      <w:r>
        <w:rPr>
          <w:rFonts w:ascii="Times New Roman" w:hAnsi="Times New Roman" w:eastAsia="仿宋_GB2312" w:cs="Times New Roman"/>
          <w:color w:val="auto"/>
          <w:sz w:val="32"/>
          <w:szCs w:val="32"/>
        </w:rPr>
        <w:t>。严格</w:t>
      </w:r>
      <w:r>
        <w:rPr>
          <w:rFonts w:hint="eastAsia" w:ascii="Times New Roman" w:hAnsi="Times New Roman" w:eastAsia="仿宋_GB2312" w:cs="Times New Roman"/>
          <w:color w:val="auto"/>
          <w:sz w:val="32"/>
          <w:szCs w:val="32"/>
          <w:lang w:eastAsia="zh-CN"/>
        </w:rPr>
        <w:t>把控</w:t>
      </w:r>
      <w:r>
        <w:rPr>
          <w:rFonts w:ascii="仿宋_GB2312" w:hAnsi="宋体" w:eastAsia="仿宋_GB2312" w:cs="仿宋_GB2312"/>
          <w:i w:val="0"/>
          <w:iCs w:val="0"/>
          <w:caps w:val="0"/>
          <w:color w:val="000000"/>
          <w:spacing w:val="0"/>
          <w:sz w:val="32"/>
          <w:szCs w:val="32"/>
          <w:shd w:val="clear" w:fill="FFFFFF"/>
        </w:rPr>
        <w:t>政府信息公开保密审查制度</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Times New Roman" w:hAnsi="Times New Roman" w:eastAsia="仿宋_GB2312" w:cs="Times New Roman"/>
          <w:color w:val="auto"/>
          <w:sz w:val="32"/>
          <w:szCs w:val="32"/>
        </w:rPr>
        <w:t>对拟不公开的，依法依规说明理由</w:t>
      </w:r>
      <w:r>
        <w:rPr>
          <w:rFonts w:hint="eastAsia" w:ascii="Times New Roman" w:hAnsi="Times New Roman" w:eastAsia="仿宋_GB2312" w:cs="Times New Roman"/>
          <w:color w:val="auto"/>
          <w:sz w:val="32"/>
          <w:szCs w:val="32"/>
        </w:rPr>
        <w:t>；对应公开的，坚持</w:t>
      </w:r>
      <w:r>
        <w:rPr>
          <w:rFonts w:ascii="Times New Roman" w:hAnsi="Times New Roman" w:eastAsia="仿宋_GB2312" w:cs="Times New Roman"/>
          <w:color w:val="auto"/>
          <w:sz w:val="32"/>
          <w:szCs w:val="32"/>
        </w:rPr>
        <w:t>应公开尽公开原则，对照《政务公开事项标准目录》，</w:t>
      </w:r>
      <w:r>
        <w:rPr>
          <w:rFonts w:hint="eastAsia" w:ascii="Times New Roman" w:hAnsi="Times New Roman" w:eastAsia="仿宋_GB2312" w:cs="Times New Roman"/>
          <w:color w:val="auto"/>
          <w:sz w:val="32"/>
          <w:szCs w:val="32"/>
        </w:rPr>
        <w:t>将应</w:t>
      </w:r>
      <w:r>
        <w:rPr>
          <w:rFonts w:ascii="Times New Roman" w:hAnsi="Times New Roman" w:eastAsia="仿宋_GB2312" w:cs="Times New Roman"/>
          <w:color w:val="auto"/>
          <w:sz w:val="32"/>
          <w:szCs w:val="32"/>
        </w:rPr>
        <w:t>公开信息进行保密审核后发布到相应栏目</w:t>
      </w:r>
      <w:r>
        <w:rPr>
          <w:rFonts w:hint="eastAsia" w:ascii="Times New Roman" w:hAnsi="Times New Roman" w:eastAsia="仿宋_GB2312" w:cs="Times New Roman"/>
          <w:color w:val="auto"/>
          <w:sz w:val="32"/>
          <w:szCs w:val="32"/>
        </w:rPr>
        <w:t>，推动</w:t>
      </w:r>
      <w:r>
        <w:rPr>
          <w:rFonts w:ascii="Times New Roman" w:hAnsi="Times New Roman" w:eastAsia="仿宋_GB2312" w:cs="Times New Roman"/>
          <w:color w:val="auto"/>
          <w:sz w:val="32"/>
          <w:szCs w:val="32"/>
        </w:rPr>
        <w:t>公开比例</w:t>
      </w:r>
      <w:r>
        <w:rPr>
          <w:rFonts w:hint="eastAsia" w:ascii="Times New Roman" w:hAnsi="Times New Roman" w:eastAsia="仿宋_GB2312" w:cs="Times New Roman"/>
          <w:color w:val="auto"/>
          <w:sz w:val="32"/>
          <w:szCs w:val="32"/>
        </w:rPr>
        <w:t>持续提升。我局积极畅通言论渠道，按照规范、透明、说法、高效运行的总体思路，进一步完善政务信息公开制度、拓宽公开渠道、创新公开形式，及时准确公开我局政务信息，保障了公民、法人和其他组织行使知情权、参与权、表达权和坚持权</w:t>
      </w:r>
      <w:r>
        <w:rPr>
          <w:rFonts w:hint="eastAsia" w:ascii="Times New Roman" w:hAnsi="Times New Roman" w:eastAsia="仿宋_GB2312" w:cs="Times New Roman"/>
          <w:color w:val="auto"/>
          <w:sz w:val="32"/>
          <w:szCs w:val="32"/>
          <w:lang w:eastAsia="zh-CN"/>
        </w:rPr>
        <w:t>。</w:t>
      </w:r>
    </w:p>
    <w:p>
      <w:pPr>
        <w:spacing w:line="600" w:lineRule="exact"/>
        <w:ind w:firstLine="640" w:firstLineChars="200"/>
        <w:rPr>
          <w:rFonts w:hint="eastAsia" w:ascii="仿宋" w:hAnsi="仿宋" w:eastAsia="仿宋" w:cs="仿宋"/>
          <w:color w:val="auto"/>
          <w:sz w:val="32"/>
          <w:szCs w:val="32"/>
          <w:shd w:val="clear" w:color="auto" w:fill="FFFFFF"/>
          <w:lang w:eastAsia="zh-CN"/>
        </w:rPr>
      </w:pPr>
      <w:r>
        <w:rPr>
          <w:rFonts w:hint="eastAsia" w:ascii="楷体_GB2312" w:hAnsi="楷体_GB2312" w:eastAsia="楷体_GB2312" w:cs="楷体_GB2312"/>
          <w:color w:val="auto"/>
          <w:sz w:val="32"/>
          <w:szCs w:val="32"/>
        </w:rPr>
        <w:t>（四）政府信息公开平台建设。</w:t>
      </w:r>
      <w:r>
        <w:rPr>
          <w:rFonts w:hint="eastAsia" w:ascii="仿宋" w:hAnsi="仿宋" w:eastAsia="仿宋" w:cs="仿宋"/>
          <w:color w:val="auto"/>
          <w:sz w:val="32"/>
          <w:szCs w:val="32"/>
          <w:shd w:val="clear" w:color="auto" w:fill="FFFFFF"/>
        </w:rPr>
        <w:t>高度重视</w:t>
      </w:r>
      <w:r>
        <w:rPr>
          <w:rFonts w:ascii="仿宋" w:hAnsi="仿宋" w:eastAsia="仿宋" w:cs="仿宋"/>
          <w:color w:val="auto"/>
          <w:sz w:val="32"/>
          <w:szCs w:val="32"/>
          <w:shd w:val="clear" w:color="auto" w:fill="FFFFFF"/>
        </w:rPr>
        <w:t>政府网站作为政府信息公开第一平台的作用，</w:t>
      </w:r>
      <w:r>
        <w:rPr>
          <w:rFonts w:hint="eastAsia" w:ascii="仿宋" w:hAnsi="仿宋" w:eastAsia="仿宋" w:cs="仿宋"/>
          <w:color w:val="auto"/>
          <w:sz w:val="32"/>
          <w:szCs w:val="32"/>
          <w:shd w:val="clear" w:color="auto" w:fill="FFFFFF"/>
          <w:lang w:eastAsia="zh-CN"/>
        </w:rPr>
        <w:t>认真</w:t>
      </w:r>
      <w:r>
        <w:rPr>
          <w:rFonts w:ascii="Times New Roman" w:hAnsi="Times New Roman" w:eastAsia="仿宋_GB2312" w:cs="Times New Roman"/>
          <w:color w:val="auto"/>
          <w:sz w:val="32"/>
          <w:szCs w:val="32"/>
        </w:rPr>
        <w:t>做好</w:t>
      </w:r>
      <w:r>
        <w:rPr>
          <w:rFonts w:hint="eastAsia" w:ascii="Times New Roman" w:hAnsi="Times New Roman" w:eastAsia="仿宋_GB2312" w:cs="Times New Roman"/>
          <w:color w:val="auto"/>
          <w:sz w:val="32"/>
          <w:szCs w:val="32"/>
          <w:lang w:eastAsia="zh-CN"/>
        </w:rPr>
        <w:t>“融公开”</w:t>
      </w:r>
      <w:r>
        <w:rPr>
          <w:rFonts w:ascii="Times New Roman" w:hAnsi="Times New Roman" w:eastAsia="仿宋_GB2312" w:cs="Times New Roman"/>
          <w:color w:val="auto"/>
          <w:sz w:val="32"/>
          <w:szCs w:val="32"/>
        </w:rPr>
        <w:t>网站建设</w:t>
      </w:r>
      <w:r>
        <w:rPr>
          <w:rFonts w:hint="eastAsia" w:ascii="Times New Roman" w:hAnsi="Times New Roman" w:eastAsia="仿宋_GB2312" w:cs="Times New Roman"/>
          <w:color w:val="auto"/>
          <w:sz w:val="32"/>
          <w:szCs w:val="32"/>
        </w:rPr>
        <w:t>和维护工作，</w:t>
      </w:r>
      <w:r>
        <w:rPr>
          <w:rFonts w:ascii="仿宋_GB2312" w:hAnsi="宋体" w:eastAsia="仿宋_GB2312" w:cs="仿宋_GB2312"/>
          <w:i w:val="0"/>
          <w:iCs w:val="0"/>
          <w:caps w:val="0"/>
          <w:color w:val="000000"/>
          <w:spacing w:val="0"/>
          <w:sz w:val="32"/>
          <w:szCs w:val="32"/>
          <w:shd w:val="clear" w:fill="FFFFFF"/>
        </w:rPr>
        <w:t>及时更新完善政府信息主动公开目录建设</w:t>
      </w:r>
      <w:r>
        <w:rPr>
          <w:rFonts w:hint="eastAsia" w:ascii="仿宋" w:hAnsi="仿宋" w:eastAsia="仿宋" w:cs="仿宋"/>
          <w:color w:val="auto"/>
          <w:sz w:val="32"/>
          <w:szCs w:val="32"/>
          <w:shd w:val="clear" w:color="auto" w:fill="FFFFFF"/>
        </w:rPr>
        <w:t>，不断丰富门户网站内容，提高门户网站建设质量</w:t>
      </w:r>
      <w:r>
        <w:rPr>
          <w:rFonts w:hint="eastAsia" w:ascii="仿宋" w:hAnsi="仿宋" w:eastAsia="仿宋" w:cs="仿宋"/>
          <w:color w:val="auto"/>
          <w:sz w:val="32"/>
          <w:szCs w:val="32"/>
          <w:shd w:val="clear" w:color="auto" w:fill="FFFFFF"/>
          <w:lang w:eastAsia="zh-CN"/>
        </w:rPr>
        <w:t>并加强</w:t>
      </w:r>
      <w:r>
        <w:rPr>
          <w:rFonts w:hint="eastAsia" w:ascii="仿宋" w:hAnsi="仿宋" w:eastAsia="仿宋" w:cs="仿宋"/>
          <w:color w:val="auto"/>
          <w:sz w:val="32"/>
          <w:szCs w:val="32"/>
          <w:shd w:val="clear" w:color="auto" w:fill="FFFFFF"/>
        </w:rPr>
        <w:t>政务新媒体建设</w:t>
      </w:r>
      <w:r>
        <w:rPr>
          <w:rFonts w:hint="eastAsia" w:ascii="仿宋" w:hAnsi="仿宋" w:eastAsia="仿宋" w:cs="仿宋"/>
          <w:color w:val="auto"/>
          <w:sz w:val="32"/>
          <w:szCs w:val="32"/>
          <w:shd w:val="clear" w:color="auto" w:fill="FFFFFF"/>
          <w:lang w:eastAsia="zh-CN"/>
        </w:rPr>
        <w:t>。</w:t>
      </w:r>
    </w:p>
    <w:p>
      <w:pPr>
        <w:spacing w:line="600" w:lineRule="exact"/>
        <w:ind w:firstLine="640" w:firstLineChars="200"/>
        <w:rPr>
          <w:rFonts w:hint="eastAsia" w:ascii="仿宋_GB2312" w:hAnsi="宋体" w:eastAsia="仿宋_GB2312" w:cs="仿宋_GB2312"/>
          <w:i w:val="0"/>
          <w:iCs w:val="0"/>
          <w:caps w:val="0"/>
          <w:color w:val="000000"/>
          <w:spacing w:val="0"/>
          <w:sz w:val="32"/>
          <w:szCs w:val="32"/>
          <w:shd w:val="clear" w:fill="FFFFFF"/>
        </w:rPr>
      </w:pPr>
      <w:r>
        <w:rPr>
          <w:rFonts w:hint="eastAsia" w:ascii="楷体_GB2312" w:hAnsi="楷体_GB2312" w:eastAsia="楷体_GB2312" w:cs="楷体_GB2312"/>
          <w:color w:val="auto"/>
          <w:sz w:val="32"/>
          <w:szCs w:val="32"/>
        </w:rPr>
        <w:t>（五）监督保障。</w:t>
      </w:r>
      <w:r>
        <w:rPr>
          <w:rFonts w:hint="eastAsia" w:ascii="仿宋" w:hAnsi="仿宋" w:eastAsia="仿宋" w:cs="仿宋"/>
          <w:color w:val="auto"/>
          <w:sz w:val="32"/>
          <w:szCs w:val="32"/>
          <w:shd w:val="clear" w:color="auto" w:fill="FFFFFF"/>
        </w:rPr>
        <w:t> </w:t>
      </w:r>
      <w:r>
        <w:rPr>
          <w:rFonts w:hint="eastAsia" w:ascii="仿宋_GB2312" w:hAnsi="宋体" w:eastAsia="仿宋_GB2312" w:cs="仿宋_GB2312"/>
          <w:i w:val="0"/>
          <w:iCs w:val="0"/>
          <w:caps w:val="0"/>
          <w:color w:val="000000"/>
          <w:spacing w:val="0"/>
          <w:sz w:val="32"/>
          <w:szCs w:val="32"/>
          <w:shd w:val="clear" w:fill="FFFFFF"/>
        </w:rPr>
        <w:t>强化对政府信息公开工作的社会监督，不断提高政府信息公开工作的质量和水平，及时对信息更新不及时、处理申请不规范</w:t>
      </w:r>
      <w:r>
        <w:rPr>
          <w:rFonts w:hint="eastAsia" w:ascii="仿宋_GB2312" w:hAnsi="宋体" w:eastAsia="仿宋_GB2312" w:cs="仿宋_GB2312"/>
          <w:i w:val="0"/>
          <w:iCs w:val="0"/>
          <w:caps w:val="0"/>
          <w:color w:val="000000"/>
          <w:spacing w:val="0"/>
          <w:sz w:val="32"/>
          <w:szCs w:val="32"/>
          <w:shd w:val="clear" w:fill="FFFFFF"/>
          <w:lang w:eastAsia="zh-CN"/>
        </w:rPr>
        <w:t>等</w:t>
      </w:r>
      <w:r>
        <w:rPr>
          <w:rFonts w:hint="eastAsia" w:ascii="仿宋_GB2312" w:hAnsi="宋体" w:eastAsia="仿宋_GB2312" w:cs="仿宋_GB2312"/>
          <w:i w:val="0"/>
          <w:iCs w:val="0"/>
          <w:caps w:val="0"/>
          <w:color w:val="000000"/>
          <w:spacing w:val="0"/>
          <w:sz w:val="32"/>
          <w:szCs w:val="32"/>
          <w:shd w:val="clear" w:fill="FFFFFF"/>
        </w:rPr>
        <w:t>现象进行整改，强化监督检查，进一步保障了政府信息公开工作落到实处。</w:t>
      </w:r>
    </w:p>
    <w:p>
      <w:pPr>
        <w:ind w:firstLine="648"/>
        <w:rPr>
          <w:rFonts w:ascii="黑体" w:hAnsi="黑体" w:eastAsia="黑体"/>
          <w:color w:val="auto"/>
          <w:sz w:val="32"/>
          <w:szCs w:val="32"/>
        </w:rPr>
      </w:pPr>
      <w:r>
        <w:rPr>
          <w:rFonts w:hint="eastAsia" w:ascii="黑体" w:hAnsi="黑体" w:eastAsia="黑体"/>
          <w:color w:val="auto"/>
          <w:sz w:val="32"/>
          <w:szCs w:val="32"/>
        </w:rPr>
        <w:t>二、主动公开政府信息情况</w:t>
      </w:r>
    </w:p>
    <w:p>
      <w:pPr>
        <w:spacing w:before="9"/>
        <w:jc w:val="left"/>
        <w:rPr>
          <w:rFonts w:ascii="宋体" w:hAnsi="宋体" w:eastAsia="宋体" w:cs="宋体"/>
          <w:color w:val="auto"/>
          <w:kern w:val="0"/>
          <w:szCs w:val="21"/>
        </w:rPr>
      </w:pPr>
    </w:p>
    <w:tbl>
      <w:tblPr>
        <w:tblStyle w:val="14"/>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color w:val="auto"/>
                <w:sz w:val="21"/>
                <w:lang w:eastAsia="zh-CN"/>
              </w:rPr>
            </w:pPr>
            <w:r>
              <w:rPr>
                <w:color w:val="auto"/>
                <w:sz w:val="21"/>
                <w:lang w:eastAsia="zh-CN"/>
              </w:rPr>
              <w:t>第二十条</w:t>
            </w:r>
            <w:r>
              <w:rPr>
                <w:color w:val="auto"/>
                <w:sz w:val="21"/>
                <w:lang w:eastAsia="zh-CN"/>
              </w:rPr>
              <w:tab/>
            </w:r>
            <w:r>
              <w:rPr>
                <w:color w:val="auto"/>
                <w:sz w:val="21"/>
                <w:lang w:eastAsia="zh-CN"/>
              </w:rPr>
              <w:t>第 （一</w:t>
            </w:r>
            <w:r>
              <w:rPr>
                <w:rFonts w:hint="eastAsia"/>
                <w:color w:val="auto"/>
                <w:sz w:val="21"/>
                <w:lang w:eastAsia="zh-CN"/>
              </w:rPr>
              <w:t>）</w:t>
            </w:r>
            <w:r>
              <w:rPr>
                <w:color w:val="auto"/>
                <w:sz w:val="21"/>
                <w:lang w:eastAsia="zh-CN"/>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color w:val="auto"/>
                <w:sz w:val="21"/>
                <w:lang w:eastAsia="zh-CN"/>
              </w:rPr>
            </w:pPr>
            <w:r>
              <w:rPr>
                <w:color w:val="auto"/>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color w:val="auto"/>
                <w:sz w:val="21"/>
                <w:lang w:eastAsia="zh-CN"/>
              </w:rPr>
            </w:pPr>
            <w:r>
              <w:rPr>
                <w:color w:val="auto"/>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color w:val="auto"/>
                <w:sz w:val="21"/>
                <w:lang w:eastAsia="zh-CN"/>
              </w:rPr>
            </w:pPr>
            <w:r>
              <w:rPr>
                <w:color w:val="auto"/>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color w:val="auto"/>
                <w:sz w:val="21"/>
                <w:lang w:eastAsia="zh-CN"/>
              </w:rPr>
            </w:pPr>
            <w:r>
              <w:rPr>
                <w:color w:val="auto"/>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color w:val="auto"/>
                <w:sz w:val="21"/>
                <w:lang w:eastAsia="zh-CN"/>
              </w:rPr>
            </w:pPr>
            <w:r>
              <w:rPr>
                <w:color w:val="auto"/>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color w:val="auto"/>
                <w:sz w:val="21"/>
                <w:lang w:val="en-US" w:eastAsia="zh-CN"/>
              </w:rPr>
            </w:pPr>
            <w:r>
              <w:rPr>
                <w:rFonts w:hint="eastAsia"/>
                <w:color w:val="auto"/>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color w:val="auto"/>
                <w:sz w:val="21"/>
                <w:lang w:eastAsia="zh-CN"/>
              </w:rPr>
            </w:pPr>
            <w:r>
              <w:rPr>
                <w:rFonts w:hint="eastAsia"/>
                <w:color w:val="auto"/>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color w:val="auto"/>
                <w:sz w:val="21"/>
                <w:lang w:eastAsia="zh-CN"/>
              </w:rPr>
            </w:pPr>
            <w:r>
              <w:rPr>
                <w:rFonts w:hint="eastAsia"/>
                <w:color w:val="auto"/>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color w:val="auto"/>
                <w:sz w:val="21"/>
                <w:lang w:eastAsia="zh-CN"/>
              </w:rPr>
            </w:pPr>
            <w:r>
              <w:rPr>
                <w:color w:val="auto"/>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color w:val="auto"/>
                <w:sz w:val="21"/>
                <w:lang w:eastAsia="zh-CN"/>
              </w:rPr>
            </w:pPr>
            <w:r>
              <w:rPr>
                <w:rFonts w:hint="eastAsia"/>
                <w:color w:val="auto"/>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color w:val="auto"/>
                <w:sz w:val="21"/>
                <w:lang w:eastAsia="zh-CN"/>
              </w:rPr>
            </w:pPr>
            <w:r>
              <w:rPr>
                <w:rFonts w:hint="eastAsia"/>
                <w:color w:val="auto"/>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color w:val="auto"/>
                <w:sz w:val="21"/>
                <w:lang w:eastAsia="zh-CN"/>
              </w:rPr>
            </w:pPr>
            <w:r>
              <w:rPr>
                <w:rFonts w:hint="eastAsia"/>
                <w:color w:val="auto"/>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color w:val="auto"/>
                <w:sz w:val="21"/>
                <w:lang w:eastAsia="zh-CN"/>
              </w:rPr>
            </w:pPr>
            <w:r>
              <w:rPr>
                <w:color w:val="auto"/>
                <w:sz w:val="21"/>
                <w:lang w:eastAsia="zh-CN"/>
              </w:rPr>
              <w:t>第二十条</w:t>
            </w:r>
            <w:r>
              <w:rPr>
                <w:color w:val="auto"/>
                <w:sz w:val="21"/>
                <w:lang w:eastAsia="zh-CN"/>
              </w:rPr>
              <w:tab/>
            </w:r>
            <w:r>
              <w:rPr>
                <w:color w:val="auto"/>
                <w:sz w:val="21"/>
                <w:lang w:eastAsia="zh-CN"/>
              </w:rPr>
              <w:t>第 （五</w:t>
            </w:r>
            <w:r>
              <w:rPr>
                <w:rFonts w:hint="eastAsia"/>
                <w:color w:val="auto"/>
                <w:sz w:val="21"/>
                <w:lang w:eastAsia="zh-CN"/>
              </w:rPr>
              <w:t>）</w:t>
            </w:r>
            <w:r>
              <w:rPr>
                <w:color w:val="auto"/>
                <w:sz w:val="21"/>
                <w:lang w:eastAsia="zh-CN"/>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color w:val="auto"/>
                <w:sz w:val="21"/>
                <w:lang w:eastAsia="zh-CN"/>
              </w:rPr>
            </w:pPr>
            <w:r>
              <w:rPr>
                <w:color w:val="auto"/>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color w:val="auto"/>
                <w:sz w:val="21"/>
                <w:lang w:eastAsia="zh-CN"/>
              </w:rPr>
            </w:pPr>
            <w:r>
              <w:rPr>
                <w:color w:val="auto"/>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color w:val="auto"/>
                <w:sz w:val="21"/>
                <w:lang w:eastAsia="zh-CN"/>
              </w:rPr>
            </w:pPr>
            <w:r>
              <w:rPr>
                <w:color w:val="auto"/>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color w:val="auto"/>
                <w:sz w:val="21"/>
                <w:lang w:val="en-US" w:eastAsia="zh-CN"/>
              </w:rPr>
            </w:pPr>
            <w:r>
              <w:rPr>
                <w:rFonts w:hint="eastAsia"/>
                <w:color w:val="auto"/>
                <w:sz w:val="21"/>
                <w:lang w:val="en-US" w:eastAsia="zh-CN"/>
              </w:rPr>
              <w:t>3652</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color w:val="auto"/>
                <w:sz w:val="21"/>
                <w:lang w:eastAsia="zh-CN"/>
              </w:rPr>
            </w:pPr>
            <w:r>
              <w:rPr>
                <w:color w:val="auto"/>
                <w:sz w:val="21"/>
                <w:lang w:eastAsia="zh-CN"/>
              </w:rPr>
              <w:t>第二十条</w:t>
            </w:r>
            <w:r>
              <w:rPr>
                <w:color w:val="auto"/>
                <w:sz w:val="21"/>
                <w:lang w:eastAsia="zh-CN"/>
              </w:rPr>
              <w:tab/>
            </w:r>
            <w:r>
              <w:rPr>
                <w:color w:val="auto"/>
                <w:sz w:val="21"/>
                <w:lang w:eastAsia="zh-CN"/>
              </w:rPr>
              <w:t>第 （六</w:t>
            </w:r>
            <w:r>
              <w:rPr>
                <w:rFonts w:hint="eastAsia"/>
                <w:color w:val="auto"/>
                <w:sz w:val="21"/>
                <w:lang w:eastAsia="zh-CN"/>
              </w:rPr>
              <w:t>）</w:t>
            </w:r>
            <w:r>
              <w:rPr>
                <w:color w:val="auto"/>
                <w:sz w:val="21"/>
                <w:lang w:eastAsia="zh-CN"/>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color w:val="auto"/>
                <w:sz w:val="21"/>
                <w:lang w:eastAsia="zh-CN"/>
              </w:rPr>
            </w:pPr>
            <w:r>
              <w:rPr>
                <w:color w:val="auto"/>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color w:val="auto"/>
                <w:sz w:val="21"/>
                <w:lang w:eastAsia="zh-CN"/>
              </w:rPr>
            </w:pPr>
            <w:r>
              <w:rPr>
                <w:color w:val="auto"/>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color w:val="auto"/>
                <w:sz w:val="21"/>
                <w:lang w:eastAsia="zh-CN"/>
              </w:rPr>
            </w:pPr>
            <w:r>
              <w:rPr>
                <w:color w:val="auto"/>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color w:val="auto"/>
                <w:sz w:val="21"/>
                <w:lang w:val="en-US" w:eastAsia="zh-CN"/>
              </w:rPr>
            </w:pPr>
            <w:r>
              <w:rPr>
                <w:rFonts w:hint="eastAsia"/>
                <w:color w:val="auto"/>
                <w:sz w:val="21"/>
                <w:lang w:val="en-US" w:eastAsia="zh-CN"/>
              </w:rPr>
              <w:t>27</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9"/>
              <w:ind w:left="102"/>
              <w:jc w:val="center"/>
              <w:rPr>
                <w:color w:val="auto"/>
                <w:sz w:val="21"/>
                <w:lang w:eastAsia="zh-CN"/>
              </w:rPr>
            </w:pPr>
            <w:r>
              <w:rPr>
                <w:color w:val="auto"/>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spacing w:before="139"/>
              <w:ind w:left="102"/>
              <w:jc w:val="center"/>
              <w:rPr>
                <w:rFonts w:hint="default"/>
                <w:color w:val="auto"/>
                <w:sz w:val="21"/>
                <w:lang w:val="en-US" w:eastAsia="zh-CN"/>
              </w:rPr>
            </w:pPr>
            <w:r>
              <w:rPr>
                <w:rFonts w:hint="eastAsia"/>
                <w:color w:val="auto"/>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spacing w:before="139"/>
              <w:ind w:left="102"/>
              <w:jc w:val="left"/>
              <w:rPr>
                <w:color w:val="auto"/>
                <w:sz w:val="21"/>
                <w:lang w:eastAsia="zh-CN"/>
              </w:rPr>
            </w:pPr>
            <w:r>
              <w:rPr>
                <w:color w:val="auto"/>
                <w:sz w:val="21"/>
                <w:lang w:eastAsia="zh-CN"/>
              </w:rPr>
              <w:t>第二十条</w:t>
            </w:r>
            <w:r>
              <w:rPr>
                <w:color w:val="auto"/>
                <w:sz w:val="21"/>
                <w:lang w:eastAsia="zh-CN"/>
              </w:rPr>
              <w:tab/>
            </w:r>
            <w:r>
              <w:rPr>
                <w:color w:val="auto"/>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9"/>
              <w:ind w:left="102"/>
              <w:jc w:val="left"/>
              <w:rPr>
                <w:color w:val="auto"/>
                <w:sz w:val="21"/>
                <w:lang w:eastAsia="zh-CN"/>
              </w:rPr>
            </w:pPr>
            <w:r>
              <w:rPr>
                <w:color w:val="auto"/>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39"/>
              <w:ind w:left="102"/>
              <w:jc w:val="left"/>
              <w:rPr>
                <w:color w:val="auto"/>
                <w:sz w:val="21"/>
                <w:lang w:eastAsia="zh-CN"/>
              </w:rPr>
            </w:pPr>
            <w:r>
              <w:rPr>
                <w:color w:val="auto"/>
                <w:sz w:val="21"/>
                <w:lang w:eastAsia="zh-CN"/>
              </w:rPr>
              <w:t>本年收费金额  （单位 ：万元</w:t>
            </w:r>
            <w:r>
              <w:rPr>
                <w:rFonts w:hint="eastAsia"/>
                <w:color w:val="auto"/>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9"/>
              <w:ind w:left="102"/>
              <w:jc w:val="left"/>
              <w:rPr>
                <w:color w:val="auto"/>
                <w:sz w:val="21"/>
                <w:highlight w:val="none"/>
                <w:lang w:eastAsia="zh-CN"/>
              </w:rPr>
            </w:pPr>
            <w:r>
              <w:rPr>
                <w:color w:val="auto"/>
                <w:sz w:val="21"/>
                <w:highlight w:val="none"/>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spacing w:before="139"/>
              <w:ind w:left="102"/>
              <w:jc w:val="center"/>
              <w:rPr>
                <w:rFonts w:hint="default"/>
                <w:color w:val="auto"/>
                <w:sz w:val="21"/>
                <w:highlight w:val="none"/>
                <w:lang w:val="en-US" w:eastAsia="zh-CN"/>
              </w:rPr>
            </w:pPr>
            <w:r>
              <w:rPr>
                <w:rFonts w:hint="eastAsia"/>
                <w:color w:val="auto"/>
                <w:sz w:val="21"/>
                <w:highlight w:val="none"/>
                <w:lang w:val="en-US" w:eastAsia="zh-CN"/>
              </w:rPr>
              <w:t>26.763万元</w:t>
            </w:r>
          </w:p>
        </w:tc>
      </w:tr>
    </w:tbl>
    <w:p>
      <w:pPr>
        <w:rPr>
          <w:rFonts w:hint="eastAsia" w:ascii="黑体" w:hAnsi="黑体" w:eastAsia="黑体"/>
          <w:color w:val="auto"/>
          <w:sz w:val="32"/>
          <w:szCs w:val="32"/>
        </w:rPr>
      </w:pPr>
    </w:p>
    <w:p>
      <w:pPr>
        <w:rPr>
          <w:rFonts w:ascii="黑体" w:hAnsi="黑体" w:eastAsia="黑体"/>
          <w:color w:val="auto"/>
          <w:sz w:val="32"/>
          <w:szCs w:val="32"/>
        </w:rPr>
      </w:pPr>
      <w:r>
        <w:rPr>
          <w:rFonts w:hint="eastAsia" w:ascii="黑体" w:hAnsi="黑体" w:eastAsia="黑体"/>
          <w:color w:val="auto"/>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color w:val="auto"/>
              </w:rPr>
            </w:pPr>
            <w:r>
              <w:rPr>
                <w:rFonts w:hint="eastAsia"/>
                <w:color w:val="auto"/>
              </w:rPr>
              <w:t>（本列数据的勾稽关系为：第一项加第二项之和，等于第三项加第四项之和）</w:t>
            </w:r>
          </w:p>
        </w:tc>
        <w:tc>
          <w:tcPr>
            <w:tcW w:w="4685" w:type="dxa"/>
            <w:gridSpan w:val="7"/>
            <w:vAlign w:val="center"/>
          </w:tcPr>
          <w:p>
            <w:pPr>
              <w:jc w:val="center"/>
              <w:rPr>
                <w:color w:val="auto"/>
                <w:szCs w:val="21"/>
              </w:rPr>
            </w:pPr>
            <w:r>
              <w:rPr>
                <w:rFonts w:hint="eastAsia"/>
                <w:color w:val="auto"/>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color w:val="auto"/>
              </w:rPr>
            </w:pPr>
          </w:p>
        </w:tc>
        <w:tc>
          <w:tcPr>
            <w:tcW w:w="554" w:type="dxa"/>
            <w:vMerge w:val="restart"/>
            <w:vAlign w:val="center"/>
          </w:tcPr>
          <w:p>
            <w:pPr>
              <w:jc w:val="center"/>
              <w:rPr>
                <w:color w:val="auto"/>
                <w:sz w:val="18"/>
                <w:szCs w:val="18"/>
              </w:rPr>
            </w:pPr>
            <w:r>
              <w:rPr>
                <w:rFonts w:hint="eastAsia"/>
                <w:color w:val="auto"/>
                <w:szCs w:val="21"/>
              </w:rPr>
              <w:t>自然人</w:t>
            </w:r>
          </w:p>
        </w:tc>
        <w:tc>
          <w:tcPr>
            <w:tcW w:w="3466" w:type="dxa"/>
            <w:gridSpan w:val="5"/>
            <w:vAlign w:val="center"/>
          </w:tcPr>
          <w:p>
            <w:pPr>
              <w:jc w:val="center"/>
              <w:rPr>
                <w:color w:val="auto"/>
                <w:szCs w:val="21"/>
              </w:rPr>
            </w:pPr>
            <w:r>
              <w:rPr>
                <w:rFonts w:hint="eastAsia"/>
                <w:color w:val="auto"/>
                <w:szCs w:val="21"/>
              </w:rPr>
              <w:t>法人或其他组织</w:t>
            </w:r>
          </w:p>
        </w:tc>
        <w:tc>
          <w:tcPr>
            <w:tcW w:w="665" w:type="dxa"/>
            <w:vMerge w:val="restart"/>
            <w:vAlign w:val="center"/>
          </w:tcPr>
          <w:p>
            <w:pPr>
              <w:rPr>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color w:val="auto"/>
              </w:rPr>
            </w:pPr>
          </w:p>
        </w:tc>
        <w:tc>
          <w:tcPr>
            <w:tcW w:w="554" w:type="dxa"/>
            <w:vMerge w:val="continue"/>
          </w:tcPr>
          <w:p>
            <w:pPr>
              <w:rPr>
                <w:color w:val="auto"/>
                <w:sz w:val="18"/>
                <w:szCs w:val="18"/>
              </w:rPr>
            </w:pPr>
          </w:p>
        </w:tc>
        <w:tc>
          <w:tcPr>
            <w:tcW w:w="693" w:type="dxa"/>
            <w:vAlign w:val="center"/>
          </w:tcPr>
          <w:p>
            <w:pPr>
              <w:rPr>
                <w:color w:val="auto"/>
                <w:szCs w:val="21"/>
              </w:rPr>
            </w:pPr>
            <w:r>
              <w:rPr>
                <w:rFonts w:hint="eastAsia"/>
                <w:color w:val="auto"/>
                <w:szCs w:val="21"/>
              </w:rPr>
              <w:t>商业企业</w:t>
            </w:r>
          </w:p>
        </w:tc>
        <w:tc>
          <w:tcPr>
            <w:tcW w:w="692" w:type="dxa"/>
            <w:vAlign w:val="center"/>
          </w:tcPr>
          <w:p>
            <w:pPr>
              <w:rPr>
                <w:color w:val="auto"/>
                <w:szCs w:val="21"/>
              </w:rPr>
            </w:pPr>
            <w:r>
              <w:rPr>
                <w:rFonts w:hint="eastAsia"/>
                <w:color w:val="auto"/>
                <w:szCs w:val="21"/>
              </w:rPr>
              <w:t>科研机构</w:t>
            </w:r>
          </w:p>
        </w:tc>
        <w:tc>
          <w:tcPr>
            <w:tcW w:w="693" w:type="dxa"/>
            <w:vAlign w:val="center"/>
          </w:tcPr>
          <w:p>
            <w:pPr>
              <w:rPr>
                <w:color w:val="auto"/>
                <w:szCs w:val="21"/>
              </w:rPr>
            </w:pPr>
            <w:r>
              <w:rPr>
                <w:rFonts w:hint="eastAsia"/>
                <w:color w:val="auto"/>
                <w:szCs w:val="21"/>
              </w:rPr>
              <w:t>社会公益组织</w:t>
            </w:r>
          </w:p>
        </w:tc>
        <w:tc>
          <w:tcPr>
            <w:tcW w:w="693" w:type="dxa"/>
            <w:vAlign w:val="center"/>
          </w:tcPr>
          <w:p>
            <w:pPr>
              <w:rPr>
                <w:color w:val="auto"/>
                <w:szCs w:val="21"/>
              </w:rPr>
            </w:pPr>
            <w:r>
              <w:rPr>
                <w:rFonts w:hint="eastAsia"/>
                <w:color w:val="auto"/>
                <w:szCs w:val="21"/>
              </w:rPr>
              <w:t>法律服务机构</w:t>
            </w:r>
          </w:p>
        </w:tc>
        <w:tc>
          <w:tcPr>
            <w:tcW w:w="695" w:type="dxa"/>
            <w:vAlign w:val="center"/>
          </w:tcPr>
          <w:p>
            <w:pPr>
              <w:rPr>
                <w:color w:val="auto"/>
                <w:szCs w:val="21"/>
              </w:rPr>
            </w:pPr>
            <w:r>
              <w:rPr>
                <w:rFonts w:hint="eastAsia"/>
                <w:color w:val="auto"/>
                <w:szCs w:val="21"/>
              </w:rPr>
              <w:t>其他</w:t>
            </w:r>
          </w:p>
        </w:tc>
        <w:tc>
          <w:tcPr>
            <w:tcW w:w="665" w:type="dxa"/>
            <w:vMerge w:val="continue"/>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color w:val="auto"/>
              </w:rPr>
            </w:pPr>
            <w:r>
              <w:rPr>
                <w:rFonts w:hint="eastAsia"/>
                <w:color w:val="auto"/>
              </w:rPr>
              <w:t>一、本年新收政府信息公开申请数量</w:t>
            </w:r>
          </w:p>
        </w:tc>
        <w:tc>
          <w:tcPr>
            <w:tcW w:w="554" w:type="dxa"/>
            <w:vAlign w:val="center"/>
          </w:tcPr>
          <w:p>
            <w:pPr>
              <w:jc w:val="center"/>
              <w:rPr>
                <w:rFonts w:hint="default" w:eastAsiaTheme="minorEastAsia"/>
                <w:color w:val="auto"/>
                <w:lang w:val="en-US" w:eastAsia="zh-CN"/>
              </w:rPr>
            </w:pPr>
            <w:r>
              <w:rPr>
                <w:rFonts w:hint="eastAsia"/>
                <w:color w:val="auto"/>
                <w:lang w:val="en-US" w:eastAsia="zh-CN"/>
              </w:rPr>
              <w:t>2</w:t>
            </w:r>
          </w:p>
        </w:tc>
        <w:tc>
          <w:tcPr>
            <w:tcW w:w="693"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2"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3"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3"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5"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65" w:type="dxa"/>
            <w:vAlign w:val="center"/>
          </w:tcPr>
          <w:p>
            <w:pPr>
              <w:jc w:val="center"/>
              <w:rPr>
                <w:rFonts w:hint="default" w:eastAsiaTheme="minorEastAsia"/>
                <w:color w:val="auto"/>
                <w:szCs w:val="21"/>
                <w:lang w:val="en-US" w:eastAsia="zh-CN"/>
              </w:rPr>
            </w:pPr>
            <w:r>
              <w:rPr>
                <w:rFonts w:hint="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color w:val="auto"/>
              </w:rPr>
            </w:pPr>
            <w:r>
              <w:rPr>
                <w:rFonts w:hint="eastAsia"/>
                <w:color w:val="auto"/>
              </w:rPr>
              <w:t>二、上年结转政府信息公开申请数量</w:t>
            </w:r>
          </w:p>
        </w:tc>
        <w:tc>
          <w:tcPr>
            <w:tcW w:w="554" w:type="dxa"/>
            <w:vAlign w:val="center"/>
          </w:tcPr>
          <w:p>
            <w:pPr>
              <w:jc w:val="center"/>
              <w:rPr>
                <w:rFonts w:hint="eastAsia" w:eastAsiaTheme="minorEastAsia"/>
                <w:color w:val="auto"/>
                <w:lang w:val="en-US" w:eastAsia="zh-CN"/>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color w:val="auto"/>
              </w:rPr>
            </w:pPr>
            <w:r>
              <w:rPr>
                <w:rFonts w:hint="eastAsia"/>
                <w:color w:val="auto"/>
              </w:rPr>
              <w:t>三、本年度办理结果</w:t>
            </w:r>
          </w:p>
        </w:tc>
        <w:tc>
          <w:tcPr>
            <w:tcW w:w="4159"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（一）予以公开</w:t>
            </w:r>
          </w:p>
        </w:tc>
        <w:tc>
          <w:tcPr>
            <w:tcW w:w="554" w:type="dxa"/>
            <w:vAlign w:val="center"/>
          </w:tcPr>
          <w:p>
            <w:pPr>
              <w:jc w:val="center"/>
              <w:rPr>
                <w:rFonts w:hint="eastAsia" w:eastAsiaTheme="minorEastAsia"/>
                <w:color w:val="auto"/>
                <w:lang w:val="en-US" w:eastAsia="zh-CN"/>
              </w:rPr>
            </w:pPr>
            <w:r>
              <w:rPr>
                <w:rFonts w:hint="eastAsia"/>
                <w:color w:val="auto"/>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2"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5"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65" w:type="dxa"/>
            <w:vAlign w:val="center"/>
          </w:tcPr>
          <w:p>
            <w:pPr>
              <w:jc w:val="center"/>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4159"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（二）部分公开（区分处理的，只计这一情形，不计其他情形）</w:t>
            </w:r>
          </w:p>
        </w:tc>
        <w:tc>
          <w:tcPr>
            <w:tcW w:w="554"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3"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2"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3"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3"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95" w:type="dxa"/>
            <w:vAlign w:val="center"/>
          </w:tcPr>
          <w:p>
            <w:pPr>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c>
          <w:tcPr>
            <w:tcW w:w="665"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color w:val="auto"/>
              </w:rPr>
            </w:pPr>
          </w:p>
        </w:tc>
        <w:tc>
          <w:tcPr>
            <w:tcW w:w="1525" w:type="dxa"/>
            <w:vMerge w:val="restart"/>
            <w:vAlign w:val="center"/>
          </w:tcPr>
          <w:p>
            <w:pPr>
              <w:rPr>
                <w:rFonts w:asciiTheme="minorEastAsia" w:hAnsiTheme="minorEastAsia"/>
                <w:color w:val="auto"/>
                <w:sz w:val="18"/>
                <w:szCs w:val="18"/>
              </w:rPr>
            </w:pPr>
            <w:r>
              <w:rPr>
                <w:rFonts w:hint="eastAsia" w:asciiTheme="minorEastAsia" w:hAnsiTheme="minorEastAsia"/>
                <w:color w:val="auto"/>
                <w:sz w:val="18"/>
                <w:szCs w:val="18"/>
              </w:rPr>
              <w:t>（三）不予公开</w:t>
            </w:r>
          </w:p>
        </w:tc>
        <w:tc>
          <w:tcPr>
            <w:tcW w:w="2634" w:type="dxa"/>
          </w:tcPr>
          <w:p>
            <w:pPr>
              <w:rPr>
                <w:rFonts w:asciiTheme="minorEastAsia" w:hAnsiTheme="minorEastAsia"/>
                <w:color w:val="auto"/>
                <w:sz w:val="18"/>
                <w:szCs w:val="18"/>
              </w:rPr>
            </w:pPr>
            <w:r>
              <w:rPr>
                <w:rFonts w:asciiTheme="minorEastAsia" w:hAnsiTheme="minorEastAsia"/>
                <w:color w:val="auto"/>
                <w:sz w:val="18"/>
                <w:szCs w:val="18"/>
              </w:rPr>
              <w:t>1</w:t>
            </w:r>
            <w:r>
              <w:rPr>
                <w:rFonts w:hint="eastAsia" w:asciiTheme="minorEastAsia" w:hAnsiTheme="minorEastAsia"/>
                <w:color w:val="auto"/>
                <w:sz w:val="18"/>
                <w:szCs w:val="18"/>
              </w:rPr>
              <w:t>．属于国家秘密</w:t>
            </w:r>
          </w:p>
        </w:tc>
        <w:tc>
          <w:tcPr>
            <w:tcW w:w="554" w:type="dxa"/>
            <w:vAlign w:val="center"/>
          </w:tcPr>
          <w:p>
            <w:pPr>
              <w:jc w:val="center"/>
              <w:rPr>
                <w:rFonts w:hint="eastAsia" w:eastAsiaTheme="minorEastAsia"/>
                <w:color w:val="auto"/>
                <w:lang w:val="en-US" w:eastAsia="zh-CN"/>
              </w:rPr>
            </w:pPr>
            <w:r>
              <w:rPr>
                <w:rFonts w:hint="eastAsia"/>
                <w:color w:val="auto"/>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2"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5"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65" w:type="dxa"/>
            <w:vAlign w:val="center"/>
          </w:tcPr>
          <w:p>
            <w:pPr>
              <w:jc w:val="center"/>
              <w:rPr>
                <w:rFonts w:hint="eastAsia"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color w:val="auto"/>
              </w:rPr>
            </w:pPr>
          </w:p>
        </w:tc>
        <w:tc>
          <w:tcPr>
            <w:tcW w:w="1525" w:type="dxa"/>
            <w:vMerge w:val="continue"/>
            <w:vAlign w:val="center"/>
          </w:tcPr>
          <w:p>
            <w:pPr>
              <w:rPr>
                <w:rFonts w:asciiTheme="minorEastAsia" w:hAnsiTheme="minorEastAsia"/>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2．其他法律行政法规禁止公开</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3．危及“三安全一稳定”</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4．保护第三方合法权益</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5．属于三类内部事务信息</w:t>
            </w:r>
          </w:p>
        </w:tc>
        <w:tc>
          <w:tcPr>
            <w:tcW w:w="554" w:type="dxa"/>
            <w:vAlign w:val="center"/>
          </w:tcPr>
          <w:p>
            <w:pPr>
              <w:jc w:val="center"/>
              <w:rPr>
                <w:color w:val="auto"/>
              </w:rPr>
            </w:pPr>
            <w:r>
              <w:rPr>
                <w:rFonts w:hint="eastAsia"/>
                <w:color w:val="auto"/>
                <w:lang w:val="en-US" w:eastAsia="zh-CN"/>
              </w:rPr>
              <w:t>2</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6．属于四类过程性信息</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7．属于行政执法案卷</w:t>
            </w:r>
          </w:p>
        </w:tc>
        <w:tc>
          <w:tcPr>
            <w:tcW w:w="554" w:type="dxa"/>
            <w:vAlign w:val="center"/>
          </w:tcPr>
          <w:p>
            <w:pPr>
              <w:jc w:val="center"/>
              <w:rPr>
                <w:rFonts w:hint="default" w:eastAsiaTheme="minorEastAsia"/>
                <w:color w:val="auto"/>
                <w:lang w:val="en-US" w:eastAsia="zh-CN"/>
              </w:rPr>
            </w:pPr>
            <w:r>
              <w:rPr>
                <w:rFonts w:hint="eastAsia"/>
                <w:color w:val="auto"/>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2"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3"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95"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0</w:t>
            </w:r>
          </w:p>
        </w:tc>
        <w:tc>
          <w:tcPr>
            <w:tcW w:w="665" w:type="dxa"/>
            <w:vAlign w:val="center"/>
          </w:tcPr>
          <w:p>
            <w:pPr>
              <w:jc w:val="center"/>
              <w:rPr>
                <w:rFonts w:hint="default" w:eastAsiaTheme="minorEastAsia"/>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8．属于行政查询事项</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color w:val="auto"/>
              </w:rPr>
            </w:pPr>
          </w:p>
        </w:tc>
        <w:tc>
          <w:tcPr>
            <w:tcW w:w="1525" w:type="dxa"/>
            <w:vMerge w:val="restart"/>
            <w:vAlign w:val="center"/>
          </w:tcPr>
          <w:p>
            <w:pPr>
              <w:rPr>
                <w:color w:val="auto"/>
                <w:sz w:val="18"/>
                <w:szCs w:val="18"/>
              </w:rPr>
            </w:pPr>
            <w:r>
              <w:rPr>
                <w:rFonts w:hint="eastAsia"/>
                <w:color w:val="auto"/>
                <w:sz w:val="18"/>
                <w:szCs w:val="18"/>
              </w:rPr>
              <w:t>（四）无法提供</w:t>
            </w: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1．本机关不掌握相关政府信息</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2．没有现成信息需要另行制作</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vAlign w:val="center"/>
          </w:tcPr>
          <w:p>
            <w:pPr>
              <w:rPr>
                <w:color w:val="auto"/>
                <w:sz w:val="18"/>
                <w:szCs w:val="18"/>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3．补正后申请内容仍不明确</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color w:val="auto"/>
              </w:rPr>
            </w:pPr>
          </w:p>
        </w:tc>
        <w:tc>
          <w:tcPr>
            <w:tcW w:w="1525" w:type="dxa"/>
            <w:vMerge w:val="restart"/>
            <w:vAlign w:val="center"/>
          </w:tcPr>
          <w:p>
            <w:pPr>
              <w:rPr>
                <w:color w:val="auto"/>
                <w:sz w:val="18"/>
                <w:szCs w:val="18"/>
              </w:rPr>
            </w:pPr>
            <w:r>
              <w:rPr>
                <w:rFonts w:hint="eastAsia"/>
                <w:color w:val="auto"/>
                <w:sz w:val="18"/>
                <w:szCs w:val="18"/>
              </w:rPr>
              <w:t>（五）</w:t>
            </w:r>
            <w:r>
              <w:rPr>
                <w:rFonts w:hint="eastAsia" w:asciiTheme="minorEastAsia" w:hAnsiTheme="minorEastAsia"/>
                <w:color w:val="auto"/>
                <w:sz w:val="18"/>
                <w:szCs w:val="18"/>
              </w:rPr>
              <w:t>不予处理</w:t>
            </w: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1．信访举报投诉类申请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2．重复申请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rPr>
                <w:rFonts w:asciiTheme="minorEastAsia" w:hAnsiTheme="minorEastAsia"/>
                <w:color w:val="auto"/>
                <w:sz w:val="18"/>
                <w:szCs w:val="18"/>
              </w:rPr>
            </w:pPr>
            <w:r>
              <w:rPr>
                <w:rFonts w:asciiTheme="minorEastAsia" w:hAnsiTheme="minorEastAsia"/>
                <w:color w:val="auto"/>
                <w:sz w:val="18"/>
                <w:szCs w:val="18"/>
              </w:rPr>
              <w:t>3</w:t>
            </w:r>
            <w:r>
              <w:rPr>
                <w:rFonts w:hint="eastAsia" w:asciiTheme="minorEastAsia" w:hAnsiTheme="minorEastAsia"/>
                <w:color w:val="auto"/>
                <w:sz w:val="18"/>
                <w:szCs w:val="18"/>
              </w:rPr>
              <w:t>．要求提供公开出版物</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rPr>
                <w:rFonts w:asciiTheme="minorEastAsia" w:hAnsiTheme="minorEastAsia"/>
                <w:color w:val="auto"/>
                <w:sz w:val="18"/>
                <w:szCs w:val="18"/>
              </w:rPr>
            </w:pPr>
            <w:r>
              <w:rPr>
                <w:rFonts w:hint="eastAsia" w:asciiTheme="minorEastAsia" w:hAnsiTheme="minorEastAsia"/>
                <w:color w:val="auto"/>
                <w:sz w:val="18"/>
                <w:szCs w:val="18"/>
              </w:rPr>
              <w:t>4．无正当理由大量反复申请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5．要求行政机关确认或重新出具已获取信息</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restart"/>
            <w:vAlign w:val="center"/>
          </w:tcPr>
          <w:p>
            <w:pPr>
              <w:rPr>
                <w:color w:val="auto"/>
              </w:rPr>
            </w:pPr>
            <w:r>
              <w:rPr>
                <w:rFonts w:hint="eastAsia"/>
                <w:color w:val="auto"/>
                <w:sz w:val="18"/>
                <w:szCs w:val="18"/>
              </w:rPr>
              <w:t>（六）其他处理</w:t>
            </w: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1</w:t>
            </w:r>
            <w:r>
              <w:rPr>
                <w:rFonts w:asciiTheme="minorEastAsia" w:hAnsiTheme="minorEastAsia"/>
                <w:color w:val="auto"/>
                <w:sz w:val="18"/>
                <w:szCs w:val="18"/>
              </w:rPr>
              <w:t>.</w:t>
            </w:r>
            <w:r>
              <w:rPr>
                <w:rFonts w:hint="eastAsia" w:asciiTheme="minorEastAsia" w:hAnsiTheme="minorEastAsia"/>
                <w:color w:val="auto"/>
                <w:sz w:val="18"/>
                <w:szCs w:val="18"/>
              </w:rPr>
              <w:t>申请人无正当理由逾期不补正、行政机关不再处理其政府信息公开申请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2</w:t>
            </w:r>
            <w:r>
              <w:rPr>
                <w:rFonts w:asciiTheme="minorEastAsia" w:hAnsiTheme="minorEastAsia"/>
                <w:color w:val="auto"/>
                <w:sz w:val="18"/>
                <w:szCs w:val="18"/>
              </w:rPr>
              <w:t>.</w:t>
            </w:r>
            <w:r>
              <w:rPr>
                <w:rFonts w:hint="eastAsia" w:asciiTheme="minorEastAsia" w:hAnsiTheme="minorEastAsia"/>
                <w:color w:val="auto"/>
                <w:sz w:val="18"/>
                <w:szCs w:val="18"/>
              </w:rPr>
              <w:t>申请人逾期未按收费通知 要求缴纳费用、行政机关不再处理其政府信息公开申请</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color w:val="auto"/>
              </w:rPr>
            </w:pPr>
          </w:p>
        </w:tc>
        <w:tc>
          <w:tcPr>
            <w:tcW w:w="1525" w:type="dxa"/>
            <w:vMerge w:val="continue"/>
          </w:tcPr>
          <w:p>
            <w:pPr>
              <w:rPr>
                <w:color w:val="auto"/>
              </w:rPr>
            </w:pPr>
          </w:p>
        </w:tc>
        <w:tc>
          <w:tcPr>
            <w:tcW w:w="2634"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3</w:t>
            </w:r>
            <w:r>
              <w:rPr>
                <w:rFonts w:asciiTheme="minorEastAsia" w:hAnsiTheme="minorEastAsia"/>
                <w:color w:val="auto"/>
                <w:sz w:val="18"/>
                <w:szCs w:val="18"/>
              </w:rPr>
              <w:t>.</w:t>
            </w:r>
            <w:r>
              <w:rPr>
                <w:rFonts w:hint="eastAsia" w:asciiTheme="minorEastAsia" w:hAnsiTheme="minorEastAsia"/>
                <w:color w:val="auto"/>
                <w:sz w:val="18"/>
                <w:szCs w:val="18"/>
              </w:rPr>
              <w:t>其他</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color w:val="auto"/>
              </w:rPr>
            </w:pPr>
          </w:p>
        </w:tc>
        <w:tc>
          <w:tcPr>
            <w:tcW w:w="4159" w:type="dxa"/>
            <w:gridSpan w:val="2"/>
            <w:vAlign w:val="center"/>
          </w:tcPr>
          <w:p>
            <w:pPr>
              <w:rPr>
                <w:color w:val="auto"/>
                <w:sz w:val="18"/>
                <w:szCs w:val="18"/>
              </w:rPr>
            </w:pPr>
            <w:r>
              <w:rPr>
                <w:rFonts w:hint="eastAsia"/>
                <w:color w:val="auto"/>
                <w:sz w:val="18"/>
                <w:szCs w:val="18"/>
              </w:rPr>
              <w:t>（七）总计</w:t>
            </w:r>
          </w:p>
        </w:tc>
        <w:tc>
          <w:tcPr>
            <w:tcW w:w="554" w:type="dxa"/>
            <w:vAlign w:val="center"/>
          </w:tcPr>
          <w:p>
            <w:pPr>
              <w:jc w:val="center"/>
              <w:rPr>
                <w:rFonts w:hint="default"/>
                <w:color w:val="auto"/>
                <w:lang w:val="en-US"/>
              </w:rPr>
            </w:pPr>
            <w:r>
              <w:rPr>
                <w:rFonts w:hint="eastAsia"/>
                <w:color w:val="auto"/>
                <w:lang w:val="en-US" w:eastAsia="zh-CN"/>
              </w:rPr>
              <w:t>2</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rFonts w:hint="default" w:eastAsiaTheme="minorEastAsia"/>
                <w:color w:val="auto"/>
                <w:lang w:val="en-US" w:eastAsia="zh-CN"/>
              </w:rPr>
            </w:pPr>
            <w:r>
              <w:rPr>
                <w:rFonts w:hint="eastAsia"/>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color w:val="auto"/>
              </w:rPr>
            </w:pPr>
            <w:r>
              <w:rPr>
                <w:rFonts w:hint="eastAsia"/>
                <w:color w:val="auto"/>
              </w:rPr>
              <w:t>四、结转下年度继续办理</w:t>
            </w:r>
          </w:p>
        </w:tc>
        <w:tc>
          <w:tcPr>
            <w:tcW w:w="554"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2"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3" w:type="dxa"/>
            <w:vAlign w:val="center"/>
          </w:tcPr>
          <w:p>
            <w:pPr>
              <w:jc w:val="center"/>
              <w:rPr>
                <w:color w:val="auto"/>
              </w:rPr>
            </w:pPr>
            <w:r>
              <w:rPr>
                <w:rFonts w:hint="eastAsia"/>
                <w:color w:val="auto"/>
                <w:lang w:val="en-US" w:eastAsia="zh-CN"/>
              </w:rPr>
              <w:t>0</w:t>
            </w:r>
          </w:p>
        </w:tc>
        <w:tc>
          <w:tcPr>
            <w:tcW w:w="695" w:type="dxa"/>
            <w:vAlign w:val="center"/>
          </w:tcPr>
          <w:p>
            <w:pPr>
              <w:jc w:val="center"/>
              <w:rPr>
                <w:color w:val="auto"/>
              </w:rPr>
            </w:pPr>
            <w:r>
              <w:rPr>
                <w:rFonts w:hint="eastAsia"/>
                <w:color w:val="auto"/>
                <w:lang w:val="en-US" w:eastAsia="zh-CN"/>
              </w:rPr>
              <w:t>0</w:t>
            </w:r>
          </w:p>
        </w:tc>
        <w:tc>
          <w:tcPr>
            <w:tcW w:w="665" w:type="dxa"/>
            <w:vAlign w:val="center"/>
          </w:tcPr>
          <w:p>
            <w:pPr>
              <w:jc w:val="center"/>
              <w:rPr>
                <w:color w:val="auto"/>
              </w:rPr>
            </w:pPr>
            <w:r>
              <w:rPr>
                <w:rFonts w:hint="eastAsia"/>
                <w:color w:val="auto"/>
                <w:lang w:val="en-US" w:eastAsia="zh-CN"/>
              </w:rPr>
              <w:t>0</w:t>
            </w:r>
          </w:p>
        </w:tc>
      </w:tr>
    </w:tbl>
    <w:p>
      <w:pPr>
        <w:rPr>
          <w:color w:val="auto"/>
        </w:rPr>
      </w:pPr>
    </w:p>
    <w:p>
      <w:pPr>
        <w:numPr>
          <w:ilvl w:val="0"/>
          <w:numId w:val="2"/>
        </w:numPr>
        <w:ind w:firstLine="640" w:firstLineChars="200"/>
        <w:rPr>
          <w:rFonts w:hint="eastAsia" w:ascii="黑体" w:hAnsi="黑体" w:eastAsia="黑体"/>
          <w:color w:val="auto"/>
          <w:sz w:val="32"/>
          <w:szCs w:val="32"/>
        </w:rPr>
      </w:pPr>
      <w:r>
        <w:rPr>
          <w:rFonts w:hint="eastAsia" w:ascii="黑体" w:hAnsi="黑体" w:eastAsia="黑体"/>
          <w:color w:val="auto"/>
          <w:sz w:val="32"/>
          <w:szCs w:val="32"/>
        </w:rPr>
        <w:t>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3207" w:type="dxa"/>
            <w:gridSpan w:val="5"/>
            <w:vAlign w:val="center"/>
          </w:tcPr>
          <w:p>
            <w:pPr>
              <w:jc w:val="center"/>
              <w:rPr>
                <w:color w:val="auto"/>
                <w:szCs w:val="21"/>
              </w:rPr>
            </w:pPr>
            <w:r>
              <w:rPr>
                <w:rFonts w:hint="eastAsia"/>
                <w:color w:val="auto"/>
                <w:szCs w:val="21"/>
              </w:rPr>
              <w:t>行政复议</w:t>
            </w:r>
          </w:p>
        </w:tc>
        <w:tc>
          <w:tcPr>
            <w:tcW w:w="6505" w:type="dxa"/>
            <w:gridSpan w:val="10"/>
            <w:vAlign w:val="center"/>
          </w:tcPr>
          <w:p>
            <w:pPr>
              <w:jc w:val="center"/>
              <w:rPr>
                <w:color w:val="auto"/>
                <w:szCs w:val="21"/>
              </w:rPr>
            </w:pPr>
            <w:r>
              <w:rPr>
                <w:rFonts w:hint="eastAsia"/>
                <w:color w:val="auto"/>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color w:val="auto"/>
                <w:szCs w:val="21"/>
              </w:rPr>
            </w:pPr>
            <w:r>
              <w:rPr>
                <w:rFonts w:hint="eastAsia"/>
                <w:color w:val="auto"/>
                <w:szCs w:val="21"/>
              </w:rPr>
              <w:t>结果维持</w:t>
            </w:r>
          </w:p>
        </w:tc>
        <w:tc>
          <w:tcPr>
            <w:tcW w:w="709" w:type="dxa"/>
            <w:vMerge w:val="restart"/>
            <w:vAlign w:val="center"/>
          </w:tcPr>
          <w:p>
            <w:pPr>
              <w:jc w:val="center"/>
              <w:rPr>
                <w:color w:val="auto"/>
                <w:szCs w:val="21"/>
              </w:rPr>
            </w:pPr>
            <w:r>
              <w:rPr>
                <w:rFonts w:hint="eastAsia"/>
                <w:color w:val="auto"/>
                <w:szCs w:val="21"/>
              </w:rPr>
              <w:t>结果纠正</w:t>
            </w:r>
          </w:p>
        </w:tc>
        <w:tc>
          <w:tcPr>
            <w:tcW w:w="709" w:type="dxa"/>
            <w:vMerge w:val="restart"/>
            <w:vAlign w:val="center"/>
          </w:tcPr>
          <w:p>
            <w:pPr>
              <w:jc w:val="center"/>
              <w:rPr>
                <w:color w:val="auto"/>
                <w:szCs w:val="21"/>
              </w:rPr>
            </w:pPr>
            <w:r>
              <w:rPr>
                <w:rFonts w:hint="eastAsia"/>
                <w:color w:val="auto"/>
                <w:szCs w:val="21"/>
              </w:rPr>
              <w:t>其他结果</w:t>
            </w:r>
          </w:p>
        </w:tc>
        <w:tc>
          <w:tcPr>
            <w:tcW w:w="706" w:type="dxa"/>
            <w:vMerge w:val="restart"/>
            <w:vAlign w:val="center"/>
          </w:tcPr>
          <w:p>
            <w:pPr>
              <w:jc w:val="center"/>
              <w:rPr>
                <w:color w:val="auto"/>
                <w:szCs w:val="21"/>
              </w:rPr>
            </w:pPr>
            <w:r>
              <w:rPr>
                <w:rFonts w:hint="eastAsia"/>
                <w:color w:val="auto"/>
                <w:szCs w:val="21"/>
              </w:rPr>
              <w:t>尚未审结</w:t>
            </w:r>
          </w:p>
        </w:tc>
        <w:tc>
          <w:tcPr>
            <w:tcW w:w="428" w:type="dxa"/>
            <w:vMerge w:val="restart"/>
            <w:vAlign w:val="center"/>
          </w:tcPr>
          <w:p>
            <w:pPr>
              <w:jc w:val="center"/>
              <w:rPr>
                <w:color w:val="auto"/>
                <w:szCs w:val="21"/>
              </w:rPr>
            </w:pPr>
            <w:r>
              <w:rPr>
                <w:rFonts w:hint="eastAsia"/>
                <w:color w:val="auto"/>
                <w:szCs w:val="21"/>
              </w:rPr>
              <w:t>总计</w:t>
            </w:r>
          </w:p>
        </w:tc>
        <w:tc>
          <w:tcPr>
            <w:tcW w:w="3260" w:type="dxa"/>
            <w:gridSpan w:val="5"/>
            <w:vAlign w:val="center"/>
          </w:tcPr>
          <w:p>
            <w:pPr>
              <w:jc w:val="center"/>
              <w:rPr>
                <w:color w:val="auto"/>
                <w:szCs w:val="21"/>
              </w:rPr>
            </w:pPr>
            <w:r>
              <w:rPr>
                <w:rFonts w:hint="eastAsia"/>
                <w:color w:val="auto"/>
                <w:szCs w:val="21"/>
              </w:rPr>
              <w:t>未经复议直接起诉</w:t>
            </w:r>
          </w:p>
        </w:tc>
        <w:tc>
          <w:tcPr>
            <w:tcW w:w="3245" w:type="dxa"/>
            <w:gridSpan w:val="5"/>
            <w:vAlign w:val="center"/>
          </w:tcPr>
          <w:p>
            <w:pPr>
              <w:jc w:val="center"/>
              <w:rPr>
                <w:color w:val="auto"/>
                <w:szCs w:val="21"/>
              </w:rPr>
            </w:pPr>
            <w:r>
              <w:rPr>
                <w:rFonts w:hint="eastAsia"/>
                <w:color w:val="auto"/>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color w:val="auto"/>
                <w:sz w:val="18"/>
                <w:szCs w:val="18"/>
              </w:rPr>
            </w:pPr>
          </w:p>
        </w:tc>
        <w:tc>
          <w:tcPr>
            <w:tcW w:w="709" w:type="dxa"/>
            <w:vMerge w:val="continue"/>
            <w:vAlign w:val="center"/>
          </w:tcPr>
          <w:p>
            <w:pPr>
              <w:jc w:val="center"/>
              <w:rPr>
                <w:color w:val="auto"/>
                <w:sz w:val="18"/>
                <w:szCs w:val="18"/>
              </w:rPr>
            </w:pPr>
          </w:p>
        </w:tc>
        <w:tc>
          <w:tcPr>
            <w:tcW w:w="709" w:type="dxa"/>
            <w:vMerge w:val="continue"/>
            <w:vAlign w:val="center"/>
          </w:tcPr>
          <w:p>
            <w:pPr>
              <w:jc w:val="center"/>
              <w:rPr>
                <w:color w:val="auto"/>
                <w:sz w:val="18"/>
                <w:szCs w:val="18"/>
              </w:rPr>
            </w:pPr>
          </w:p>
        </w:tc>
        <w:tc>
          <w:tcPr>
            <w:tcW w:w="706" w:type="dxa"/>
            <w:vMerge w:val="continue"/>
            <w:vAlign w:val="center"/>
          </w:tcPr>
          <w:p>
            <w:pPr>
              <w:jc w:val="center"/>
              <w:rPr>
                <w:color w:val="auto"/>
                <w:szCs w:val="21"/>
              </w:rPr>
            </w:pPr>
          </w:p>
        </w:tc>
        <w:tc>
          <w:tcPr>
            <w:tcW w:w="428" w:type="dxa"/>
            <w:vMerge w:val="continue"/>
            <w:vAlign w:val="center"/>
          </w:tcPr>
          <w:p>
            <w:pPr>
              <w:jc w:val="center"/>
              <w:rPr>
                <w:color w:val="auto"/>
                <w:szCs w:val="21"/>
              </w:rPr>
            </w:pPr>
          </w:p>
        </w:tc>
        <w:tc>
          <w:tcPr>
            <w:tcW w:w="708" w:type="dxa"/>
            <w:vAlign w:val="center"/>
          </w:tcPr>
          <w:p>
            <w:pPr>
              <w:jc w:val="center"/>
              <w:rPr>
                <w:color w:val="auto"/>
                <w:szCs w:val="21"/>
              </w:rPr>
            </w:pPr>
            <w:r>
              <w:rPr>
                <w:rFonts w:hint="eastAsia"/>
                <w:color w:val="auto"/>
                <w:szCs w:val="21"/>
              </w:rPr>
              <w:t>结果维持</w:t>
            </w:r>
          </w:p>
        </w:tc>
        <w:tc>
          <w:tcPr>
            <w:tcW w:w="709" w:type="dxa"/>
            <w:vAlign w:val="center"/>
          </w:tcPr>
          <w:p>
            <w:pPr>
              <w:jc w:val="center"/>
              <w:rPr>
                <w:color w:val="auto"/>
                <w:szCs w:val="21"/>
              </w:rPr>
            </w:pPr>
            <w:r>
              <w:rPr>
                <w:rFonts w:hint="eastAsia"/>
                <w:color w:val="auto"/>
                <w:szCs w:val="21"/>
              </w:rPr>
              <w:t>结果纠正</w:t>
            </w:r>
          </w:p>
        </w:tc>
        <w:tc>
          <w:tcPr>
            <w:tcW w:w="709" w:type="dxa"/>
            <w:vAlign w:val="center"/>
          </w:tcPr>
          <w:p>
            <w:pPr>
              <w:jc w:val="center"/>
              <w:rPr>
                <w:color w:val="auto"/>
                <w:szCs w:val="21"/>
              </w:rPr>
            </w:pPr>
            <w:r>
              <w:rPr>
                <w:rFonts w:hint="eastAsia"/>
                <w:color w:val="auto"/>
                <w:szCs w:val="21"/>
              </w:rPr>
              <w:t>其他结果</w:t>
            </w:r>
          </w:p>
        </w:tc>
        <w:tc>
          <w:tcPr>
            <w:tcW w:w="709" w:type="dxa"/>
            <w:vAlign w:val="center"/>
          </w:tcPr>
          <w:p>
            <w:pPr>
              <w:jc w:val="center"/>
              <w:rPr>
                <w:color w:val="auto"/>
                <w:szCs w:val="21"/>
              </w:rPr>
            </w:pPr>
            <w:r>
              <w:rPr>
                <w:rFonts w:hint="eastAsia"/>
                <w:color w:val="auto"/>
                <w:szCs w:val="21"/>
              </w:rPr>
              <w:t>尚未审结</w:t>
            </w:r>
          </w:p>
        </w:tc>
        <w:tc>
          <w:tcPr>
            <w:tcW w:w="425" w:type="dxa"/>
            <w:vAlign w:val="center"/>
          </w:tcPr>
          <w:p>
            <w:pPr>
              <w:jc w:val="center"/>
              <w:rPr>
                <w:color w:val="auto"/>
                <w:szCs w:val="21"/>
              </w:rPr>
            </w:pPr>
            <w:r>
              <w:rPr>
                <w:rFonts w:hint="eastAsia"/>
                <w:color w:val="auto"/>
                <w:szCs w:val="21"/>
              </w:rPr>
              <w:t>总计</w:t>
            </w:r>
          </w:p>
        </w:tc>
        <w:tc>
          <w:tcPr>
            <w:tcW w:w="709" w:type="dxa"/>
            <w:vAlign w:val="center"/>
          </w:tcPr>
          <w:p>
            <w:pPr>
              <w:jc w:val="center"/>
              <w:rPr>
                <w:color w:val="auto"/>
                <w:szCs w:val="21"/>
              </w:rPr>
            </w:pPr>
            <w:r>
              <w:rPr>
                <w:rFonts w:hint="eastAsia"/>
                <w:color w:val="auto"/>
                <w:szCs w:val="21"/>
              </w:rPr>
              <w:t>结果维持</w:t>
            </w:r>
          </w:p>
        </w:tc>
        <w:tc>
          <w:tcPr>
            <w:tcW w:w="708" w:type="dxa"/>
            <w:vAlign w:val="center"/>
          </w:tcPr>
          <w:p>
            <w:pPr>
              <w:jc w:val="center"/>
              <w:rPr>
                <w:color w:val="auto"/>
                <w:szCs w:val="21"/>
              </w:rPr>
            </w:pPr>
            <w:r>
              <w:rPr>
                <w:rFonts w:hint="eastAsia"/>
                <w:color w:val="auto"/>
                <w:szCs w:val="21"/>
              </w:rPr>
              <w:t>结果纠正</w:t>
            </w:r>
          </w:p>
        </w:tc>
        <w:tc>
          <w:tcPr>
            <w:tcW w:w="709" w:type="dxa"/>
            <w:vAlign w:val="center"/>
          </w:tcPr>
          <w:p>
            <w:pPr>
              <w:jc w:val="center"/>
              <w:rPr>
                <w:color w:val="auto"/>
                <w:szCs w:val="21"/>
              </w:rPr>
            </w:pPr>
            <w:r>
              <w:rPr>
                <w:rFonts w:hint="eastAsia"/>
                <w:color w:val="auto"/>
                <w:szCs w:val="21"/>
              </w:rPr>
              <w:t>其他结果</w:t>
            </w:r>
          </w:p>
        </w:tc>
        <w:tc>
          <w:tcPr>
            <w:tcW w:w="694" w:type="dxa"/>
            <w:vAlign w:val="center"/>
          </w:tcPr>
          <w:p>
            <w:pPr>
              <w:jc w:val="center"/>
              <w:rPr>
                <w:color w:val="auto"/>
                <w:szCs w:val="21"/>
              </w:rPr>
            </w:pPr>
            <w:r>
              <w:rPr>
                <w:rFonts w:hint="eastAsia"/>
                <w:color w:val="auto"/>
                <w:szCs w:val="21"/>
              </w:rPr>
              <w:t>尚未审结</w:t>
            </w:r>
          </w:p>
        </w:tc>
        <w:tc>
          <w:tcPr>
            <w:tcW w:w="425" w:type="dxa"/>
            <w:vAlign w:val="center"/>
          </w:tcPr>
          <w:p>
            <w:pPr>
              <w:jc w:val="center"/>
              <w:rPr>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9"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9"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6"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42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425"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94"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425"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政府信息公开工作存在</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问题：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主动</w:t>
      </w:r>
      <w:r>
        <w:rPr>
          <w:rFonts w:hint="eastAsia" w:ascii="Times New Roman" w:hAnsi="Times New Roman" w:eastAsia="仿宋_GB2312" w:cs="Times New Roman"/>
          <w:color w:val="auto"/>
          <w:sz w:val="32"/>
          <w:szCs w:val="32"/>
          <w:lang w:eastAsia="zh-CN"/>
        </w:rPr>
        <w:t>公开</w:t>
      </w:r>
      <w:r>
        <w:rPr>
          <w:rFonts w:hint="default" w:ascii="Times New Roman" w:hAnsi="Times New Roman" w:eastAsia="仿宋_GB2312" w:cs="Times New Roman"/>
          <w:color w:val="auto"/>
          <w:sz w:val="32"/>
          <w:szCs w:val="32"/>
        </w:rPr>
        <w:t>信息</w:t>
      </w:r>
      <w:r>
        <w:rPr>
          <w:rFonts w:hint="eastAsia" w:ascii="Times New Roman" w:hAnsi="Times New Roman" w:eastAsia="仿宋_GB2312" w:cs="Times New Roman"/>
          <w:color w:val="auto"/>
          <w:sz w:val="32"/>
          <w:szCs w:val="32"/>
          <w:lang w:eastAsia="zh-CN"/>
        </w:rPr>
        <w:t>不及时、</w:t>
      </w:r>
      <w:r>
        <w:rPr>
          <w:rFonts w:hint="default" w:ascii="Times New Roman" w:hAnsi="Times New Roman" w:eastAsia="仿宋_GB2312" w:cs="Times New Roman"/>
          <w:color w:val="auto"/>
          <w:sz w:val="32"/>
          <w:szCs w:val="32"/>
        </w:rPr>
        <w:t>不全面；</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ascii="仿宋_GB2312" w:hAnsi="宋体" w:eastAsia="仿宋_GB2312" w:cs="仿宋_GB2312"/>
          <w:i w:val="0"/>
          <w:iCs w:val="0"/>
          <w:caps w:val="0"/>
          <w:color w:val="auto"/>
          <w:spacing w:val="0"/>
          <w:sz w:val="32"/>
          <w:szCs w:val="32"/>
          <w:shd w:val="clear" w:fill="FFFFFF"/>
        </w:rPr>
        <w:t>信息公开的范围和内容还有待进一步扩大。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改进措施：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lang w:eastAsia="zh-CN"/>
        </w:rPr>
      </w:pPr>
      <w:r>
        <w:rPr>
          <w:rFonts w:hint="default" w:ascii="Times New Roman" w:hAnsi="Times New Roman" w:eastAsia="仿宋_GB2312" w:cs="Times New Roman"/>
          <w:color w:val="auto"/>
          <w:sz w:val="32"/>
          <w:szCs w:val="32"/>
        </w:rPr>
        <w:t>加强业务培训学习，主动学习相关业务知识，不断提高工作专业能力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不断增强政府信息公开的质量和实效</w:t>
      </w:r>
      <w:r>
        <w:rPr>
          <w:rFonts w:hint="eastAsia" w:ascii="Times New Roman" w:hAnsi="Times New Roman" w:eastAsia="仿宋_GB2312" w:cs="Times New Roman"/>
          <w:color w:val="auto"/>
          <w:sz w:val="32"/>
          <w:szCs w:val="32"/>
          <w:lang w:eastAsia="zh-CN"/>
        </w:rPr>
        <w:t>，进一步加强</w:t>
      </w:r>
      <w:r>
        <w:rPr>
          <w:rFonts w:ascii="仿宋_GB2312" w:hAnsi="宋体" w:eastAsia="仿宋_GB2312" w:cs="仿宋_GB2312"/>
          <w:i w:val="0"/>
          <w:iCs w:val="0"/>
          <w:caps w:val="0"/>
          <w:color w:val="auto"/>
          <w:spacing w:val="0"/>
          <w:sz w:val="32"/>
          <w:szCs w:val="32"/>
          <w:shd w:val="clear" w:fill="FFFFFF"/>
        </w:rPr>
        <w:t>政府信息公开工作制度化、规范化</w:t>
      </w:r>
      <w:r>
        <w:rPr>
          <w:rFonts w:hint="eastAsia" w:ascii="仿宋_GB2312" w:hAnsi="宋体" w:eastAsia="仿宋_GB2312" w:cs="仿宋_GB2312"/>
          <w:i w:val="0"/>
          <w:iCs w:val="0"/>
          <w:caps w:val="0"/>
          <w:color w:val="auto"/>
          <w:spacing w:val="0"/>
          <w:sz w:val="32"/>
          <w:szCs w:val="32"/>
          <w:shd w:val="clear" w:fill="FFFFFF"/>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ascii="仿宋_GB2312" w:hAnsi="宋体" w:eastAsia="仿宋_GB2312" w:cs="仿宋_GB2312"/>
          <w:i w:val="0"/>
          <w:iCs w:val="0"/>
          <w:caps w:val="0"/>
          <w:color w:val="auto"/>
          <w:spacing w:val="0"/>
          <w:sz w:val="32"/>
          <w:szCs w:val="32"/>
          <w:shd w:val="clear" w:fill="FFFFFF"/>
        </w:rPr>
        <w:t>继续努力，加大整改力度，</w:t>
      </w:r>
      <w:r>
        <w:rPr>
          <w:rFonts w:hint="eastAsia" w:ascii="仿宋_GB2312" w:hAnsi="宋体" w:eastAsia="仿宋_GB2312" w:cs="仿宋_GB2312"/>
          <w:i w:val="0"/>
          <w:iCs w:val="0"/>
          <w:caps w:val="0"/>
          <w:color w:val="auto"/>
          <w:spacing w:val="0"/>
          <w:sz w:val="32"/>
          <w:szCs w:val="32"/>
          <w:shd w:val="clear" w:fill="FFFFFF"/>
          <w:lang w:eastAsia="zh-CN"/>
        </w:rPr>
        <w:t>及时</w:t>
      </w:r>
      <w:r>
        <w:rPr>
          <w:rFonts w:ascii="仿宋_GB2312" w:hAnsi="宋体" w:eastAsia="仿宋_GB2312" w:cs="仿宋_GB2312"/>
          <w:i w:val="0"/>
          <w:iCs w:val="0"/>
          <w:caps w:val="0"/>
          <w:color w:val="auto"/>
          <w:spacing w:val="0"/>
          <w:sz w:val="32"/>
          <w:szCs w:val="32"/>
          <w:shd w:val="clear" w:fill="FFFFFF"/>
        </w:rPr>
        <w:t>补充</w:t>
      </w:r>
      <w:r>
        <w:rPr>
          <w:rFonts w:hint="eastAsia" w:ascii="仿宋_GB2312" w:hAnsi="宋体" w:eastAsia="仿宋_GB2312" w:cs="仿宋_GB2312"/>
          <w:i w:val="0"/>
          <w:iCs w:val="0"/>
          <w:caps w:val="0"/>
          <w:color w:val="auto"/>
          <w:spacing w:val="0"/>
          <w:sz w:val="32"/>
          <w:szCs w:val="32"/>
          <w:shd w:val="clear" w:fill="FFFFFF"/>
          <w:lang w:eastAsia="zh-CN"/>
        </w:rPr>
        <w:t>丰富</w:t>
      </w:r>
      <w:r>
        <w:rPr>
          <w:rFonts w:ascii="仿宋_GB2312" w:hAnsi="宋体" w:eastAsia="仿宋_GB2312" w:cs="仿宋_GB2312"/>
          <w:i w:val="0"/>
          <w:iCs w:val="0"/>
          <w:caps w:val="0"/>
          <w:color w:val="auto"/>
          <w:spacing w:val="0"/>
          <w:sz w:val="32"/>
          <w:szCs w:val="32"/>
          <w:shd w:val="clear" w:fill="FFFFFF"/>
        </w:rPr>
        <w:t>信息网站的内容等。</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rPr>
      </w:pPr>
      <w:r>
        <w:rPr>
          <w:rFonts w:ascii="楷体" w:hAnsi="楷体" w:eastAsia="楷体" w:cs="楷体"/>
          <w:i w:val="0"/>
          <w:iCs w:val="0"/>
          <w:caps w:val="0"/>
          <w:color w:val="auto"/>
          <w:spacing w:val="0"/>
          <w:sz w:val="32"/>
          <w:szCs w:val="32"/>
          <w:shd w:val="clear" w:fill="FFFFFF"/>
        </w:rPr>
        <w:t>（一）收取信息处理费情况。</w:t>
      </w:r>
      <w:r>
        <w:rPr>
          <w:rFonts w:hint="default" w:ascii="仿宋_GB2312" w:hAnsi="宋体" w:eastAsia="仿宋_GB2312" w:cs="仿宋_GB2312"/>
          <w:i w:val="0"/>
          <w:iCs w:val="0"/>
          <w:caps w:val="0"/>
          <w:color w:val="auto"/>
          <w:spacing w:val="0"/>
          <w:sz w:val="32"/>
          <w:szCs w:val="32"/>
          <w:shd w:val="clear" w:fill="FFFFFF"/>
        </w:rPr>
        <w:t>本年度未有收取信息处理费情况。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lang w:eastAsia="zh-CN"/>
        </w:rPr>
      </w:pPr>
      <w:r>
        <w:rPr>
          <w:rFonts w:ascii="楷体" w:hAnsi="楷体" w:eastAsia="楷体" w:cs="楷体"/>
          <w:i w:val="0"/>
          <w:iCs w:val="0"/>
          <w:caps w:val="0"/>
          <w:color w:val="auto"/>
          <w:spacing w:val="0"/>
          <w:sz w:val="32"/>
          <w:szCs w:val="32"/>
          <w:shd w:val="clear" w:fill="FFFFFF"/>
        </w:rPr>
        <w:t>（二）人大代表建议和政协提案办理情况。</w:t>
      </w:r>
      <w:r>
        <w:rPr>
          <w:rFonts w:hint="eastAsia" w:ascii="仿宋_GB2312" w:hAnsi="宋体" w:eastAsia="仿宋_GB2312" w:cs="仿宋_GB2312"/>
          <w:i w:val="0"/>
          <w:iCs w:val="0"/>
          <w:caps w:val="0"/>
          <w:color w:val="auto"/>
          <w:spacing w:val="0"/>
          <w:sz w:val="32"/>
          <w:szCs w:val="32"/>
          <w:shd w:val="clear" w:fill="FFFFFF"/>
          <w:lang w:eastAsia="zh-CN"/>
        </w:rPr>
        <w:t>分局共收到区政协十届五次会议</w:t>
      </w:r>
      <w:r>
        <w:rPr>
          <w:rFonts w:hint="eastAsia" w:ascii="仿宋_GB2312" w:hAnsi="宋体" w:eastAsia="仿宋_GB2312" w:cs="仿宋_GB2312"/>
          <w:i w:val="0"/>
          <w:iCs w:val="0"/>
          <w:caps w:val="0"/>
          <w:color w:val="auto"/>
          <w:spacing w:val="0"/>
          <w:sz w:val="32"/>
          <w:szCs w:val="32"/>
          <w:shd w:val="clear" w:fill="FFFFFF"/>
          <w:lang w:val="en-US" w:eastAsia="zh-CN"/>
        </w:rPr>
        <w:t>41</w:t>
      </w:r>
      <w:r>
        <w:rPr>
          <w:rFonts w:hint="eastAsia" w:ascii="仿宋_GB2312" w:hAnsi="宋体" w:eastAsia="仿宋_GB2312" w:cs="仿宋_GB2312"/>
          <w:i w:val="0"/>
          <w:iCs w:val="0"/>
          <w:caps w:val="0"/>
          <w:color w:val="auto"/>
          <w:spacing w:val="0"/>
          <w:sz w:val="32"/>
          <w:szCs w:val="32"/>
          <w:shd w:val="clear" w:fill="FFFFFF"/>
          <w:lang w:eastAsia="zh-CN"/>
        </w:rPr>
        <w:t>号和</w:t>
      </w:r>
      <w:r>
        <w:rPr>
          <w:rFonts w:hint="eastAsia" w:ascii="仿宋_GB2312" w:hAnsi="宋体" w:eastAsia="仿宋_GB2312" w:cs="仿宋_GB2312"/>
          <w:i w:val="0"/>
          <w:iCs w:val="0"/>
          <w:caps w:val="0"/>
          <w:color w:val="auto"/>
          <w:spacing w:val="0"/>
          <w:sz w:val="32"/>
          <w:szCs w:val="32"/>
          <w:shd w:val="clear" w:fill="FFFFFF"/>
          <w:lang w:val="en-US" w:eastAsia="zh-CN"/>
        </w:rPr>
        <w:t>47</w:t>
      </w:r>
      <w:r>
        <w:rPr>
          <w:rFonts w:hint="eastAsia" w:ascii="仿宋_GB2312" w:hAnsi="宋体" w:eastAsia="仿宋_GB2312" w:cs="仿宋_GB2312"/>
          <w:i w:val="0"/>
          <w:iCs w:val="0"/>
          <w:caps w:val="0"/>
          <w:color w:val="auto"/>
          <w:spacing w:val="0"/>
          <w:sz w:val="32"/>
          <w:szCs w:val="32"/>
          <w:shd w:val="clear" w:fill="FFFFFF"/>
          <w:lang w:eastAsia="zh-CN"/>
        </w:rPr>
        <w:t>号</w:t>
      </w:r>
      <w:r>
        <w:rPr>
          <w:rFonts w:hint="eastAsia" w:ascii="仿宋_GB2312" w:hAnsi="宋体" w:eastAsia="仿宋_GB2312" w:cs="仿宋_GB2312"/>
          <w:i w:val="0"/>
          <w:iCs w:val="0"/>
          <w:caps w:val="0"/>
          <w:color w:val="auto"/>
          <w:spacing w:val="0"/>
          <w:sz w:val="32"/>
          <w:szCs w:val="32"/>
          <w:shd w:val="clear" w:fill="FFFFFF"/>
          <w:lang w:val="en-US" w:eastAsia="zh-CN"/>
        </w:rPr>
        <w:t>2</w:t>
      </w:r>
      <w:r>
        <w:rPr>
          <w:rFonts w:hint="eastAsia" w:ascii="仿宋_GB2312" w:hAnsi="宋体" w:eastAsia="仿宋_GB2312" w:cs="仿宋_GB2312"/>
          <w:i w:val="0"/>
          <w:iCs w:val="0"/>
          <w:caps w:val="0"/>
          <w:color w:val="auto"/>
          <w:spacing w:val="0"/>
          <w:sz w:val="32"/>
          <w:szCs w:val="32"/>
          <w:shd w:val="clear" w:fill="FFFFFF"/>
          <w:lang w:eastAsia="zh-CN"/>
        </w:rPr>
        <w:t>项提案，办复率为100%；</w:t>
      </w:r>
      <w:r>
        <w:rPr>
          <w:rFonts w:hint="default" w:ascii="仿宋_GB2312" w:hAnsi="宋体" w:eastAsia="仿宋_GB2312" w:cs="仿宋_GB2312"/>
          <w:i w:val="0"/>
          <w:iCs w:val="0"/>
          <w:caps w:val="0"/>
          <w:color w:val="auto"/>
          <w:spacing w:val="0"/>
          <w:sz w:val="32"/>
          <w:szCs w:val="32"/>
          <w:shd w:val="clear" w:fill="FFFFFF"/>
        </w:rPr>
        <w:t>人大代表建议</w:t>
      </w:r>
      <w:r>
        <w:rPr>
          <w:rFonts w:hint="eastAsia" w:ascii="仿宋_GB2312" w:hAnsi="宋体" w:eastAsia="仿宋_GB2312" w:cs="仿宋_GB2312"/>
          <w:i w:val="0"/>
          <w:iCs w:val="0"/>
          <w:caps w:val="0"/>
          <w:color w:val="auto"/>
          <w:spacing w:val="0"/>
          <w:sz w:val="32"/>
          <w:szCs w:val="32"/>
          <w:shd w:val="clear" w:fill="FFFFFF"/>
          <w:lang w:val="en-US" w:eastAsia="zh-CN"/>
        </w:rPr>
        <w:t>1号，</w:t>
      </w:r>
      <w:r>
        <w:rPr>
          <w:rFonts w:hint="eastAsia" w:ascii="仿宋_GB2312" w:hAnsi="宋体" w:eastAsia="仿宋_GB2312" w:cs="仿宋_GB2312"/>
          <w:i w:val="0"/>
          <w:iCs w:val="0"/>
          <w:caps w:val="0"/>
          <w:color w:val="auto"/>
          <w:spacing w:val="0"/>
          <w:sz w:val="32"/>
          <w:szCs w:val="32"/>
          <w:shd w:val="clear" w:fill="FFFFFF"/>
          <w:lang w:eastAsia="zh-CN"/>
        </w:rPr>
        <w:t>办复率为100%。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lang w:eastAsia="zh-CN"/>
        </w:rPr>
        <w:t>（三）</w:t>
      </w:r>
      <w:r>
        <w:rPr>
          <w:rFonts w:hint="eastAsia" w:ascii="楷体" w:hAnsi="楷体" w:eastAsia="楷体" w:cs="楷体"/>
          <w:i w:val="0"/>
          <w:iCs w:val="0"/>
          <w:caps w:val="0"/>
          <w:color w:val="auto"/>
          <w:spacing w:val="0"/>
          <w:sz w:val="32"/>
          <w:szCs w:val="32"/>
          <w:shd w:val="clear" w:fill="FFFFFF"/>
        </w:rPr>
        <w:t>年度工作要点落实情况</w:t>
      </w:r>
      <w:r>
        <w:rPr>
          <w:rFonts w:hint="eastAsia" w:ascii="楷体" w:hAnsi="楷体" w:eastAsia="楷体" w:cs="楷体"/>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eastAsia="zh-CN"/>
        </w:rPr>
        <w:t>维护社会稳定坚强有力,圆满完成北京冬奥会、冬残奥会、各级“两会”等安保维稳任务，实现“五个严防”“三个确保”目标要求。发挥疫情防控主力军作用，扎实做好随访排查、街面查控、交通管控等各项工作，为打赢疫情防控阻击战贡献公安力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auto"/>
          <w:spacing w:val="0"/>
          <w:sz w:val="32"/>
          <w:szCs w:val="32"/>
          <w:shd w:val="clear" w:fill="FFFFFF"/>
          <w:lang w:eastAsia="zh-CN"/>
        </w:rPr>
        <w:t>（四）政务公开工作创新情况：</w:t>
      </w:r>
      <w:r>
        <w:rPr>
          <w:rFonts w:hint="eastAsia" w:ascii="仿宋" w:hAnsi="仿宋" w:eastAsia="仿宋"/>
          <w:color w:val="auto"/>
          <w:sz w:val="30"/>
          <w:szCs w:val="30"/>
        </w:rPr>
        <w:t>我局积极贯彻落实上级有关文件</w:t>
      </w:r>
      <w:r>
        <w:rPr>
          <w:rFonts w:hint="eastAsia" w:ascii="仿宋" w:hAnsi="仿宋" w:eastAsia="仿宋"/>
          <w:color w:val="auto"/>
          <w:sz w:val="30"/>
          <w:szCs w:val="30"/>
          <w:lang w:eastAsia="zh-CN"/>
        </w:rPr>
        <w:t>要求</w:t>
      </w:r>
      <w:r>
        <w:rPr>
          <w:rFonts w:hint="eastAsia" w:ascii="仿宋" w:hAnsi="仿宋" w:eastAsia="仿宋"/>
          <w:color w:val="auto"/>
          <w:sz w:val="30"/>
          <w:szCs w:val="30"/>
        </w:rPr>
        <w:t>，不断健全完善各项工作流程和制度，全面提高信息公开的时效性</w:t>
      </w:r>
      <w:r>
        <w:rPr>
          <w:rFonts w:hint="eastAsia" w:ascii="仿宋" w:hAnsi="仿宋" w:eastAsia="仿宋"/>
          <w:color w:val="auto"/>
          <w:sz w:val="30"/>
          <w:szCs w:val="30"/>
          <w:lang w:eastAsia="zh-CN"/>
        </w:rPr>
        <w:t>，</w:t>
      </w:r>
      <w:r>
        <w:rPr>
          <w:rFonts w:hint="eastAsia" w:ascii="仿宋" w:hAnsi="仿宋" w:eastAsia="仿宋"/>
          <w:color w:val="auto"/>
          <w:sz w:val="30"/>
          <w:szCs w:val="30"/>
        </w:rPr>
        <w:t>规范开展依申请公开工作，加强信息公开前的审查力度，扎实开展政务公开工作。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50C36"/>
    <w:multiLevelType w:val="singleLevel"/>
    <w:tmpl w:val="87D50C36"/>
    <w:lvl w:ilvl="0" w:tentative="0">
      <w:start w:val="1"/>
      <w:numFmt w:val="decimal"/>
      <w:lvlText w:val="%1."/>
      <w:lvlJc w:val="left"/>
      <w:pPr>
        <w:tabs>
          <w:tab w:val="left" w:pos="312"/>
        </w:tabs>
      </w:pPr>
    </w:lvl>
  </w:abstractNum>
  <w:abstractNum w:abstractNumId="1">
    <w:nsid w:val="B009E27B"/>
    <w:multiLevelType w:val="singleLevel"/>
    <w:tmpl w:val="B009E27B"/>
    <w:lvl w:ilvl="0" w:tentative="0">
      <w:start w:val="1"/>
      <w:numFmt w:val="decimal"/>
      <w:lvlText w:val="%1."/>
      <w:lvlJc w:val="left"/>
      <w:pPr>
        <w:tabs>
          <w:tab w:val="left" w:pos="312"/>
        </w:tabs>
      </w:pPr>
    </w:lvl>
  </w:abstractNum>
  <w:abstractNum w:abstractNumId="2">
    <w:nsid w:val="BFDAA66B"/>
    <w:multiLevelType w:val="singleLevel"/>
    <w:tmpl w:val="BFDAA66B"/>
    <w:lvl w:ilvl="0" w:tentative="0">
      <w:start w:val="4"/>
      <w:numFmt w:val="chineseCounting"/>
      <w:suff w:val="nothing"/>
      <w:lvlText w:val="%1、"/>
      <w:lvlJc w:val="left"/>
      <w:rPr>
        <w:rFonts w:hint="eastAsia"/>
      </w:rPr>
    </w:lvl>
  </w:abstractNum>
  <w:abstractNum w:abstractNumId="3">
    <w:nsid w:val="211F4C05"/>
    <w:multiLevelType w:val="singleLevel"/>
    <w:tmpl w:val="211F4C05"/>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Tc3YWJhOTQxNGM2ZjM4ZTk3ZjU3OTZjY2Y1N2EifQ=="/>
  </w:docVars>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12F2443"/>
    <w:rsid w:val="025E6589"/>
    <w:rsid w:val="02664583"/>
    <w:rsid w:val="038B28E8"/>
    <w:rsid w:val="04242D8F"/>
    <w:rsid w:val="04351B1E"/>
    <w:rsid w:val="048F616F"/>
    <w:rsid w:val="04C82411"/>
    <w:rsid w:val="059F550F"/>
    <w:rsid w:val="068B4430"/>
    <w:rsid w:val="079B61EB"/>
    <w:rsid w:val="09632EC9"/>
    <w:rsid w:val="0AC45AB6"/>
    <w:rsid w:val="0CB07DD7"/>
    <w:rsid w:val="0D643474"/>
    <w:rsid w:val="0DBC6720"/>
    <w:rsid w:val="0DEE2993"/>
    <w:rsid w:val="0E720087"/>
    <w:rsid w:val="0E796AAB"/>
    <w:rsid w:val="0E8F5D32"/>
    <w:rsid w:val="0F865924"/>
    <w:rsid w:val="0FCF6AA6"/>
    <w:rsid w:val="0FD34C41"/>
    <w:rsid w:val="101F47F4"/>
    <w:rsid w:val="10B666E6"/>
    <w:rsid w:val="113244CC"/>
    <w:rsid w:val="116E79F5"/>
    <w:rsid w:val="12237C8E"/>
    <w:rsid w:val="13183568"/>
    <w:rsid w:val="13D824C6"/>
    <w:rsid w:val="13FB270C"/>
    <w:rsid w:val="15802E15"/>
    <w:rsid w:val="16422642"/>
    <w:rsid w:val="16E44CB7"/>
    <w:rsid w:val="18537BDE"/>
    <w:rsid w:val="185438CB"/>
    <w:rsid w:val="185A04C9"/>
    <w:rsid w:val="18F62909"/>
    <w:rsid w:val="19CD1FE5"/>
    <w:rsid w:val="1AEB6F83"/>
    <w:rsid w:val="1C957AEB"/>
    <w:rsid w:val="1D215F99"/>
    <w:rsid w:val="1DCA7D1C"/>
    <w:rsid w:val="1ED8257D"/>
    <w:rsid w:val="1EDA286F"/>
    <w:rsid w:val="1EE00448"/>
    <w:rsid w:val="206D4392"/>
    <w:rsid w:val="208C585A"/>
    <w:rsid w:val="20DD111C"/>
    <w:rsid w:val="2144212A"/>
    <w:rsid w:val="216259EA"/>
    <w:rsid w:val="21881CE4"/>
    <w:rsid w:val="220619C8"/>
    <w:rsid w:val="22B41B6C"/>
    <w:rsid w:val="22DB168B"/>
    <w:rsid w:val="24036974"/>
    <w:rsid w:val="240B1DE6"/>
    <w:rsid w:val="24606389"/>
    <w:rsid w:val="26DF4DEB"/>
    <w:rsid w:val="27686B38"/>
    <w:rsid w:val="2826007F"/>
    <w:rsid w:val="2BD12766"/>
    <w:rsid w:val="2C477FBF"/>
    <w:rsid w:val="2E781383"/>
    <w:rsid w:val="2EC13E2B"/>
    <w:rsid w:val="2F920F5B"/>
    <w:rsid w:val="2FA2183B"/>
    <w:rsid w:val="30A853C0"/>
    <w:rsid w:val="30DB3101"/>
    <w:rsid w:val="31E645B2"/>
    <w:rsid w:val="325007CC"/>
    <w:rsid w:val="331D64F4"/>
    <w:rsid w:val="334C3C43"/>
    <w:rsid w:val="33B51A84"/>
    <w:rsid w:val="34702AD1"/>
    <w:rsid w:val="35EA010B"/>
    <w:rsid w:val="36A02D37"/>
    <w:rsid w:val="371766B4"/>
    <w:rsid w:val="393F5434"/>
    <w:rsid w:val="398F5EA6"/>
    <w:rsid w:val="39BB7C75"/>
    <w:rsid w:val="3A3A5061"/>
    <w:rsid w:val="3B9E00AB"/>
    <w:rsid w:val="3C0E3C9F"/>
    <w:rsid w:val="3C16035B"/>
    <w:rsid w:val="3C2105FF"/>
    <w:rsid w:val="3F3B3E38"/>
    <w:rsid w:val="3F795482"/>
    <w:rsid w:val="40BD62C9"/>
    <w:rsid w:val="422B1FE2"/>
    <w:rsid w:val="4242029F"/>
    <w:rsid w:val="4279570D"/>
    <w:rsid w:val="42E77C3D"/>
    <w:rsid w:val="42F46520"/>
    <w:rsid w:val="433D3BA4"/>
    <w:rsid w:val="456A1359"/>
    <w:rsid w:val="457C1EE7"/>
    <w:rsid w:val="48BB02CE"/>
    <w:rsid w:val="49F83189"/>
    <w:rsid w:val="4AF62644"/>
    <w:rsid w:val="4BE96317"/>
    <w:rsid w:val="4C762AF2"/>
    <w:rsid w:val="4CD4506D"/>
    <w:rsid w:val="4CD82994"/>
    <w:rsid w:val="4DE93206"/>
    <w:rsid w:val="4E852FCB"/>
    <w:rsid w:val="4F19580E"/>
    <w:rsid w:val="520774F7"/>
    <w:rsid w:val="54C33BA9"/>
    <w:rsid w:val="55406C0B"/>
    <w:rsid w:val="55546533"/>
    <w:rsid w:val="55F24F92"/>
    <w:rsid w:val="55F2579B"/>
    <w:rsid w:val="560874CC"/>
    <w:rsid w:val="56214732"/>
    <w:rsid w:val="58845D45"/>
    <w:rsid w:val="5A78158C"/>
    <w:rsid w:val="5AED5798"/>
    <w:rsid w:val="5C4A4F8E"/>
    <w:rsid w:val="5CAB3C75"/>
    <w:rsid w:val="5E1E372B"/>
    <w:rsid w:val="5EF3152F"/>
    <w:rsid w:val="5FF57D58"/>
    <w:rsid w:val="60055B2F"/>
    <w:rsid w:val="610363F1"/>
    <w:rsid w:val="61056288"/>
    <w:rsid w:val="61F36448"/>
    <w:rsid w:val="623C4F9B"/>
    <w:rsid w:val="628B6E74"/>
    <w:rsid w:val="62D84CC4"/>
    <w:rsid w:val="635546B6"/>
    <w:rsid w:val="645D6C69"/>
    <w:rsid w:val="64AE0D31"/>
    <w:rsid w:val="64C85911"/>
    <w:rsid w:val="64EA7D60"/>
    <w:rsid w:val="64F75669"/>
    <w:rsid w:val="64F87849"/>
    <w:rsid w:val="64FC14E9"/>
    <w:rsid w:val="64FD3107"/>
    <w:rsid w:val="65076700"/>
    <w:rsid w:val="67766E2B"/>
    <w:rsid w:val="68875439"/>
    <w:rsid w:val="68AE7B86"/>
    <w:rsid w:val="692C5D69"/>
    <w:rsid w:val="69321F89"/>
    <w:rsid w:val="6A236A13"/>
    <w:rsid w:val="6ACB47E6"/>
    <w:rsid w:val="6B460C38"/>
    <w:rsid w:val="6B7465A4"/>
    <w:rsid w:val="6C0A7F6A"/>
    <w:rsid w:val="6C7312CC"/>
    <w:rsid w:val="6CD33E3A"/>
    <w:rsid w:val="6E1865CF"/>
    <w:rsid w:val="6E2D3BE1"/>
    <w:rsid w:val="6ED81866"/>
    <w:rsid w:val="6F553898"/>
    <w:rsid w:val="6F5A7B99"/>
    <w:rsid w:val="70F60B30"/>
    <w:rsid w:val="715379A3"/>
    <w:rsid w:val="73575B8E"/>
    <w:rsid w:val="739C6503"/>
    <w:rsid w:val="74414007"/>
    <w:rsid w:val="75DF6C0B"/>
    <w:rsid w:val="76393874"/>
    <w:rsid w:val="76B37034"/>
    <w:rsid w:val="77E45A61"/>
    <w:rsid w:val="78081A6E"/>
    <w:rsid w:val="79082527"/>
    <w:rsid w:val="793F0909"/>
    <w:rsid w:val="79813CF4"/>
    <w:rsid w:val="7A2F26FF"/>
    <w:rsid w:val="7AAA236C"/>
    <w:rsid w:val="7B4C161C"/>
    <w:rsid w:val="7B8D42C5"/>
    <w:rsid w:val="7C885836"/>
    <w:rsid w:val="7CE53EAD"/>
    <w:rsid w:val="7CF86342"/>
    <w:rsid w:val="7F1B4295"/>
    <w:rsid w:val="7F372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kern w:val="2"/>
      <w:sz w:val="18"/>
      <w:szCs w:val="18"/>
    </w:rPr>
  </w:style>
  <w:style w:type="character" w:customStyle="1" w:styleId="12">
    <w:name w:val="页脚 字符"/>
    <w:basedOn w:val="8"/>
    <w:link w:val="3"/>
    <w:qFormat/>
    <w:uiPriority w:val="99"/>
    <w:rPr>
      <w:kern w:val="2"/>
      <w:sz w:val="18"/>
      <w:szCs w:val="18"/>
    </w:rPr>
  </w:style>
  <w:style w:type="paragraph" w:customStyle="1" w:styleId="1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4">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2513</Words>
  <Characters>2607</Characters>
  <Lines>10</Lines>
  <Paragraphs>2</Paragraphs>
  <TotalTime>11</TotalTime>
  <ScaleCrop>false</ScaleCrop>
  <LinksUpToDate>false</LinksUpToDate>
  <CharactersWithSpaces>2642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Administrator</cp:lastModifiedBy>
  <dcterms:modified xsi:type="dcterms:W3CDTF">2023-02-08T01:09:04Z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48CCAC70C7034F2DB0FC475793E69BB3</vt:lpwstr>
  </property>
</Properties>
</file>