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临淄区工业和信息化局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政府信息公开工作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年度报告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根据《中华人民共和国政府信息公开条例》，现将临淄区工业和信息化局2022年政府信息公开年度报告予以公开。本年度报告中所列数据统计期限从2022年1月1日起，至2022年12月31日止。如对报告内容有疑问，请与临淄区工业和信息化局联系（临淄区齐兴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101号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、邮编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255400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、电话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0533-7857855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、邮箱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lzqjxjbgs@zibo.shandong.cn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年，我单位认真贯彻落实《中华人民共和国政府信息公开条例》，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在区委、区政府的领导下，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充分利用临淄区政府网站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进行政府信息公开，</w:t>
      </w:r>
      <w:r>
        <w:rPr>
          <w:rFonts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切实保证人民群众的知情权、参与权、表达权和监督权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（一）主动公开情况。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2022年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我单位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共计发布政务公开信息77篇</w:t>
      </w:r>
      <w:r>
        <w:rPr>
          <w:rFonts w:hint="eastAsia" w:asci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其中业务工作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规划计划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、机构职能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、政府信息公开指南1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政策文件3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政府会议5篇、民生公益2篇、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重要部署执行公开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、财政信息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管理和服务公开6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、政府信息公开年度报告1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、主动公开基本目录1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、政务公开保障机制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、其他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outlineLvl w:val="1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（二）依申请公开工作情况。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2022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年，我单位未收到政府信息公开申请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，与往年相比数量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无变化。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（三）政府信息管理情况。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我单位积极完善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政府信息主动公开基本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目录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，严格遵守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政府信息全生命周期管理、规范性文件管理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、政府信息公开保密审查等相关制度，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坚持“先审查，后公开”原则，对所公开事项内容由专人进行审核发布，</w:t>
      </w:r>
      <w:r>
        <w:rPr>
          <w:rFonts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坚决做到涉密信息不公开，公开信息不涉密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确保公开内容的合法性、准确性、时效性。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（四）平台建设情况。</w:t>
      </w:r>
      <w:r>
        <w:rPr>
          <w:rFonts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在临淄区门户网站设立临淄区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工业和信息化局</w:t>
      </w:r>
      <w:r>
        <w:rPr>
          <w:rFonts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政府信息公开专栏，整合“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临淄工信微站</w:t>
      </w:r>
      <w:r>
        <w:rPr>
          <w:rFonts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”微信公众号功能，力求做到信息同步。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政府信息主动公开基本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目录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结合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工信局</w:t>
      </w:r>
      <w:r>
        <w:rPr>
          <w:rFonts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工作实际，适时调整栏目设置，按要求公开政府信息，做到及时维护和更新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（五）机制监督保障情况。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进一步调整完善了区工信局政务信息公开工作领导小组，由单位主要负责人担任组长，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健全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“主要领导亲自抓、分管领导具体抓、职能科室抓落实”的工作机制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严格按照政府信息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公开工作推进实施方案，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落实专门人员明确职责、任务和要求，负责信息公开材料的收集、发布、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审核、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归档等工作。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积极派专人按时参加区政府组织的政府信息公开培训班，提高政府信息公开工作水平。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二、主动公开政府信息情况</w:t>
      </w:r>
    </w:p>
    <w:tbl>
      <w:tblPr>
        <w:tblStyle w:val="3"/>
        <w:tblW w:w="88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2206"/>
        <w:gridCol w:w="2206"/>
        <w:gridCol w:w="22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信息内容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本年制发件数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本年废止件数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规章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仿宋_GB2312" w:hAnsi="Calibri" w:eastAsia="仿宋_GB2312" w:cs="Calibri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行政规范性文件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行政许可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仿宋_GB2312" w:hAnsi="Calibri" w:eastAsia="仿宋_GB2312" w:cs="Calibri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行政处罚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_GB2312" w:hAnsi="Calibri" w:eastAsia="仿宋_GB2312" w:cs="Calibri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Calibri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行政强制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_GB2312" w:hAnsi="Calibri" w:eastAsia="仿宋_GB2312" w:cs="Calibri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Calibri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行政事业性收费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_GB2312" w:hAnsi="Calibri" w:eastAsia="仿宋_GB2312" w:cs="Calibri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Calibri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三、收到和处理政府信息公开申请情况</w:t>
      </w:r>
    </w:p>
    <w:tbl>
      <w:tblPr>
        <w:tblStyle w:val="3"/>
        <w:tblW w:w="95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1701"/>
        <w:gridCol w:w="2976"/>
        <w:gridCol w:w="747"/>
        <w:gridCol w:w="5"/>
        <w:gridCol w:w="535"/>
        <w:gridCol w:w="5"/>
        <w:gridCol w:w="535"/>
        <w:gridCol w:w="720"/>
        <w:gridCol w:w="675"/>
        <w:gridCol w:w="525"/>
        <w:gridCol w:w="1"/>
        <w:gridCol w:w="7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5093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楷体_GB2312" w:hAnsi="黑体" w:eastAsia="楷体_GB2312"/>
                <w:color w:val="auto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color w:val="auto"/>
                <w:kern w:val="0"/>
                <w:szCs w:val="21"/>
              </w:rPr>
              <w:t>（本列数据的勾稽关系为：第一项加第二项之和，</w:t>
            </w:r>
          </w:p>
          <w:p>
            <w:pPr>
              <w:widowControl/>
              <w:jc w:val="both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楷体_GB2312" w:hAnsi="黑体" w:eastAsia="楷体_GB2312"/>
                <w:color w:val="auto"/>
                <w:kern w:val="0"/>
                <w:szCs w:val="21"/>
              </w:rPr>
              <w:t>等于第三项加第四项之和）</w:t>
            </w:r>
          </w:p>
        </w:tc>
        <w:tc>
          <w:tcPr>
            <w:tcW w:w="4448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  <w:tc>
          <w:tcPr>
            <w:tcW w:w="747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自然人</w:t>
            </w:r>
          </w:p>
        </w:tc>
        <w:tc>
          <w:tcPr>
            <w:tcW w:w="3000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法人或其他组织</w:t>
            </w:r>
          </w:p>
        </w:tc>
        <w:tc>
          <w:tcPr>
            <w:tcW w:w="701" w:type="dxa"/>
            <w:gridSpan w:val="2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  <w:tc>
          <w:tcPr>
            <w:tcW w:w="74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both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商业企业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both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科研机构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both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社会公益组织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both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法律服务机构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63" w:leftChars="-30" w:right="-134" w:rightChars="-64"/>
              <w:jc w:val="both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其他</w:t>
            </w:r>
          </w:p>
        </w:tc>
        <w:tc>
          <w:tcPr>
            <w:tcW w:w="701" w:type="dxa"/>
            <w:gridSpan w:val="2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一、</w:t>
            </w:r>
            <w:bookmarkStart w:id="0" w:name="_Hlk66973412"/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本年新收政府信息公开申请数量</w:t>
            </w:r>
            <w:bookmarkEnd w:id="0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both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三、本年度办理结果</w:t>
            </w: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（一）予以公开</w:t>
            </w:r>
          </w:p>
        </w:tc>
        <w:tc>
          <w:tcPr>
            <w:tcW w:w="75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（二）部分公开（</w:t>
            </w:r>
            <w:bookmarkStart w:id="1" w:name="_Hlk66973981"/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区分处理的，只计这一情形，不计其他情形</w:t>
            </w:r>
            <w:bookmarkEnd w:id="1"/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）</w:t>
            </w:r>
          </w:p>
        </w:tc>
        <w:tc>
          <w:tcPr>
            <w:tcW w:w="75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jc w:val="both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（三）不予公开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both"/>
              <w:rPr>
                <w:rFonts w:ascii="仿宋_GB2312" w:hAnsi="黑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1.属于国家秘密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both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both"/>
              <w:rPr>
                <w:rFonts w:ascii="仿宋_GB2312" w:hAnsi="黑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2.</w:t>
            </w:r>
            <w:bookmarkStart w:id="2" w:name="_Hlk66974104"/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其他法律行政法规禁止公开</w:t>
            </w:r>
            <w:bookmarkEnd w:id="2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both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both"/>
              <w:rPr>
                <w:rFonts w:ascii="仿宋_GB2312" w:hAnsi="黑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3.危及“三安全一稳定”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both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both"/>
              <w:rPr>
                <w:rFonts w:ascii="仿宋_GB2312" w:hAnsi="黑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4.</w:t>
            </w:r>
            <w:bookmarkStart w:id="3" w:name="_Hlk66974290"/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保护第三方合法权益</w:t>
            </w:r>
            <w:bookmarkEnd w:id="3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both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both"/>
              <w:rPr>
                <w:rFonts w:ascii="仿宋_GB2312" w:hAnsi="黑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5.属于三类内部事务信息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both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both"/>
              <w:rPr>
                <w:rFonts w:ascii="仿宋_GB2312" w:hAnsi="黑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6.</w:t>
            </w:r>
            <w:bookmarkStart w:id="4" w:name="_Hlk66974555"/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属于四类过程性信息</w:t>
            </w:r>
            <w:bookmarkEnd w:id="4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both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both"/>
              <w:rPr>
                <w:rFonts w:ascii="仿宋_GB2312" w:hAnsi="黑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7.属于行政执法案卷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both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both"/>
              <w:rPr>
                <w:rFonts w:ascii="仿宋_GB2312" w:hAnsi="黑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8.</w:t>
            </w:r>
            <w:bookmarkStart w:id="5" w:name="_Hlk66975211"/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属于行政查询事项</w:t>
            </w:r>
            <w:bookmarkEnd w:id="5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jc w:val="both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（四）无法提供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both"/>
              <w:rPr>
                <w:rFonts w:ascii="仿宋_GB2312" w:hAnsi="黑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1.本机关不掌握相关政府信息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jc w:val="both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both"/>
              <w:rPr>
                <w:rFonts w:ascii="仿宋_GB2312" w:hAnsi="黑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2.</w:t>
            </w:r>
            <w:bookmarkStart w:id="6" w:name="_Hlk66975392"/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没有现成信息需要另行制作</w:t>
            </w:r>
            <w:bookmarkEnd w:id="6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jc w:val="both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both"/>
              <w:rPr>
                <w:rFonts w:ascii="仿宋_GB2312" w:hAnsi="黑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3.</w:t>
            </w:r>
            <w:bookmarkStart w:id="7" w:name="_Hlk66975466"/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补正后申请内容仍不明确</w:t>
            </w:r>
            <w:bookmarkEnd w:id="7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jc w:val="both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（五）不予处理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both"/>
              <w:rPr>
                <w:rFonts w:ascii="仿宋_GB2312" w:hAnsi="黑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1.</w:t>
            </w:r>
            <w:bookmarkStart w:id="8" w:name="_Hlk66975537"/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信访举报投诉类申请</w:t>
            </w:r>
            <w:bookmarkEnd w:id="8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both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both"/>
              <w:rPr>
                <w:rFonts w:ascii="仿宋_GB2312" w:hAnsi="黑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2.重复申请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both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both"/>
              <w:rPr>
                <w:rFonts w:ascii="仿宋_GB2312" w:hAnsi="黑体" w:eastAsia="仿宋_GB2312"/>
                <w:color w:val="auto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3.要求提供公开出版物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both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both"/>
              <w:rPr>
                <w:rFonts w:ascii="仿宋_GB2312" w:hAnsi="黑体" w:eastAsia="仿宋_GB2312"/>
                <w:color w:val="auto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4.无正当理由大量反复申请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both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仿宋_GB2312" w:hAnsi="黑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5.要求行政机关确认或重新</w:t>
            </w:r>
          </w:p>
          <w:p>
            <w:pPr>
              <w:widowControl/>
              <w:spacing w:line="300" w:lineRule="exact"/>
              <w:ind w:firstLine="210" w:firstLineChars="100"/>
              <w:jc w:val="both"/>
              <w:rPr>
                <w:rFonts w:ascii="仿宋_GB2312" w:hAnsi="黑体" w:eastAsia="仿宋_GB2312"/>
                <w:color w:val="auto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出具已获取信息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（六）其他处理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仿宋_GB2312" w:hAnsi="楷体" w:eastAsia="仿宋_GB2312"/>
                <w:color w:val="auto"/>
              </w:rPr>
            </w:pPr>
            <w:r>
              <w:rPr>
                <w:rFonts w:hint="eastAsia" w:ascii="仿宋_GB2312" w:hAnsi="楷体" w:eastAsia="仿宋_GB2312"/>
                <w:color w:val="auto"/>
              </w:rPr>
              <w:t>1.申请人无正当理由逾期不补正、行政机关不再处理其政府信息公开申请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黑体" w:hAnsi="黑体" w:eastAsia="黑体"/>
                <w:color w:val="auto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仿宋_GB2312" w:hAnsi="黑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  <w:color w:val="auto"/>
              </w:rPr>
              <w:t>2.申请人逾期未按收费通知要求缴纳费用、行政机关不再处理其政府信息公开申请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黑体" w:hAnsi="黑体" w:eastAsia="黑体"/>
                <w:color w:val="auto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仿宋_GB2312" w:hAnsi="黑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  <w:color w:val="auto"/>
              </w:rPr>
              <w:t>3.其他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（七）总计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四、结转下年度继续办理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jc w:val="both"/>
        <w:rPr>
          <w:rFonts w:hint="eastAsia" w:ascii="仿宋_GB2312" w:hAnsi="Calibri" w:eastAsia="仿宋_GB2312" w:cs="Calibri"/>
          <w:color w:val="auto"/>
          <w:kern w:val="0"/>
          <w:szCs w:val="21"/>
          <w:lang w:val="en-US" w:eastAsia="zh-CN"/>
        </w:rPr>
      </w:pPr>
    </w:p>
    <w:p>
      <w:pPr>
        <w:jc w:val="both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四、政府信息公开行政复议、行政诉讼情况</w:t>
      </w: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/>
                <w:color w:val="auto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/>
                <w:color w:val="auto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49" w:leftChars="-71" w:right="-170" w:rightChars="-81"/>
              <w:jc w:val="both"/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49" w:leftChars="-71" w:right="-170" w:rightChars="-81"/>
              <w:jc w:val="both"/>
              <w:rPr>
                <w:rFonts w:ascii="黑体" w:hAnsi="黑体" w:eastAsia="黑体"/>
                <w:color w:val="auto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3" w:leftChars="-21" w:right="-132" w:rightChars="-63" w:hanging="1"/>
              <w:jc w:val="both"/>
              <w:rPr>
                <w:rFonts w:ascii="黑体" w:hAnsi="黑体" w:eastAsia="黑体"/>
                <w:color w:val="auto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2" w:leftChars="-39" w:right="-97" w:rightChars="-46"/>
              <w:jc w:val="both"/>
              <w:rPr>
                <w:rFonts w:ascii="黑体" w:hAnsi="黑体" w:eastAsia="黑体"/>
                <w:color w:val="auto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18" w:leftChars="-56" w:right="-118" w:rightChars="-56"/>
              <w:jc w:val="both"/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18" w:leftChars="-56" w:right="-118" w:rightChars="-56"/>
              <w:jc w:val="both"/>
              <w:rPr>
                <w:rFonts w:ascii="黑体" w:hAnsi="黑体" w:eastAsia="黑体"/>
                <w:color w:val="auto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spacing w:line="320" w:lineRule="exact"/>
              <w:jc w:val="both"/>
              <w:rPr>
                <w:rFonts w:ascii="黑体" w:hAnsi="黑体" w:eastAsia="黑体"/>
                <w:color w:val="auto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/>
                <w:color w:val="auto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/>
                <w:color w:val="auto"/>
              </w:rPr>
            </w:pPr>
            <w:bookmarkStart w:id="9" w:name="_Hlk67039688"/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复议后起诉</w:t>
            </w:r>
            <w:bookmarkEnd w:id="9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05" w:leftChars="-50" w:right="-126" w:rightChars="-60"/>
              <w:jc w:val="both"/>
              <w:rPr>
                <w:rFonts w:ascii="黑体" w:hAnsi="黑体" w:eastAsia="黑体"/>
                <w:color w:val="auto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6" w:leftChars="-41" w:right="-88" w:rightChars="-42"/>
              <w:jc w:val="both"/>
              <w:rPr>
                <w:rFonts w:ascii="黑体" w:hAnsi="黑体" w:eastAsia="黑体"/>
                <w:color w:val="auto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26" w:leftChars="-60" w:right="-136" w:rightChars="-65"/>
              <w:jc w:val="both"/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26" w:leftChars="-60" w:right="-136" w:rightChars="-65"/>
              <w:jc w:val="both"/>
              <w:rPr>
                <w:rFonts w:ascii="黑体" w:hAnsi="黑体" w:eastAsia="黑体"/>
                <w:color w:val="auto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64" w:leftChars="-78" w:right="-153" w:rightChars="-73"/>
              <w:jc w:val="both"/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64" w:leftChars="-78" w:right="-153" w:rightChars="-73"/>
              <w:jc w:val="both"/>
              <w:rPr>
                <w:rFonts w:ascii="黑体" w:hAnsi="黑体" w:eastAsia="黑体"/>
                <w:color w:val="auto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/>
                <w:color w:val="auto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99" w:leftChars="-47" w:right="-78" w:rightChars="-37"/>
              <w:jc w:val="both"/>
              <w:rPr>
                <w:rFonts w:ascii="黑体" w:hAnsi="黑体" w:eastAsia="黑体"/>
                <w:color w:val="auto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36" w:leftChars="-65" w:right="-124" w:rightChars="-59"/>
              <w:jc w:val="both"/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36" w:leftChars="-65" w:right="-124" w:rightChars="-59"/>
              <w:jc w:val="both"/>
              <w:rPr>
                <w:rFonts w:ascii="黑体" w:hAnsi="黑体" w:eastAsia="黑体"/>
                <w:color w:val="auto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73" w:leftChars="-83" w:right="-134" w:rightChars="-64" w:hanging="1"/>
              <w:jc w:val="both"/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73" w:leftChars="-83" w:right="-134" w:rightChars="-64" w:hanging="1"/>
              <w:jc w:val="both"/>
              <w:rPr>
                <w:rFonts w:ascii="黑体" w:hAnsi="黑体" w:eastAsia="黑体"/>
                <w:color w:val="auto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67" w:leftChars="-33" w:right="-105" w:rightChars="-50" w:hanging="2" w:hangingChars="1"/>
              <w:jc w:val="both"/>
              <w:rPr>
                <w:rFonts w:ascii="黑体" w:hAnsi="黑体" w:eastAsia="黑体"/>
                <w:color w:val="auto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/>
                <w:color w:val="auto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both"/>
              <w:rPr>
                <w:rFonts w:hint="eastAsia" w:ascii="Times New Roman" w:hAnsi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both"/>
              <w:rPr>
                <w:rFonts w:hint="eastAsia" w:ascii="Times New Roman" w:hAnsi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both"/>
              <w:rPr>
                <w:rFonts w:hint="eastAsia" w:ascii="Times New Roman" w:hAnsi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both"/>
              <w:rPr>
                <w:rFonts w:hint="eastAsia" w:ascii="Times New Roman" w:hAnsi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both"/>
              <w:rPr>
                <w:rFonts w:hint="eastAsia" w:ascii="Times New Roman" w:hAnsi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both"/>
              <w:rPr>
                <w:rFonts w:hint="eastAsia" w:ascii="Times New Roman" w:hAnsi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both"/>
              <w:rPr>
                <w:rFonts w:hint="eastAsia" w:ascii="Times New Roman" w:hAnsi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both"/>
              <w:rPr>
                <w:rFonts w:hint="eastAsia" w:ascii="Times New Roman" w:hAnsi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both"/>
              <w:rPr>
                <w:rFonts w:hint="eastAsia" w:ascii="Times New Roman" w:hAnsi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both"/>
              <w:rPr>
                <w:rFonts w:hint="eastAsia" w:ascii="Times New Roman" w:hAnsi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both"/>
              <w:rPr>
                <w:rFonts w:hint="eastAsia" w:ascii="Times New Roman" w:hAnsi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both"/>
              <w:rPr>
                <w:rFonts w:hint="eastAsia" w:ascii="Times New Roman" w:hAnsi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both"/>
              <w:rPr>
                <w:rFonts w:hint="eastAsia" w:ascii="Times New Roman" w:hAnsi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both"/>
              <w:rPr>
                <w:rFonts w:hint="eastAsia" w:ascii="Times New Roman" w:hAnsi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both"/>
              <w:rPr>
                <w:rFonts w:hint="eastAsia" w:ascii="Times New Roman" w:hAnsi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0</w:t>
            </w:r>
          </w:p>
        </w:tc>
      </w:tr>
    </w:tbl>
    <w:p>
      <w:pPr>
        <w:widowControl/>
        <w:jc w:val="both"/>
        <w:rPr>
          <w:rFonts w:hint="eastAsia" w:ascii="仿宋_GB2312" w:hAnsi="Calibri" w:eastAsia="仿宋_GB2312" w:cs="Calibri"/>
          <w:color w:val="auto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存在问题：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一是部分工作人员对政府信息公开工作的重要性认识不足，缺乏做好政府信息公开工作的自觉性和主动性；二是部分栏目信息发布不及时，质量不高。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改进情况：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是加强业务培训和政府信息调度，不断增强工作人员对政府信息公开工作的重要性认识，强化统筹协调，进一步健全完善政府信息公开工作协调机制，推进重大建设项目信息、业务工作等重点领域信息公开，确保政府信息公开重点工作稳步推进；二是督促我单位政务信息公开工作规范化、常态化，定时督导，严格信息审查审核机制，提高主动公开的及时性，提高信息发布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（一）依申请公开信息处理费收费情况。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本年度未有收取信息处理费情况。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（二）本年度建议提案办理情况。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年区工业和信息化局共收到区十九届人大一次会议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项建议，区政协十一届一次会议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项提案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及市政协十三届一次会议1项提案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。对收到的全部提案建议区工业和信息化局进行了认真办理，办结率100%、满意率100%，并及时公开办理情况报告，接受社会监督。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（三）年度工作要点落实情况。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2022年，区工信局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围绕单位职能，</w:t>
      </w: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强化重要部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署执行公开，梳理年度重点工作，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主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动公开机构职能信息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、规划计划信息、部门会议信息、业务工作信息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等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。主动公开行政执法结果信息，做好“双随机、一公开”监管信息公示工作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主动公开2022年部门预算和2021年决算，接受社会监督。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（四</w:t>
      </w:r>
      <w:bookmarkStart w:id="10" w:name="_GoBack"/>
      <w:bookmarkEnd w:id="10"/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）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政务公开工作创新情况。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2022年，政务公开工作无创新举措。</w:t>
      </w:r>
    </w:p>
    <w:p>
      <w:pPr>
        <w:ind w:firstLine="560" w:firstLineChars="200"/>
        <w:jc w:val="left"/>
        <w:rPr>
          <w:rFonts w:hint="default" w:ascii="宋体" w:hAnsi="宋体" w:eastAsia="宋体" w:cs="宋体"/>
          <w:i w:val="0"/>
          <w:caps w:val="0"/>
          <w:color w:val="auto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OWM1NDRkZWZlZTYzZTgwMzVjN2Y0ZjQzNTdmMDYifQ=="/>
  </w:docVars>
  <w:rsids>
    <w:rsidRoot w:val="11AF18C8"/>
    <w:rsid w:val="0D4D54AE"/>
    <w:rsid w:val="0D72249E"/>
    <w:rsid w:val="11AF18C8"/>
    <w:rsid w:val="141D2158"/>
    <w:rsid w:val="14A02B65"/>
    <w:rsid w:val="1A6A77C7"/>
    <w:rsid w:val="1F97332B"/>
    <w:rsid w:val="23161320"/>
    <w:rsid w:val="2F6F1AFF"/>
    <w:rsid w:val="38E672DA"/>
    <w:rsid w:val="3C7E7E4E"/>
    <w:rsid w:val="412B0BAE"/>
    <w:rsid w:val="52651658"/>
    <w:rsid w:val="640A5F1B"/>
    <w:rsid w:val="645F063B"/>
    <w:rsid w:val="6FAC3CC5"/>
    <w:rsid w:val="74DC48C7"/>
    <w:rsid w:val="77181135"/>
    <w:rsid w:val="7F7F00C0"/>
    <w:rsid w:val="7FD601A3"/>
    <w:rsid w:val="9BFA0E74"/>
    <w:rsid w:val="D53DE8D9"/>
    <w:rsid w:val="EDD9EA72"/>
    <w:rsid w:val="FDB5CE77"/>
    <w:rsid w:val="FFB6A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2359</Words>
  <Characters>2472</Characters>
  <Lines>0</Lines>
  <Paragraphs>0</Paragraphs>
  <TotalTime>12</TotalTime>
  <ScaleCrop>false</ScaleCrop>
  <LinksUpToDate>false</LinksUpToDate>
  <CharactersWithSpaces>2472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2023-01-18T15:45:00Z</dcterms:created>
  <dc:creator>诗人与熊</dc:creator>
  <cp:lastModifiedBy>郭某人</cp:lastModifiedBy>
  <cp:lastPrinted>2023-01-18T17:08:00Z</cp:lastPrinted>
  <dcterms:modified xsi:type="dcterms:W3CDTF">2023-02-08T03:21:18Z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D9BDF66A8EB249AB83A936C89BF39642</vt:lpwstr>
  </property>
</Properties>
</file>