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临淄区皇城镇人民政府2021年政府信息公开工作年度报告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《国务院办公厅政府信息与政务公开办公室关于印发&lt;中华人民共和国政府信息公开工作年度报告格式&gt;的通知》(国办公开办函〔2021〕30号)和《中华人民共和国政府信息公开条例》要求编制</w:t>
      </w:r>
      <w:r>
        <w:rPr>
          <w:rFonts w:hint="eastAsia" w:ascii="仿宋_GB2312" w:hAnsi="仿宋_GB2312" w:eastAsia="仿宋_GB2312" w:cs="仿宋_GB2312"/>
          <w:sz w:val="32"/>
          <w:szCs w:val="32"/>
        </w:rPr>
        <w:t>，特向社会公开</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年临淄区皇城镇人民政府信息公开年度报告。本报告中所列数据从</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年1月1日截止到</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年12月31日，在本机关网上信息公开平台（http://www.linzi.gov.cn/gongkai/site_lzqhczrmzf）可查阅本报告。</w:t>
      </w:r>
      <w:bookmarkStart w:id="0" w:name="_GoBack"/>
      <w:bookmarkEnd w:id="0"/>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eastAsia="黑体" w:cs="Times New Roman"/>
          <w:color w:val="222222"/>
          <w:sz w:val="32"/>
          <w:szCs w:val="32"/>
          <w:highlight w:val="none"/>
        </w:rPr>
        <w:t>一、总体情况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2021年这一年</w:t>
      </w:r>
      <w:r>
        <w:rPr>
          <w:rFonts w:hint="eastAsia" w:ascii="仿宋_GB2312" w:hAnsi="仿宋_GB2312" w:eastAsia="仿宋_GB2312" w:cs="仿宋_GB2312"/>
          <w:sz w:val="32"/>
          <w:szCs w:val="32"/>
          <w:highlight w:val="none"/>
        </w:rPr>
        <w:t>，皇城镇在区委区政府的领导下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区政务公开办的指导下</w:t>
      </w:r>
      <w:r>
        <w:rPr>
          <w:rFonts w:hint="eastAsia" w:ascii="仿宋_GB2312" w:hAnsi="仿宋_GB2312" w:eastAsia="仿宋_GB2312" w:cs="仿宋_GB2312"/>
          <w:sz w:val="32"/>
          <w:szCs w:val="32"/>
          <w:highlight w:val="none"/>
        </w:rPr>
        <w:t>，认真贯彻落实《国务院办公厅政府信息与政务公开办公室关于印发&lt;中华人民共和国政府信息公开工作年度报告格式&gt;的通知》各项要求，以“正常化、规范化、制度化”为着力点，以“公开为常态、不公开为例外”</w:t>
      </w:r>
      <w:r>
        <w:rPr>
          <w:rFonts w:hint="eastAsia" w:ascii="仿宋_GB2312" w:hAnsi="仿宋_GB2312" w:eastAsia="仿宋_GB2312" w:cs="仿宋_GB2312"/>
          <w:sz w:val="32"/>
          <w:szCs w:val="32"/>
          <w:highlight w:val="none"/>
          <w:lang w:val="en-US" w:eastAsia="zh-CN"/>
        </w:rPr>
        <w:t>为</w:t>
      </w:r>
      <w:r>
        <w:rPr>
          <w:rFonts w:hint="eastAsia" w:ascii="仿宋_GB2312" w:hAnsi="仿宋_GB2312" w:eastAsia="仿宋_GB2312" w:cs="仿宋_GB2312"/>
          <w:sz w:val="32"/>
          <w:szCs w:val="32"/>
          <w:highlight w:val="none"/>
        </w:rPr>
        <w:t>原则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坚持规范机制、规范流程，做到政务公开透明，积极参加收看市区举行的政务公开培训班、视频会等，积极学习先进镇办和区直单位的工作经验，做到多学习、多吸收，持续提高我镇的政务公开水平和工作质效，</w:t>
      </w:r>
      <w:r>
        <w:rPr>
          <w:rFonts w:hint="eastAsia" w:ascii="仿宋_GB2312" w:hAnsi="仿宋_GB2312" w:eastAsia="仿宋_GB2312" w:cs="仿宋_GB2312"/>
          <w:color w:val="000000"/>
          <w:sz w:val="32"/>
          <w:szCs w:val="32"/>
        </w:rPr>
        <w:t>充分保障群众知情权、参与权、监督权</w:t>
      </w:r>
      <w:r>
        <w:rPr>
          <w:rFonts w:hint="eastAsia" w:ascii="仿宋_GB2312" w:hAnsi="仿宋_GB2312" w:eastAsia="仿宋_GB2312" w:cs="仿宋_GB2312"/>
          <w:sz w:val="32"/>
          <w:szCs w:val="32"/>
          <w:highlight w:val="none"/>
          <w:lang w:val="en-US" w:eastAsia="zh-CN"/>
        </w:rPr>
        <w:t>。现将</w:t>
      </w:r>
      <w:r>
        <w:rPr>
          <w:rFonts w:hint="eastAsia" w:ascii="仿宋_GB2312" w:hAnsi="仿宋_GB2312" w:eastAsia="仿宋_GB2312" w:cs="仿宋_GB2312"/>
          <w:sz w:val="32"/>
          <w:szCs w:val="32"/>
          <w:highlight w:val="none"/>
        </w:rPr>
        <w:t>我镇</w:t>
      </w:r>
      <w:r>
        <w:rPr>
          <w:rFonts w:hint="eastAsia" w:ascii="仿宋_GB2312" w:hAnsi="仿宋_GB2312" w:eastAsia="仿宋_GB2312" w:cs="仿宋_GB2312"/>
          <w:sz w:val="32"/>
          <w:szCs w:val="32"/>
          <w:highlight w:val="none"/>
          <w:lang w:val="en-US" w:eastAsia="zh-CN"/>
        </w:rPr>
        <w:t>2021</w:t>
      </w:r>
      <w:r>
        <w:rPr>
          <w:rFonts w:hint="eastAsia" w:ascii="仿宋_GB2312" w:hAnsi="仿宋_GB2312" w:eastAsia="仿宋_GB2312" w:cs="仿宋_GB2312"/>
          <w:sz w:val="32"/>
          <w:szCs w:val="32"/>
          <w:highlight w:val="none"/>
        </w:rPr>
        <w:t>年政府信息公开工作报告如下：</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default" w:ascii="Times New Roman" w:hAnsi="Times New Roman" w:eastAsia="楷体_GB2312" w:cs="Times New Roman"/>
          <w:color w:val="0D0D0D" w:themeColor="text1" w:themeTint="F2"/>
          <w:sz w:val="32"/>
          <w:szCs w:val="32"/>
          <w:lang w:eastAsia="zh-CN"/>
          <w14:textFill>
            <w14:solidFill>
              <w14:schemeClr w14:val="tx1">
                <w14:lumMod w14:val="95000"/>
                <w14:lumOff w14:val="5000"/>
              </w14:schemeClr>
            </w14:solidFill>
          </w14:textFill>
        </w:rPr>
      </w:pPr>
      <w:r>
        <w:rPr>
          <w:rFonts w:hint="default" w:ascii="Times New Roman" w:hAnsi="Times New Roman" w:eastAsia="楷体_GB2312" w:cs="Times New Roman"/>
          <w:color w:val="0D0D0D" w:themeColor="text1" w:themeTint="F2"/>
          <w:sz w:val="32"/>
          <w:szCs w:val="32"/>
          <w:lang w:eastAsia="zh-CN"/>
          <w14:textFill>
            <w14:solidFill>
              <w14:schemeClr w14:val="tx1">
                <w14:lumMod w14:val="95000"/>
                <w14:lumOff w14:val="5000"/>
              </w14:schemeClr>
            </w14:solidFill>
          </w14:textFill>
        </w:rPr>
        <w:t>（一）</w:t>
      </w:r>
      <w:r>
        <w:rPr>
          <w:rFonts w:hint="default" w:ascii="Times New Roman" w:hAnsi="Times New Roman" w:eastAsia="楷体_GB2312" w:cs="Times New Roman"/>
          <w:color w:val="0D0D0D" w:themeColor="text1" w:themeTint="F2"/>
          <w:sz w:val="32"/>
          <w:szCs w:val="32"/>
          <w14:textFill>
            <w14:solidFill>
              <w14:schemeClr w14:val="tx1">
                <w14:lumMod w14:val="95000"/>
                <w14:lumOff w14:val="5000"/>
              </w14:schemeClr>
            </w14:solidFill>
          </w14:textFill>
        </w:rPr>
        <w:t>主动公开</w:t>
      </w:r>
      <w:r>
        <w:rPr>
          <w:rFonts w:hint="default" w:ascii="Times New Roman" w:hAnsi="Times New Roman" w:eastAsia="楷体_GB2312" w:cs="Times New Roman"/>
          <w:color w:val="0D0D0D" w:themeColor="text1" w:themeTint="F2"/>
          <w:sz w:val="32"/>
          <w:szCs w:val="32"/>
          <w:lang w:eastAsia="zh-CN"/>
          <w14:textFill>
            <w14:solidFill>
              <w14:schemeClr w14:val="tx1">
                <w14:lumMod w14:val="95000"/>
                <w14:lumOff w14:val="5000"/>
              </w14:schemeClr>
            </w14:solidFill>
          </w14:textFill>
        </w:rPr>
        <w:t>情况</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drawing>
          <wp:anchor distT="0" distB="0" distL="114300" distR="114300" simplePos="0" relativeHeight="251659264" behindDoc="0" locked="0" layoutInCell="1" allowOverlap="1">
            <wp:simplePos x="0" y="0"/>
            <wp:positionH relativeFrom="column">
              <wp:posOffset>487680</wp:posOffset>
            </wp:positionH>
            <wp:positionV relativeFrom="paragraph">
              <wp:posOffset>2375535</wp:posOffset>
            </wp:positionV>
            <wp:extent cx="4563745" cy="2875915"/>
            <wp:effectExtent l="0" t="0" r="8255" b="635"/>
            <wp:wrapTopAndBottom/>
            <wp:docPr id="2" name="图片 2" descr="6814c32dbb639101f4845478f0b39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814c32dbb639101f4845478f0b39a1"/>
                    <pic:cNvPicPr>
                      <a:picLocks noChangeAspect="1"/>
                    </pic:cNvPicPr>
                  </pic:nvPicPr>
                  <pic:blipFill>
                    <a:blip r:embed="rId4"/>
                    <a:stretch>
                      <a:fillRect/>
                    </a:stretch>
                  </pic:blipFill>
                  <pic:spPr>
                    <a:xfrm>
                      <a:off x="0" y="0"/>
                      <a:ext cx="4563745" cy="2875915"/>
                    </a:xfrm>
                    <a:prstGeom prst="rect">
                      <a:avLst/>
                    </a:prstGeom>
                  </pic:spPr>
                </pic:pic>
              </a:graphicData>
            </a:graphic>
          </wp:anchor>
        </w:drawing>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2021年，皇城镇严格贯彻落实《中华人民共和国政府信息公开条例》和《临淄区人民政府办公室关于印发2021年临淄区政务公开工作要点的通知》要求，主动公开信息。通过皇城镇人民政府网站信息公开平台主动公开各类信息55余条；通过“玫瑰之约田园皇城”微信公众平台推送文章</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382</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篇；通过“玫瑰之约田园皇城”微信视频号发布相关视频推广28个。</w:t>
      </w:r>
    </w:p>
    <w:p>
      <w:pPr>
        <w:keepNext w:val="0"/>
        <w:keepLines w:val="0"/>
        <w:pageBreakBefore w:val="0"/>
        <w:widowControl w:val="0"/>
        <w:kinsoku/>
        <w:wordWrap/>
        <w:overflowPunct/>
        <w:topLinePunct w:val="0"/>
        <w:autoSpaceDE/>
        <w:autoSpaceDN/>
        <w:bidi w:val="0"/>
        <w:adjustRightInd/>
        <w:snapToGrid/>
        <w:spacing w:afterAutospacing="0" w:line="600" w:lineRule="exact"/>
        <w:textAlignment w:val="auto"/>
        <w:rPr>
          <w:rFonts w:hint="default"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pP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Autospacing="0" w:line="600" w:lineRule="exact"/>
        <w:ind w:right="0" w:rightChars="0"/>
        <w:jc w:val="both"/>
        <w:textAlignment w:val="auto"/>
        <w:rPr>
          <w:rFonts w:hint="eastAsia" w:ascii="楷体" w:hAnsi="楷体" w:eastAsia="楷体"/>
          <w:color w:val="000000"/>
          <w:sz w:val="32"/>
          <w:szCs w:val="32"/>
        </w:rPr>
      </w:pPr>
      <w:r>
        <w:rPr>
          <w:rFonts w:hint="eastAsia" w:ascii="楷体" w:hAnsi="楷体" w:eastAsia="楷体"/>
          <w:color w:val="000000"/>
          <w:sz w:val="32"/>
          <w:szCs w:val="32"/>
        </w:rPr>
        <w:t>依申请公开工作情况。</w:t>
      </w:r>
    </w:p>
    <w:p>
      <w:pPr>
        <w:pStyle w:val="2"/>
        <w:keepNext w:val="0"/>
        <w:keepLines w:val="0"/>
        <w:pageBreakBefore w:val="0"/>
        <w:widowControl/>
        <w:suppressLineNumbers w:val="0"/>
        <w:kinsoku/>
        <w:wordWrap/>
        <w:overflowPunct/>
        <w:topLinePunct w:val="0"/>
        <w:autoSpaceDE/>
        <w:autoSpaceDN/>
        <w:bidi w:val="0"/>
        <w:adjustRightInd/>
        <w:snapToGrid/>
        <w:spacing w:afterAutospacing="0" w:line="600" w:lineRule="exact"/>
        <w:ind w:firstLine="643" w:firstLineChars="200"/>
        <w:textAlignment w:val="auto"/>
        <w:rPr>
          <w:rFonts w:hint="eastAsia" w:ascii="楷体" w:hAnsi="楷体" w:eastAsia="楷体"/>
          <w:color w:val="000000"/>
          <w:sz w:val="32"/>
          <w:szCs w:val="32"/>
          <w:lang w:eastAsia="zh-CN"/>
        </w:rPr>
      </w:pPr>
      <w:r>
        <w:rPr>
          <w:rFonts w:hint="eastAsia" w:ascii="楷体" w:hAnsi="楷体" w:eastAsia="楷体"/>
          <w:color w:val="000000"/>
          <w:sz w:val="32"/>
          <w:szCs w:val="32"/>
          <w:lang w:eastAsia="zh-CN"/>
        </w:rPr>
        <w:drawing>
          <wp:anchor distT="0" distB="0" distL="114300" distR="114300" simplePos="0" relativeHeight="251660288" behindDoc="0" locked="0" layoutInCell="1" allowOverlap="1">
            <wp:simplePos x="0" y="0"/>
            <wp:positionH relativeFrom="column">
              <wp:posOffset>66675</wp:posOffset>
            </wp:positionH>
            <wp:positionV relativeFrom="paragraph">
              <wp:posOffset>2141220</wp:posOffset>
            </wp:positionV>
            <wp:extent cx="5264150" cy="3943350"/>
            <wp:effectExtent l="0" t="0" r="12700" b="0"/>
            <wp:wrapTopAndBottom/>
            <wp:docPr id="6" name="图片 6" descr="af85ed2a320f5a122262918f36f7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f85ed2a320f5a122262918f36f7091"/>
                    <pic:cNvPicPr>
                      <a:picLocks noChangeAspect="1"/>
                    </pic:cNvPicPr>
                  </pic:nvPicPr>
                  <pic:blipFill>
                    <a:blip r:embed="rId5"/>
                    <a:stretch>
                      <a:fillRect/>
                    </a:stretch>
                  </pic:blipFill>
                  <pic:spPr>
                    <a:xfrm>
                      <a:off x="0" y="0"/>
                      <a:ext cx="5264150" cy="3943350"/>
                    </a:xfrm>
                    <a:prstGeom prst="rect">
                      <a:avLst/>
                    </a:prstGeom>
                  </pic:spPr>
                </pic:pic>
              </a:graphicData>
            </a:graphic>
          </wp:anchor>
        </w:drawing>
      </w:r>
      <w:r>
        <w:rPr>
          <w:rFonts w:hint="eastAsia" w:ascii="仿宋_GB2312" w:hAnsi="仿宋_GB2312" w:eastAsia="仿宋_GB2312" w:cs="仿宋_GB2312"/>
          <w:b w:val="0"/>
          <w:i w:val="0"/>
          <w:caps w:val="0"/>
          <w:color w:val="000000"/>
          <w:spacing w:val="0"/>
          <w:sz w:val="32"/>
          <w:szCs w:val="32"/>
          <w:highlight w:val="none"/>
          <w:shd w:val="clear" w:fill="FFFFFF"/>
          <w:lang w:val="en-US" w:eastAsia="zh-CN"/>
        </w:rPr>
        <w:t>2021年度，我镇受理信息公开申请0件。并在2021年12月发</w:t>
      </w:r>
      <w:r>
        <w:rPr>
          <w:rFonts w:hint="eastAsia" w:ascii="仿宋_GB2312" w:hAnsi="仿宋_GB2312" w:eastAsia="仿宋_GB2312" w:cs="仿宋_GB2312"/>
          <w:b w:val="0"/>
          <w:i w:val="0"/>
          <w:caps w:val="0"/>
          <w:color w:val="000000"/>
          <w:spacing w:val="0"/>
          <w:sz w:val="32"/>
          <w:szCs w:val="32"/>
          <w:highlight w:val="none"/>
          <w:shd w:val="clear" w:fill="FFFFFF"/>
          <w:lang w:val="en-US" w:eastAsia="zh-CN"/>
        </w:rPr>
        <w:t>布《皇城镇人民政府信息公开指南》，不断健全完善依申请公开工作规范，增强答复内容的合法性和针对性，明确了申请注意事项以及申请处理流程，自觉接受群众、法人和其他组织的监督。</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Autospacing="0" w:line="600" w:lineRule="exact"/>
        <w:ind w:left="0" w:leftChars="0" w:right="0" w:rightChars="0" w:firstLine="0" w:firstLineChars="0"/>
        <w:jc w:val="both"/>
        <w:textAlignment w:val="auto"/>
        <w:rPr>
          <w:rFonts w:hint="eastAsia" w:ascii="楷体" w:hAnsi="楷体" w:eastAsia="楷体"/>
          <w:color w:val="000000"/>
          <w:sz w:val="32"/>
          <w:szCs w:val="32"/>
        </w:rPr>
      </w:pPr>
      <w:r>
        <w:rPr>
          <w:rFonts w:hint="eastAsia" w:ascii="楷体" w:hAnsi="楷体" w:eastAsia="楷体"/>
          <w:color w:val="000000"/>
          <w:sz w:val="32"/>
          <w:szCs w:val="32"/>
        </w:rPr>
        <w:t>政府信息管理情况。</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600" w:lineRule="exact"/>
        <w:ind w:right="0" w:rightChars="0" w:firstLine="643" w:firstLineChars="200"/>
        <w:jc w:val="both"/>
        <w:textAlignment w:val="auto"/>
        <w:rPr>
          <w:rFonts w:hint="eastAsia" w:ascii="仿宋_GB2312" w:hAnsi="仿宋_GB2312" w:eastAsia="仿宋_GB2312" w:cs="仿宋_GB2312"/>
          <w:b w:val="0"/>
          <w:i w:val="0"/>
          <w:caps w:val="0"/>
          <w:color w:val="000000"/>
          <w:spacing w:val="0"/>
          <w:sz w:val="32"/>
          <w:szCs w:val="32"/>
          <w:highlight w:val="none"/>
          <w:lang w:eastAsia="zh-CN"/>
        </w:rPr>
      </w:pPr>
      <w:r>
        <w:rPr>
          <w:rStyle w:val="9"/>
          <w:rFonts w:hint="eastAsia" w:ascii="仿宋_GB2312" w:hAnsi="仿宋_GB2312" w:eastAsia="仿宋_GB2312" w:cs="仿宋_GB2312"/>
          <w:b/>
          <w:bCs w:val="0"/>
          <w:i w:val="0"/>
          <w:caps w:val="0"/>
          <w:color w:val="000000"/>
          <w:spacing w:val="0"/>
          <w:sz w:val="32"/>
          <w:szCs w:val="32"/>
          <w:highlight w:val="none"/>
          <w:lang w:val="en-US" w:eastAsia="zh-CN"/>
        </w:rPr>
        <w:t>一是完善人员配备。</w:t>
      </w:r>
      <w:r>
        <w:rPr>
          <w:rFonts w:hint="eastAsia" w:ascii="仿宋_GB2312" w:hAnsi="仿宋_GB2312" w:eastAsia="仿宋_GB2312" w:cs="仿宋_GB2312"/>
          <w:caps w:val="0"/>
          <w:color w:val="000000"/>
          <w:spacing w:val="0"/>
          <w:sz w:val="32"/>
          <w:szCs w:val="32"/>
          <w:highlight w:val="none"/>
          <w:lang w:val="en-US" w:eastAsia="zh-CN"/>
        </w:rPr>
        <w:t>由皇城镇党政办负责政务公开日常工作，</w:t>
      </w:r>
      <w:r>
        <w:rPr>
          <w:rFonts w:hint="eastAsia" w:ascii="仿宋_GB2312" w:hAnsi="仿宋_GB2312" w:eastAsia="仿宋_GB2312" w:cs="仿宋_GB2312"/>
          <w:caps w:val="0"/>
          <w:color w:val="000000"/>
          <w:spacing w:val="0"/>
          <w:sz w:val="32"/>
          <w:szCs w:val="32"/>
          <w:highlight w:val="none"/>
        </w:rPr>
        <w:t>我镇成立了由镇长任组长、党委副书记任副组长的信息公开领导小组，党政办副主任具体负责信息公开工作，并配备了</w:t>
      </w:r>
      <w:r>
        <w:rPr>
          <w:rFonts w:hint="eastAsia" w:ascii="仿宋_GB2312" w:hAnsi="仿宋_GB2312" w:eastAsia="仿宋_GB2312" w:cs="仿宋_GB2312"/>
          <w:caps w:val="0"/>
          <w:color w:val="000000"/>
          <w:spacing w:val="0"/>
          <w:sz w:val="32"/>
          <w:szCs w:val="32"/>
          <w:highlight w:val="none"/>
          <w:lang w:val="en-US" w:eastAsia="zh-CN"/>
        </w:rPr>
        <w:t>专职工作人员</w:t>
      </w:r>
      <w:r>
        <w:rPr>
          <w:rFonts w:hint="eastAsia" w:ascii="仿宋_GB2312" w:hAnsi="仿宋_GB2312" w:eastAsia="仿宋_GB2312" w:cs="仿宋_GB2312"/>
          <w:caps w:val="0"/>
          <w:color w:val="000000"/>
          <w:spacing w:val="0"/>
          <w:sz w:val="32"/>
          <w:szCs w:val="32"/>
          <w:highlight w:val="none"/>
        </w:rPr>
        <w:t>1名，</w:t>
      </w:r>
      <w:r>
        <w:rPr>
          <w:rFonts w:hint="eastAsia" w:ascii="仿宋_GB2312" w:hAnsi="仿宋_GB2312" w:eastAsia="仿宋_GB2312" w:cs="仿宋_GB2312"/>
          <w:b w:val="0"/>
          <w:i w:val="0"/>
          <w:caps w:val="0"/>
          <w:color w:val="000000"/>
          <w:spacing w:val="0"/>
          <w:sz w:val="32"/>
          <w:szCs w:val="32"/>
          <w:highlight w:val="none"/>
        </w:rPr>
        <w:t>信息公开领导小组成员分工明确，对政务信息公开工作的规范、有序推进提供了人员基础。</w:t>
      </w:r>
      <w:r>
        <w:rPr>
          <w:rStyle w:val="9"/>
          <w:rFonts w:hint="eastAsia" w:ascii="仿宋_GB2312" w:hAnsi="仿宋_GB2312" w:eastAsia="仿宋_GB2312" w:cs="仿宋_GB2312"/>
          <w:b/>
          <w:bCs w:val="0"/>
          <w:i w:val="0"/>
          <w:caps w:val="0"/>
          <w:color w:val="000000"/>
          <w:spacing w:val="0"/>
          <w:sz w:val="32"/>
          <w:szCs w:val="32"/>
          <w:highlight w:val="none"/>
          <w:lang w:val="en-US" w:eastAsia="zh-CN"/>
        </w:rPr>
        <w:t>二是规范制度建设。</w:t>
      </w:r>
      <w:r>
        <w:rPr>
          <w:rFonts w:hint="eastAsia" w:ascii="仿宋_GB2312" w:hAnsi="仿宋_GB2312" w:eastAsia="仿宋_GB2312" w:cs="仿宋_GB2312"/>
          <w:b w:val="0"/>
          <w:i w:val="0"/>
          <w:caps w:val="0"/>
          <w:color w:val="000000"/>
          <w:spacing w:val="0"/>
          <w:sz w:val="32"/>
          <w:szCs w:val="32"/>
          <w:highlight w:val="none"/>
          <w:lang w:val="en-US" w:eastAsia="zh-CN"/>
        </w:rPr>
        <w:t>我镇为了更好地为广大人民群众提供好信息公开服务，严格做好法规文件的公开管理，保证文件发布质量；按照重点工作推进情况及时做好信息发布，确保</w:t>
      </w:r>
      <w:r>
        <w:rPr>
          <w:rFonts w:hint="eastAsia" w:ascii="仿宋_GB2312" w:hAnsi="仿宋_GB2312" w:eastAsia="仿宋_GB2312" w:cs="仿宋_GB2312"/>
          <w:b w:val="0"/>
          <w:i w:val="0"/>
          <w:caps w:val="0"/>
          <w:color w:val="000000"/>
          <w:spacing w:val="0"/>
          <w:sz w:val="32"/>
          <w:szCs w:val="32"/>
          <w:highlight w:val="none"/>
          <w:lang w:val="en-US" w:eastAsia="zh-CN"/>
        </w:rPr>
        <w:t>及时公开。</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Autospacing="0" w:line="600" w:lineRule="exact"/>
        <w:ind w:left="0" w:leftChars="0" w:right="0" w:rightChars="0" w:firstLine="0" w:firstLineChars="0"/>
        <w:jc w:val="both"/>
        <w:textAlignment w:val="auto"/>
        <w:rPr>
          <w:rFonts w:hint="eastAsia" w:ascii="楷体" w:hAnsi="楷体" w:eastAsia="楷体"/>
          <w:color w:val="000000"/>
          <w:sz w:val="32"/>
          <w:szCs w:val="32"/>
        </w:rPr>
      </w:pPr>
      <w:r>
        <w:rPr>
          <w:rFonts w:hint="eastAsia" w:ascii="楷体" w:hAnsi="楷体" w:eastAsia="楷体"/>
          <w:color w:val="000000"/>
          <w:sz w:val="32"/>
          <w:szCs w:val="32"/>
        </w:rPr>
        <w:t>政府信息公开平台建设情况。</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600" w:lineRule="exact"/>
        <w:ind w:right="0" w:rightChars="0" w:firstLine="640" w:firstLineChars="200"/>
        <w:jc w:val="both"/>
        <w:textAlignment w:val="auto"/>
        <w:rPr>
          <w:rFonts w:hint="eastAsia" w:ascii="楷体" w:hAnsi="楷体" w:eastAsia="楷体"/>
          <w:color w:val="000000"/>
          <w:sz w:val="32"/>
          <w:szCs w:val="32"/>
          <w:lang w:eastAsia="zh-CN"/>
        </w:rPr>
      </w:pPr>
      <w:r>
        <w:rPr>
          <w:rFonts w:hint="eastAsia" w:ascii="仿宋_GB2312" w:hAnsi="仿宋_GB2312" w:eastAsia="仿宋_GB2312" w:cs="仿宋_GB2312"/>
          <w:b w:val="0"/>
          <w:i w:val="0"/>
          <w:caps w:val="0"/>
          <w:color w:val="000000"/>
          <w:spacing w:val="0"/>
          <w:sz w:val="32"/>
          <w:szCs w:val="32"/>
          <w:highlight w:val="none"/>
          <w:lang w:val="en-US" w:eastAsia="zh-CN"/>
        </w:rPr>
        <w:t>皇城镇人民政府信息公开载体为临淄区人民政府网站，运行状况良好。且根据临淄区人民政府办公室的要求，我镇的信息在政府信息公开平台（</w:t>
      </w:r>
      <w:r>
        <w:rPr>
          <w:rFonts w:hint="eastAsia" w:ascii="仿宋_GB2312" w:hAnsi="仿宋_GB2312" w:eastAsia="仿宋_GB2312" w:cs="仿宋_GB2312"/>
          <w:b w:val="0"/>
          <w:i w:val="0"/>
          <w:caps w:val="0"/>
          <w:color w:val="000000"/>
          <w:spacing w:val="0"/>
          <w:sz w:val="32"/>
          <w:szCs w:val="32"/>
          <w:highlight w:val="none"/>
        </w:rPr>
        <w:t>http://www.linzi.gov.cn/gongkai/site_lzqhczrmzf</w:t>
      </w:r>
      <w:r>
        <w:rPr>
          <w:rFonts w:hint="eastAsia" w:ascii="仿宋_GB2312" w:hAnsi="仿宋_GB2312" w:eastAsia="仿宋_GB2312" w:cs="仿宋_GB2312"/>
          <w:b w:val="0"/>
          <w:i w:val="0"/>
          <w:caps w:val="0"/>
          <w:color w:val="000000"/>
          <w:spacing w:val="0"/>
          <w:sz w:val="32"/>
          <w:szCs w:val="32"/>
          <w:highlight w:val="none"/>
          <w:lang w:val="en-US" w:eastAsia="zh-CN"/>
        </w:rPr>
        <w:t>），上公开。</w:t>
      </w:r>
      <w:r>
        <w:rPr>
          <w:rFonts w:hint="eastAsia" w:ascii="仿宋_GB2312" w:hAnsi="仿宋_GB2312" w:eastAsia="仿宋_GB2312" w:cs="仿宋_GB2312"/>
          <w:b w:val="0"/>
          <w:i w:val="0"/>
          <w:caps w:val="0"/>
          <w:color w:val="000000"/>
          <w:spacing w:val="0"/>
          <w:sz w:val="32"/>
          <w:szCs w:val="32"/>
          <w:highlight w:val="none"/>
        </w:rPr>
        <w:t>为扩大信息群众知晓度，我镇还采取传统媒体与新媒体相结合的方式，将镇域重点工作及时在微信公众号上公开，紧急信息采取广播与微信公众号同时传播的方式，</w:t>
      </w:r>
      <w:r>
        <w:rPr>
          <w:rFonts w:hint="eastAsia" w:ascii="仿宋_GB2312" w:hAnsi="仿宋_GB2312" w:eastAsia="仿宋_GB2312" w:cs="仿宋_GB2312"/>
          <w:b w:val="0"/>
          <w:i w:val="0"/>
          <w:caps w:val="0"/>
          <w:color w:val="000000"/>
          <w:spacing w:val="0"/>
          <w:sz w:val="32"/>
          <w:szCs w:val="32"/>
          <w:highlight w:val="none"/>
          <w:lang w:val="en-US" w:eastAsia="zh-CN"/>
        </w:rPr>
        <w:t>同时利用微信视频号进行宣传，</w:t>
      </w:r>
      <w:r>
        <w:rPr>
          <w:rFonts w:hint="eastAsia" w:ascii="仿宋_GB2312" w:hAnsi="仿宋_GB2312" w:eastAsia="仿宋_GB2312" w:cs="仿宋_GB2312"/>
          <w:b w:val="0"/>
          <w:i w:val="0"/>
          <w:caps w:val="0"/>
          <w:color w:val="000000"/>
          <w:spacing w:val="0"/>
          <w:sz w:val="32"/>
          <w:szCs w:val="32"/>
          <w:highlight w:val="none"/>
        </w:rPr>
        <w:t>为信息及时、全面传达提供了方便。</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600" w:lineRule="exact"/>
        <w:ind w:right="0" w:rightChars="0"/>
        <w:jc w:val="both"/>
        <w:textAlignment w:val="auto"/>
        <w:rPr>
          <w:rFonts w:hint="eastAsia" w:ascii="仿宋_GB2312" w:hAnsi="仿宋_GB2312" w:eastAsia="仿宋_GB2312" w:cs="仿宋_GB2312"/>
          <w:b w:val="0"/>
          <w:i w:val="0"/>
          <w:caps w:val="0"/>
          <w:color w:val="000000"/>
          <w:spacing w:val="0"/>
          <w:sz w:val="32"/>
          <w:szCs w:val="32"/>
          <w:highlight w:val="yellow"/>
          <w:lang w:eastAsia="zh-CN"/>
        </w:rPr>
      </w:pPr>
      <w:r>
        <w:rPr>
          <w:rFonts w:hint="eastAsia" w:ascii="楷体" w:hAnsi="楷体" w:eastAsia="楷体"/>
          <w:color w:val="000000"/>
          <w:sz w:val="32"/>
          <w:szCs w:val="32"/>
        </w:rPr>
        <w:t>（五）政府信息公开监督保障情况。</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600" w:lineRule="exact"/>
        <w:ind w:leftChars="200" w:right="0" w:rightChars="0" w:firstLine="640" w:firstLineChars="200"/>
        <w:jc w:val="both"/>
        <w:textAlignment w:val="auto"/>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我镇及时调整了政府信息公开工作领导小组</w:t>
      </w:r>
      <w:r>
        <w:rPr>
          <w:rFonts w:hint="eastAsia" w:ascii="仿宋_GB2312" w:hAnsi="仿宋_GB2312" w:eastAsia="仿宋_GB2312" w:cs="仿宋_GB2312"/>
          <w:i w:val="0"/>
          <w:iCs w:val="0"/>
          <w:caps w:val="0"/>
          <w:color w:val="000000" w:themeColor="text1"/>
          <w:spacing w:val="0"/>
          <w:sz w:val="32"/>
          <w:szCs w:val="32"/>
          <w:shd w:val="clear" w:color="auto" w:fill="auto"/>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自觉接受监督，接受临淄区政府办的监督与指导；为保障政府信息公开工作有序推进，</w:t>
      </w:r>
      <w:r>
        <w:rPr>
          <w:rFonts w:hint="eastAsia" w:ascii="仿宋_GB2312" w:hAnsi="仿宋_GB2312"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我镇工作人员参加政务公开培训会2次以上，通过培训明确职责，提高能力，</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及时更新机构职能等相关信息，确保监督保障渠道畅通。</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600" w:lineRule="exact"/>
        <w:ind w:leftChars="200" w:right="0" w:rightChars="0" w:firstLine="640" w:firstLineChars="200"/>
        <w:jc w:val="both"/>
        <w:textAlignment w:val="auto"/>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600" w:lineRule="exact"/>
        <w:ind w:leftChars="200" w:right="0" w:rightChars="0" w:firstLine="640" w:firstLineChars="200"/>
        <w:jc w:val="both"/>
        <w:textAlignment w:val="auto"/>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pP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黑体" w:cs="Times New Roman"/>
          <w:color w:val="222222"/>
          <w:sz w:val="32"/>
          <w:szCs w:val="32"/>
          <w:highlight w:val="none"/>
        </w:rPr>
      </w:pPr>
      <w:r>
        <w:rPr>
          <w:rFonts w:hint="default" w:ascii="Times New Roman" w:hAnsi="Times New Roman" w:eastAsia="黑体" w:cs="Times New Roman"/>
          <w:color w:val="222222"/>
          <w:sz w:val="32"/>
          <w:szCs w:val="32"/>
          <w:highlight w:val="none"/>
        </w:rPr>
        <w:t>主动公开政府信息情况</w:t>
      </w:r>
    </w:p>
    <w:tbl>
      <w:tblPr>
        <w:tblStyle w:val="11"/>
        <w:tblW w:w="8124" w:type="dxa"/>
        <w:tblInd w:w="106" w:type="dxa"/>
        <w:tblLayout w:type="fixed"/>
        <w:tblCellMar>
          <w:top w:w="0" w:type="dxa"/>
          <w:left w:w="0" w:type="dxa"/>
          <w:bottom w:w="0" w:type="dxa"/>
          <w:right w:w="0" w:type="dxa"/>
        </w:tblCellMar>
      </w:tblPr>
      <w:tblGrid>
        <w:gridCol w:w="3284"/>
        <w:gridCol w:w="1686"/>
        <w:gridCol w:w="1803"/>
        <w:gridCol w:w="1351"/>
      </w:tblGrid>
      <w:tr>
        <w:tblPrEx>
          <w:tblCellMar>
            <w:top w:w="0" w:type="dxa"/>
            <w:left w:w="0" w:type="dxa"/>
            <w:bottom w:w="0" w:type="dxa"/>
            <w:right w:w="0" w:type="dxa"/>
          </w:tblCellMar>
        </w:tblPrEx>
        <w:trPr>
          <w:trHeight w:val="621" w:hRule="exact"/>
        </w:trPr>
        <w:tc>
          <w:tcPr>
            <w:tcW w:w="8124" w:type="dxa"/>
            <w:gridSpan w:val="4"/>
            <w:tcBorders>
              <w:top w:val="single" w:color="2B283F" w:sz="8" w:space="0"/>
              <w:left w:val="single" w:color="3B3B44" w:sz="6" w:space="0"/>
              <w:bottom w:val="single" w:color="64647C" w:sz="4" w:space="0"/>
              <w:right w:val="single" w:color="3B3B44" w:sz="8" w:space="0"/>
            </w:tcBorders>
          </w:tcPr>
          <w:p>
            <w:pPr>
              <w:keepNext w:val="0"/>
              <w:keepLines w:val="0"/>
              <w:pageBreakBefore w:val="0"/>
              <w:widowControl w:val="0"/>
              <w:tabs>
                <w:tab w:val="left" w:pos="1048"/>
              </w:tabs>
              <w:kinsoku/>
              <w:wordWrap/>
              <w:overflowPunct/>
              <w:topLinePunct w:val="0"/>
              <w:autoSpaceDE/>
              <w:autoSpaceDN/>
              <w:bidi w:val="0"/>
              <w:adjustRightInd/>
              <w:snapToGrid/>
              <w:spacing w:before="142" w:afterAutospacing="0" w:line="520" w:lineRule="exact"/>
              <w:ind w:left="-1" w:right="1"/>
              <w:jc w:val="center"/>
              <w:textAlignment w:val="auto"/>
              <w:rPr>
                <w:rFonts w:hint="default" w:ascii="Times New Roman" w:hAnsi="Times New Roman" w:cs="Times New Roman"/>
                <w:sz w:val="21"/>
                <w:lang w:eastAsia="zh-CN"/>
              </w:rPr>
            </w:pPr>
            <w:r>
              <w:rPr>
                <w:rFonts w:hint="default" w:ascii="Times New Roman" w:hAnsi="Times New Roman" w:cs="Times New Roman"/>
                <w:sz w:val="21"/>
                <w:lang w:eastAsia="zh-CN"/>
              </w:rPr>
              <w:t>第二十条</w:t>
            </w:r>
            <w:r>
              <w:rPr>
                <w:rFonts w:hint="default" w:ascii="Times New Roman" w:hAnsi="Times New Roman" w:cs="Times New Roman"/>
                <w:sz w:val="21"/>
                <w:lang w:eastAsia="zh-CN"/>
              </w:rPr>
              <w:tab/>
            </w:r>
            <w:r>
              <w:rPr>
                <w:rFonts w:hint="default" w:ascii="Times New Roman" w:hAnsi="Times New Roman" w:cs="Times New Roman"/>
                <w:sz w:val="21"/>
                <w:lang w:eastAsia="zh-CN"/>
              </w:rPr>
              <w:t>第 （一） 项</w:t>
            </w:r>
          </w:p>
        </w:tc>
      </w:tr>
      <w:tr>
        <w:tblPrEx>
          <w:tblCellMar>
            <w:top w:w="0" w:type="dxa"/>
            <w:left w:w="0" w:type="dxa"/>
            <w:bottom w:w="0" w:type="dxa"/>
            <w:right w:w="0" w:type="dxa"/>
          </w:tblCellMar>
        </w:tblPrEx>
        <w:trPr>
          <w:trHeight w:val="616" w:hRule="exact"/>
        </w:trPr>
        <w:tc>
          <w:tcPr>
            <w:tcW w:w="3284" w:type="dxa"/>
            <w:tcBorders>
              <w:top w:val="single" w:color="64647C" w:sz="4" w:space="0"/>
              <w:left w:val="single" w:color="3B3B44" w:sz="6" w:space="0"/>
              <w:bottom w:val="single" w:color="707790" w:sz="4" w:space="0"/>
              <w:right w:val="single" w:color="7C7C83" w:sz="4" w:space="0"/>
            </w:tcBorders>
          </w:tcPr>
          <w:p>
            <w:pPr>
              <w:keepNext w:val="0"/>
              <w:keepLines w:val="0"/>
              <w:pageBreakBefore w:val="0"/>
              <w:widowControl w:val="0"/>
              <w:kinsoku/>
              <w:wordWrap/>
              <w:overflowPunct/>
              <w:topLinePunct w:val="0"/>
              <w:autoSpaceDE/>
              <w:autoSpaceDN/>
              <w:bidi w:val="0"/>
              <w:adjustRightInd/>
              <w:snapToGrid/>
              <w:spacing w:before="135" w:afterAutospacing="0" w:line="520" w:lineRule="exact"/>
              <w:ind w:right="27"/>
              <w:jc w:val="center"/>
              <w:textAlignment w:val="auto"/>
              <w:rPr>
                <w:rFonts w:hint="default" w:ascii="Times New Roman" w:hAnsi="Times New Roman" w:cs="Times New Roman"/>
                <w:sz w:val="21"/>
                <w:lang w:eastAsia="zh-CN"/>
              </w:rPr>
            </w:pPr>
            <w:r>
              <w:rPr>
                <w:rFonts w:hint="default" w:ascii="Times New Roman" w:hAnsi="Times New Roman" w:cs="Times New Roman"/>
                <w:sz w:val="21"/>
                <w:lang w:eastAsia="zh-CN"/>
              </w:rPr>
              <w:t>信息内容</w:t>
            </w:r>
          </w:p>
        </w:tc>
        <w:tc>
          <w:tcPr>
            <w:tcW w:w="1686" w:type="dxa"/>
            <w:tcBorders>
              <w:top w:val="single" w:color="64647C" w:sz="4" w:space="0"/>
              <w:left w:val="single" w:color="7C7C83" w:sz="4" w:space="0"/>
              <w:bottom w:val="single" w:color="707790" w:sz="4" w:space="0"/>
              <w:right w:val="single" w:color="777780" w:sz="4" w:space="0"/>
            </w:tcBorders>
          </w:tcPr>
          <w:p>
            <w:pPr>
              <w:keepNext w:val="0"/>
              <w:keepLines w:val="0"/>
              <w:pageBreakBefore w:val="0"/>
              <w:widowControl w:val="0"/>
              <w:kinsoku/>
              <w:wordWrap/>
              <w:overflowPunct/>
              <w:topLinePunct w:val="0"/>
              <w:autoSpaceDE/>
              <w:autoSpaceDN/>
              <w:bidi w:val="0"/>
              <w:adjustRightInd/>
              <w:snapToGrid/>
              <w:spacing w:before="135" w:afterAutospacing="0" w:line="520" w:lineRule="exact"/>
              <w:ind w:left="216"/>
              <w:jc w:val="center"/>
              <w:textAlignment w:val="auto"/>
              <w:rPr>
                <w:rFonts w:hint="default" w:ascii="Times New Roman" w:hAnsi="Times New Roman" w:cs="Times New Roman"/>
                <w:sz w:val="21"/>
                <w:lang w:eastAsia="zh-CN"/>
              </w:rPr>
            </w:pPr>
            <w:r>
              <w:rPr>
                <w:rFonts w:hint="default" w:ascii="Times New Roman" w:hAnsi="Times New Roman" w:cs="Times New Roman"/>
                <w:sz w:val="21"/>
                <w:lang w:eastAsia="zh-CN"/>
              </w:rPr>
              <w:t>本年制发件数</w:t>
            </w:r>
          </w:p>
        </w:tc>
        <w:tc>
          <w:tcPr>
            <w:tcW w:w="1803" w:type="dxa"/>
            <w:tcBorders>
              <w:top w:val="single" w:color="64647C" w:sz="4" w:space="0"/>
              <w:left w:val="single" w:color="777780" w:sz="4" w:space="0"/>
              <w:bottom w:val="single" w:color="835B67" w:sz="4" w:space="0"/>
              <w:right w:val="single" w:color="606064" w:sz="2" w:space="0"/>
            </w:tcBorders>
          </w:tcPr>
          <w:p>
            <w:pPr>
              <w:keepNext w:val="0"/>
              <w:keepLines w:val="0"/>
              <w:pageBreakBefore w:val="0"/>
              <w:widowControl w:val="0"/>
              <w:kinsoku/>
              <w:wordWrap/>
              <w:overflowPunct/>
              <w:topLinePunct w:val="0"/>
              <w:autoSpaceDE/>
              <w:autoSpaceDN/>
              <w:bidi w:val="0"/>
              <w:adjustRightInd/>
              <w:snapToGrid/>
              <w:spacing w:before="135" w:afterAutospacing="0" w:line="520" w:lineRule="exact"/>
              <w:ind w:left="275"/>
              <w:jc w:val="center"/>
              <w:textAlignment w:val="auto"/>
              <w:rPr>
                <w:rFonts w:hint="default" w:ascii="Times New Roman" w:hAnsi="Times New Roman" w:cs="Times New Roman"/>
                <w:sz w:val="21"/>
                <w:lang w:eastAsia="zh-CN"/>
              </w:rPr>
            </w:pPr>
            <w:r>
              <w:rPr>
                <w:rFonts w:hint="default" w:ascii="Times New Roman" w:hAnsi="Times New Roman" w:cs="Times New Roman"/>
                <w:sz w:val="21"/>
                <w:lang w:eastAsia="zh-CN"/>
              </w:rPr>
              <w:t>本年废止件数</w:t>
            </w:r>
          </w:p>
        </w:tc>
        <w:tc>
          <w:tcPr>
            <w:tcW w:w="1351" w:type="dxa"/>
            <w:tcBorders>
              <w:top w:val="single" w:color="64647C" w:sz="4" w:space="0"/>
              <w:left w:val="single" w:color="606064" w:sz="2" w:space="0"/>
              <w:bottom w:val="single" w:color="835B67" w:sz="4" w:space="0"/>
              <w:right w:val="single" w:color="3B3B44" w:sz="8" w:space="0"/>
            </w:tcBorders>
          </w:tcPr>
          <w:p>
            <w:pPr>
              <w:keepNext w:val="0"/>
              <w:keepLines w:val="0"/>
              <w:pageBreakBefore w:val="0"/>
              <w:widowControl w:val="0"/>
              <w:kinsoku/>
              <w:wordWrap/>
              <w:overflowPunct/>
              <w:topLinePunct w:val="0"/>
              <w:autoSpaceDE/>
              <w:autoSpaceDN/>
              <w:bidi w:val="0"/>
              <w:adjustRightInd/>
              <w:snapToGrid/>
              <w:spacing w:before="130" w:afterAutospacing="0" w:line="520" w:lineRule="exact"/>
              <w:jc w:val="center"/>
              <w:textAlignment w:val="auto"/>
              <w:rPr>
                <w:rFonts w:hint="default" w:ascii="Times New Roman" w:hAnsi="Times New Roman" w:cs="Times New Roman"/>
                <w:sz w:val="21"/>
                <w:lang w:eastAsia="zh-CN"/>
              </w:rPr>
            </w:pPr>
            <w:r>
              <w:rPr>
                <w:rFonts w:hint="default" w:ascii="Times New Roman" w:hAnsi="Times New Roman" w:cs="Times New Roman"/>
                <w:sz w:val="21"/>
                <w:lang w:eastAsia="zh-CN"/>
              </w:rPr>
              <w:t>现行有效件数</w:t>
            </w:r>
          </w:p>
        </w:tc>
      </w:tr>
      <w:tr>
        <w:tblPrEx>
          <w:tblCellMar>
            <w:top w:w="0" w:type="dxa"/>
            <w:left w:w="0" w:type="dxa"/>
            <w:bottom w:w="0" w:type="dxa"/>
            <w:right w:w="0" w:type="dxa"/>
          </w:tblCellMar>
        </w:tblPrEx>
        <w:trPr>
          <w:trHeight w:val="628" w:hRule="exact"/>
        </w:trPr>
        <w:tc>
          <w:tcPr>
            <w:tcW w:w="3284" w:type="dxa"/>
            <w:tcBorders>
              <w:top w:val="single" w:color="707790" w:sz="4" w:space="0"/>
              <w:left w:val="single" w:color="3B3B44" w:sz="6" w:space="0"/>
              <w:bottom w:val="single" w:color="747487" w:sz="4" w:space="0"/>
              <w:right w:val="single" w:color="97979C" w:sz="4" w:space="0"/>
            </w:tcBorders>
          </w:tcPr>
          <w:p>
            <w:pPr>
              <w:keepNext w:val="0"/>
              <w:keepLines w:val="0"/>
              <w:pageBreakBefore w:val="0"/>
              <w:widowControl w:val="0"/>
              <w:kinsoku/>
              <w:wordWrap/>
              <w:overflowPunct/>
              <w:topLinePunct w:val="0"/>
              <w:autoSpaceDE/>
              <w:autoSpaceDN/>
              <w:bidi w:val="0"/>
              <w:adjustRightInd/>
              <w:snapToGrid/>
              <w:spacing w:before="147" w:afterAutospacing="0" w:line="520" w:lineRule="exact"/>
              <w:ind w:left="93"/>
              <w:jc w:val="center"/>
              <w:textAlignment w:val="auto"/>
              <w:rPr>
                <w:rFonts w:hint="default" w:ascii="Times New Roman" w:hAnsi="Times New Roman" w:cs="Times New Roman"/>
                <w:sz w:val="21"/>
                <w:lang w:eastAsia="zh-CN"/>
              </w:rPr>
            </w:pPr>
            <w:r>
              <w:rPr>
                <w:rFonts w:hint="default" w:ascii="Times New Roman" w:hAnsi="Times New Roman" w:cs="Times New Roman"/>
                <w:sz w:val="21"/>
                <w:lang w:eastAsia="zh-CN"/>
              </w:rPr>
              <w:t>规章</w:t>
            </w:r>
          </w:p>
        </w:tc>
        <w:tc>
          <w:tcPr>
            <w:tcW w:w="1686" w:type="dxa"/>
            <w:tcBorders>
              <w:top w:val="single" w:color="707790" w:sz="4" w:space="0"/>
              <w:left w:val="single" w:color="97979C" w:sz="4" w:space="0"/>
              <w:bottom w:val="single" w:color="747487" w:sz="4" w:space="0"/>
              <w:right w:val="single" w:color="939397" w:sz="4" w:space="0"/>
            </w:tcBorders>
            <w:vAlign w:val="center"/>
          </w:tcPr>
          <w:p>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1803" w:type="dxa"/>
            <w:tcBorders>
              <w:top w:val="single" w:color="835B67" w:sz="4" w:space="0"/>
              <w:left w:val="single" w:color="939397" w:sz="4" w:space="0"/>
              <w:bottom w:val="single" w:color="546080" w:sz="2" w:space="0"/>
              <w:right w:val="single" w:color="97939C" w:sz="4" w:space="0"/>
            </w:tcBorders>
            <w:vAlign w:val="center"/>
          </w:tcPr>
          <w:p>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1351" w:type="dxa"/>
            <w:tcBorders>
              <w:top w:val="single" w:color="835B67" w:sz="4" w:space="0"/>
              <w:left w:val="single" w:color="97939C" w:sz="4" w:space="0"/>
              <w:bottom w:val="single" w:color="74778C" w:sz="4" w:space="0"/>
              <w:right w:val="single" w:color="3B3B3F" w:sz="8" w:space="0"/>
            </w:tcBorders>
            <w:vAlign w:val="center"/>
          </w:tcPr>
          <w:p>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CellMar>
            <w:top w:w="0" w:type="dxa"/>
            <w:left w:w="0" w:type="dxa"/>
            <w:bottom w:w="0" w:type="dxa"/>
            <w:right w:w="0" w:type="dxa"/>
          </w:tblCellMar>
        </w:tblPrEx>
        <w:trPr>
          <w:trHeight w:val="621" w:hRule="exact"/>
        </w:trPr>
        <w:tc>
          <w:tcPr>
            <w:tcW w:w="3284" w:type="dxa"/>
            <w:tcBorders>
              <w:top w:val="single" w:color="747487" w:sz="4" w:space="0"/>
              <w:left w:val="single" w:color="3B3B44" w:sz="6" w:space="0"/>
              <w:bottom w:val="single" w:color="5B6080" w:sz="4" w:space="0"/>
              <w:right w:val="single" w:color="97979C" w:sz="4" w:space="0"/>
            </w:tcBorders>
          </w:tcPr>
          <w:p>
            <w:pPr>
              <w:keepNext w:val="0"/>
              <w:keepLines w:val="0"/>
              <w:pageBreakBefore w:val="0"/>
              <w:widowControl w:val="0"/>
              <w:kinsoku/>
              <w:wordWrap/>
              <w:overflowPunct/>
              <w:topLinePunct w:val="0"/>
              <w:autoSpaceDE/>
              <w:autoSpaceDN/>
              <w:bidi w:val="0"/>
              <w:adjustRightInd/>
              <w:snapToGrid/>
              <w:spacing w:before="138" w:afterAutospacing="0" w:line="520" w:lineRule="exact"/>
              <w:ind w:left="93"/>
              <w:jc w:val="center"/>
              <w:textAlignment w:val="auto"/>
              <w:rPr>
                <w:rFonts w:hint="default" w:ascii="Times New Roman" w:hAnsi="Times New Roman" w:cs="Times New Roman"/>
                <w:sz w:val="21"/>
                <w:lang w:eastAsia="zh-CN"/>
              </w:rPr>
            </w:pPr>
            <w:r>
              <w:rPr>
                <w:rFonts w:hint="default" w:ascii="Times New Roman" w:hAnsi="Times New Roman" w:cs="Times New Roman"/>
                <w:sz w:val="21"/>
                <w:lang w:eastAsia="zh-CN"/>
              </w:rPr>
              <w:t>行政规范性文件</w:t>
            </w:r>
          </w:p>
        </w:tc>
        <w:tc>
          <w:tcPr>
            <w:tcW w:w="1686" w:type="dxa"/>
            <w:tcBorders>
              <w:top w:val="single" w:color="747487" w:sz="4" w:space="0"/>
              <w:left w:val="single" w:color="97979C" w:sz="4" w:space="0"/>
              <w:bottom w:val="single" w:color="5B6080" w:sz="4" w:space="0"/>
              <w:right w:val="single" w:color="939397" w:sz="4" w:space="0"/>
            </w:tcBorders>
            <w:vAlign w:val="center"/>
          </w:tcPr>
          <w:p>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1803" w:type="dxa"/>
            <w:tcBorders>
              <w:top w:val="single" w:color="546080" w:sz="2" w:space="0"/>
              <w:left w:val="single" w:color="939397" w:sz="4" w:space="0"/>
              <w:bottom w:val="single" w:color="5B6080" w:sz="4" w:space="0"/>
              <w:right w:val="single" w:color="97939C" w:sz="4" w:space="0"/>
            </w:tcBorders>
            <w:vAlign w:val="center"/>
          </w:tcPr>
          <w:p>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1351" w:type="dxa"/>
            <w:tcBorders>
              <w:top w:val="single" w:color="74778C" w:sz="4" w:space="0"/>
              <w:left w:val="single" w:color="97939C" w:sz="4" w:space="0"/>
              <w:bottom w:val="single" w:color="5B6080" w:sz="4" w:space="0"/>
              <w:right w:val="single" w:color="3B3B3F" w:sz="8" w:space="0"/>
            </w:tcBorders>
            <w:vAlign w:val="center"/>
          </w:tcPr>
          <w:p>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CellMar>
            <w:top w:w="0" w:type="dxa"/>
            <w:left w:w="0" w:type="dxa"/>
            <w:bottom w:w="0" w:type="dxa"/>
            <w:right w:w="0" w:type="dxa"/>
          </w:tblCellMar>
        </w:tblPrEx>
        <w:trPr>
          <w:trHeight w:val="621" w:hRule="exact"/>
        </w:trPr>
        <w:tc>
          <w:tcPr>
            <w:tcW w:w="8124" w:type="dxa"/>
            <w:gridSpan w:val="4"/>
            <w:tcBorders>
              <w:top w:val="single" w:color="5B6080" w:sz="4" w:space="0"/>
              <w:left w:val="single" w:color="3B3B44" w:sz="6" w:space="0"/>
              <w:bottom w:val="single" w:color="646B80" w:sz="4" w:space="0"/>
              <w:right w:val="single" w:color="3B3B3F" w:sz="8" w:space="0"/>
            </w:tcBorders>
          </w:tcPr>
          <w:p>
            <w:pPr>
              <w:keepNext w:val="0"/>
              <w:keepLines w:val="0"/>
              <w:pageBreakBefore w:val="0"/>
              <w:widowControl w:val="0"/>
              <w:tabs>
                <w:tab w:val="left" w:pos="1049"/>
              </w:tabs>
              <w:kinsoku/>
              <w:wordWrap/>
              <w:overflowPunct/>
              <w:topLinePunct w:val="0"/>
              <w:autoSpaceDE/>
              <w:autoSpaceDN/>
              <w:bidi w:val="0"/>
              <w:adjustRightInd/>
              <w:snapToGrid/>
              <w:spacing w:before="140" w:afterAutospacing="0" w:line="520" w:lineRule="exact"/>
              <w:ind w:left="5"/>
              <w:jc w:val="center"/>
              <w:textAlignment w:val="auto"/>
              <w:rPr>
                <w:rFonts w:hint="default" w:ascii="Times New Roman" w:hAnsi="Times New Roman" w:cs="Times New Roman"/>
                <w:sz w:val="21"/>
                <w:lang w:eastAsia="zh-CN"/>
              </w:rPr>
            </w:pPr>
            <w:r>
              <w:rPr>
                <w:rFonts w:hint="default" w:ascii="Times New Roman" w:hAnsi="Times New Roman" w:cs="Times New Roman"/>
                <w:sz w:val="21"/>
                <w:lang w:eastAsia="zh-CN"/>
              </w:rPr>
              <w:t>第二十条</w:t>
            </w:r>
            <w:r>
              <w:rPr>
                <w:rFonts w:hint="default" w:ascii="Times New Roman" w:hAnsi="Times New Roman" w:cs="Times New Roman"/>
                <w:sz w:val="21"/>
                <w:lang w:eastAsia="zh-CN"/>
              </w:rPr>
              <w:tab/>
            </w:r>
            <w:r>
              <w:rPr>
                <w:rFonts w:hint="default" w:ascii="Times New Roman" w:hAnsi="Times New Roman" w:cs="Times New Roman"/>
                <w:sz w:val="21"/>
                <w:lang w:eastAsia="zh-CN"/>
              </w:rPr>
              <w:t>第 （五） 项</w:t>
            </w:r>
          </w:p>
        </w:tc>
      </w:tr>
      <w:tr>
        <w:tblPrEx>
          <w:tblCellMar>
            <w:top w:w="0" w:type="dxa"/>
            <w:left w:w="0" w:type="dxa"/>
            <w:bottom w:w="0" w:type="dxa"/>
            <w:right w:w="0" w:type="dxa"/>
          </w:tblCellMar>
        </w:tblPrEx>
        <w:trPr>
          <w:trHeight w:val="621" w:hRule="exact"/>
        </w:trPr>
        <w:tc>
          <w:tcPr>
            <w:tcW w:w="3284" w:type="dxa"/>
            <w:tcBorders>
              <w:top w:val="single" w:color="646B80" w:sz="4" w:space="0"/>
              <w:left w:val="single" w:color="3B3B44" w:sz="6" w:space="0"/>
              <w:bottom w:val="single" w:color="80676B" w:sz="4" w:space="0"/>
              <w:right w:val="single" w:color="878787" w:sz="4" w:space="0"/>
            </w:tcBorders>
          </w:tcPr>
          <w:p>
            <w:pPr>
              <w:keepNext w:val="0"/>
              <w:keepLines w:val="0"/>
              <w:pageBreakBefore w:val="0"/>
              <w:widowControl w:val="0"/>
              <w:kinsoku/>
              <w:wordWrap/>
              <w:overflowPunct/>
              <w:topLinePunct w:val="0"/>
              <w:autoSpaceDE/>
              <w:autoSpaceDN/>
              <w:bidi w:val="0"/>
              <w:adjustRightInd/>
              <w:snapToGrid/>
              <w:spacing w:before="138" w:afterAutospacing="0" w:line="520" w:lineRule="exact"/>
              <w:ind w:right="17"/>
              <w:jc w:val="center"/>
              <w:textAlignment w:val="auto"/>
              <w:rPr>
                <w:rFonts w:hint="default" w:ascii="Times New Roman" w:hAnsi="Times New Roman" w:cs="Times New Roman"/>
                <w:sz w:val="21"/>
                <w:lang w:eastAsia="zh-CN"/>
              </w:rPr>
            </w:pPr>
            <w:r>
              <w:rPr>
                <w:rFonts w:hint="default" w:ascii="Times New Roman" w:hAnsi="Times New Roman" w:cs="Times New Roman"/>
                <w:sz w:val="21"/>
                <w:lang w:eastAsia="zh-CN"/>
              </w:rPr>
              <w:t>信息内容</w:t>
            </w:r>
          </w:p>
        </w:tc>
        <w:tc>
          <w:tcPr>
            <w:tcW w:w="4840" w:type="dxa"/>
            <w:gridSpan w:val="3"/>
            <w:tcBorders>
              <w:top w:val="single" w:color="646B80" w:sz="4" w:space="0"/>
              <w:left w:val="single" w:color="878787" w:sz="4" w:space="0"/>
              <w:bottom w:val="single" w:color="7C7474" w:sz="4" w:space="0"/>
              <w:right w:val="single" w:color="3B3B3F" w:sz="8" w:space="0"/>
            </w:tcBorders>
          </w:tcPr>
          <w:p>
            <w:pPr>
              <w:keepNext w:val="0"/>
              <w:keepLines w:val="0"/>
              <w:pageBreakBefore w:val="0"/>
              <w:widowControl w:val="0"/>
              <w:kinsoku/>
              <w:wordWrap/>
              <w:overflowPunct/>
              <w:topLinePunct w:val="0"/>
              <w:autoSpaceDE/>
              <w:autoSpaceDN/>
              <w:bidi w:val="0"/>
              <w:adjustRightInd/>
              <w:snapToGrid/>
              <w:spacing w:before="142" w:afterAutospacing="0" w:line="520" w:lineRule="exact"/>
              <w:ind w:right="16"/>
              <w:jc w:val="center"/>
              <w:textAlignment w:val="auto"/>
              <w:rPr>
                <w:rFonts w:hint="default" w:ascii="Times New Roman" w:hAnsi="Times New Roman" w:cs="Times New Roman"/>
                <w:sz w:val="21"/>
                <w:lang w:eastAsia="zh-CN"/>
              </w:rPr>
            </w:pPr>
            <w:r>
              <w:rPr>
                <w:rFonts w:hint="default" w:ascii="Times New Roman" w:hAnsi="Times New Roman" w:cs="Times New Roman"/>
                <w:sz w:val="21"/>
                <w:lang w:eastAsia="zh-CN"/>
              </w:rPr>
              <w:t>本年处理决定数量</w:t>
            </w:r>
          </w:p>
        </w:tc>
      </w:tr>
      <w:tr>
        <w:tblPrEx>
          <w:tblCellMar>
            <w:top w:w="0" w:type="dxa"/>
            <w:left w:w="0" w:type="dxa"/>
            <w:bottom w:w="0" w:type="dxa"/>
            <w:right w:w="0" w:type="dxa"/>
          </w:tblCellMar>
        </w:tblPrEx>
        <w:trPr>
          <w:trHeight w:val="621" w:hRule="exact"/>
        </w:trPr>
        <w:tc>
          <w:tcPr>
            <w:tcW w:w="3284" w:type="dxa"/>
            <w:tcBorders>
              <w:top w:val="single" w:color="80676B" w:sz="4" w:space="0"/>
              <w:left w:val="single" w:color="3B3B44" w:sz="6" w:space="0"/>
              <w:bottom w:val="single" w:color="646487" w:sz="4" w:space="0"/>
              <w:right w:val="single" w:color="878787" w:sz="4" w:space="0"/>
            </w:tcBorders>
          </w:tcPr>
          <w:p>
            <w:pPr>
              <w:keepNext w:val="0"/>
              <w:keepLines w:val="0"/>
              <w:pageBreakBefore w:val="0"/>
              <w:widowControl w:val="0"/>
              <w:kinsoku/>
              <w:wordWrap/>
              <w:overflowPunct/>
              <w:topLinePunct w:val="0"/>
              <w:autoSpaceDE/>
              <w:autoSpaceDN/>
              <w:bidi w:val="0"/>
              <w:adjustRightInd/>
              <w:snapToGrid/>
              <w:spacing w:before="140" w:afterAutospacing="0" w:line="520" w:lineRule="exact"/>
              <w:ind w:left="98"/>
              <w:jc w:val="center"/>
              <w:textAlignment w:val="auto"/>
              <w:rPr>
                <w:rFonts w:hint="default" w:ascii="Times New Roman" w:hAnsi="Times New Roman" w:cs="Times New Roman"/>
                <w:sz w:val="21"/>
                <w:lang w:eastAsia="zh-CN"/>
              </w:rPr>
            </w:pPr>
            <w:r>
              <w:rPr>
                <w:rFonts w:hint="default" w:ascii="Times New Roman" w:hAnsi="Times New Roman" w:cs="Times New Roman"/>
                <w:sz w:val="21"/>
                <w:lang w:eastAsia="zh-CN"/>
              </w:rPr>
              <w:t>行政许可</w:t>
            </w:r>
          </w:p>
        </w:tc>
        <w:tc>
          <w:tcPr>
            <w:tcW w:w="4840" w:type="dxa"/>
            <w:gridSpan w:val="3"/>
            <w:tcBorders>
              <w:top w:val="single" w:color="7C7474" w:sz="4" w:space="0"/>
              <w:left w:val="single" w:color="878787" w:sz="4" w:space="0"/>
              <w:bottom w:val="single" w:color="646487" w:sz="4" w:space="0"/>
              <w:right w:val="single" w:color="3B3B3F" w:sz="8" w:space="0"/>
            </w:tcBorders>
            <w:vAlign w:val="center"/>
          </w:tcPr>
          <w:p>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CellMar>
            <w:top w:w="0" w:type="dxa"/>
            <w:left w:w="0" w:type="dxa"/>
            <w:bottom w:w="0" w:type="dxa"/>
            <w:right w:w="0" w:type="dxa"/>
          </w:tblCellMar>
        </w:tblPrEx>
        <w:trPr>
          <w:trHeight w:val="623" w:hRule="exact"/>
        </w:trPr>
        <w:tc>
          <w:tcPr>
            <w:tcW w:w="8124" w:type="dxa"/>
            <w:gridSpan w:val="4"/>
            <w:tcBorders>
              <w:top w:val="single" w:color="646487" w:sz="4" w:space="0"/>
              <w:left w:val="single" w:color="3B3B44" w:sz="6" w:space="0"/>
              <w:bottom w:val="single" w:color="607087" w:sz="4" w:space="0"/>
              <w:right w:val="single" w:color="3B3B3F" w:sz="8" w:space="0"/>
            </w:tcBorders>
          </w:tcPr>
          <w:p>
            <w:pPr>
              <w:keepNext w:val="0"/>
              <w:keepLines w:val="0"/>
              <w:pageBreakBefore w:val="0"/>
              <w:widowControl w:val="0"/>
              <w:tabs>
                <w:tab w:val="left" w:pos="1059"/>
              </w:tabs>
              <w:kinsoku/>
              <w:wordWrap/>
              <w:overflowPunct/>
              <w:topLinePunct w:val="0"/>
              <w:autoSpaceDE/>
              <w:autoSpaceDN/>
              <w:bidi w:val="0"/>
              <w:adjustRightInd/>
              <w:snapToGrid/>
              <w:spacing w:before="142" w:afterAutospacing="0" w:line="520" w:lineRule="exact"/>
              <w:ind w:left="15"/>
              <w:jc w:val="center"/>
              <w:textAlignment w:val="auto"/>
              <w:rPr>
                <w:rFonts w:hint="default" w:ascii="Times New Roman" w:hAnsi="Times New Roman" w:cs="Times New Roman"/>
                <w:sz w:val="21"/>
                <w:lang w:eastAsia="zh-CN"/>
              </w:rPr>
            </w:pPr>
            <w:r>
              <w:rPr>
                <w:rFonts w:hint="default" w:ascii="Times New Roman" w:hAnsi="Times New Roman" w:cs="Times New Roman"/>
                <w:sz w:val="21"/>
                <w:lang w:eastAsia="zh-CN"/>
              </w:rPr>
              <w:t>第二十条</w:t>
            </w:r>
            <w:r>
              <w:rPr>
                <w:rFonts w:hint="default" w:ascii="Times New Roman" w:hAnsi="Times New Roman" w:cs="Times New Roman"/>
                <w:sz w:val="21"/>
                <w:lang w:eastAsia="zh-CN"/>
              </w:rPr>
              <w:tab/>
            </w:r>
            <w:r>
              <w:rPr>
                <w:rFonts w:hint="default" w:ascii="Times New Roman" w:hAnsi="Times New Roman" w:cs="Times New Roman"/>
                <w:sz w:val="21"/>
                <w:lang w:eastAsia="zh-CN"/>
              </w:rPr>
              <w:t>第 （六） 项</w:t>
            </w:r>
          </w:p>
        </w:tc>
      </w:tr>
      <w:tr>
        <w:trPr>
          <w:trHeight w:val="627" w:hRule="exact"/>
        </w:trPr>
        <w:tc>
          <w:tcPr>
            <w:tcW w:w="3284" w:type="dxa"/>
            <w:tcBorders>
              <w:top w:val="single" w:color="607087" w:sz="4" w:space="0"/>
              <w:left w:val="single" w:color="3B3B44" w:sz="6" w:space="0"/>
              <w:bottom w:val="single" w:color="8C7774" w:sz="4" w:space="0"/>
              <w:right w:val="single" w:color="909093" w:sz="4" w:space="0"/>
            </w:tcBorders>
          </w:tcPr>
          <w:p>
            <w:pPr>
              <w:keepNext w:val="0"/>
              <w:keepLines w:val="0"/>
              <w:pageBreakBefore w:val="0"/>
              <w:widowControl w:val="0"/>
              <w:kinsoku/>
              <w:wordWrap/>
              <w:overflowPunct/>
              <w:topLinePunct w:val="0"/>
              <w:autoSpaceDE/>
              <w:autoSpaceDN/>
              <w:bidi w:val="0"/>
              <w:adjustRightInd/>
              <w:snapToGrid/>
              <w:spacing w:before="142" w:afterAutospacing="0" w:line="520" w:lineRule="exact"/>
              <w:ind w:right="8"/>
              <w:jc w:val="center"/>
              <w:textAlignment w:val="auto"/>
              <w:rPr>
                <w:rFonts w:hint="default" w:ascii="Times New Roman" w:hAnsi="Times New Roman" w:cs="Times New Roman"/>
                <w:sz w:val="21"/>
                <w:lang w:eastAsia="zh-CN"/>
              </w:rPr>
            </w:pPr>
            <w:r>
              <w:rPr>
                <w:rFonts w:hint="default" w:ascii="Times New Roman" w:hAnsi="Times New Roman" w:cs="Times New Roman"/>
                <w:sz w:val="21"/>
                <w:lang w:eastAsia="zh-CN"/>
              </w:rPr>
              <w:t>信息内容</w:t>
            </w:r>
          </w:p>
        </w:tc>
        <w:tc>
          <w:tcPr>
            <w:tcW w:w="4840" w:type="dxa"/>
            <w:gridSpan w:val="3"/>
            <w:tcBorders>
              <w:top w:val="single" w:color="607087" w:sz="4" w:space="0"/>
              <w:left w:val="single" w:color="909093" w:sz="4" w:space="0"/>
              <w:bottom w:val="single" w:color="747074" w:sz="4" w:space="0"/>
              <w:right w:val="single" w:color="3B3B3F" w:sz="8" w:space="0"/>
            </w:tcBorders>
          </w:tcPr>
          <w:p>
            <w:pPr>
              <w:keepNext w:val="0"/>
              <w:keepLines w:val="0"/>
              <w:pageBreakBefore w:val="0"/>
              <w:widowControl w:val="0"/>
              <w:kinsoku/>
              <w:wordWrap/>
              <w:overflowPunct/>
              <w:topLinePunct w:val="0"/>
              <w:autoSpaceDE/>
              <w:autoSpaceDN/>
              <w:bidi w:val="0"/>
              <w:adjustRightInd/>
              <w:snapToGrid/>
              <w:spacing w:before="142" w:afterAutospacing="0" w:line="520" w:lineRule="exact"/>
              <w:ind w:right="13"/>
              <w:jc w:val="center"/>
              <w:textAlignment w:val="auto"/>
              <w:rPr>
                <w:rFonts w:hint="default" w:ascii="Times New Roman" w:hAnsi="Times New Roman" w:cs="Times New Roman"/>
                <w:sz w:val="21"/>
                <w:lang w:eastAsia="zh-CN"/>
              </w:rPr>
            </w:pPr>
            <w:r>
              <w:rPr>
                <w:rFonts w:hint="default" w:ascii="Times New Roman" w:hAnsi="Times New Roman" w:cs="Times New Roman"/>
                <w:sz w:val="21"/>
                <w:lang w:eastAsia="zh-CN"/>
              </w:rPr>
              <w:t>本年处理决定数量</w:t>
            </w:r>
          </w:p>
        </w:tc>
      </w:tr>
      <w:tr>
        <w:tblPrEx>
          <w:tblCellMar>
            <w:top w:w="0" w:type="dxa"/>
            <w:left w:w="0" w:type="dxa"/>
            <w:bottom w:w="0" w:type="dxa"/>
            <w:right w:w="0" w:type="dxa"/>
          </w:tblCellMar>
        </w:tblPrEx>
        <w:trPr>
          <w:trHeight w:val="624" w:hRule="exact"/>
        </w:trPr>
        <w:tc>
          <w:tcPr>
            <w:tcW w:w="3284" w:type="dxa"/>
            <w:tcBorders>
              <w:top w:val="single" w:color="8C7774" w:sz="4" w:space="0"/>
              <w:left w:val="single" w:color="3B3B44" w:sz="6" w:space="0"/>
              <w:bottom w:val="single" w:color="7C6B74" w:sz="4" w:space="0"/>
              <w:right w:val="single" w:color="909093" w:sz="4" w:space="0"/>
            </w:tcBorders>
          </w:tcPr>
          <w:p>
            <w:pPr>
              <w:keepNext w:val="0"/>
              <w:keepLines w:val="0"/>
              <w:pageBreakBefore w:val="0"/>
              <w:widowControl w:val="0"/>
              <w:kinsoku/>
              <w:wordWrap/>
              <w:overflowPunct/>
              <w:topLinePunct w:val="0"/>
              <w:autoSpaceDE/>
              <w:autoSpaceDN/>
              <w:bidi w:val="0"/>
              <w:adjustRightInd/>
              <w:snapToGrid/>
              <w:spacing w:before="139" w:afterAutospacing="0" w:line="520" w:lineRule="exact"/>
              <w:ind w:left="102"/>
              <w:jc w:val="center"/>
              <w:textAlignment w:val="auto"/>
              <w:rPr>
                <w:rFonts w:hint="default" w:ascii="Times New Roman" w:hAnsi="Times New Roman" w:cs="Times New Roman"/>
                <w:sz w:val="21"/>
                <w:lang w:eastAsia="zh-CN"/>
              </w:rPr>
            </w:pPr>
            <w:r>
              <w:rPr>
                <w:rFonts w:hint="default" w:ascii="Times New Roman" w:hAnsi="Times New Roman" w:cs="Times New Roman"/>
                <w:sz w:val="21"/>
                <w:lang w:eastAsia="zh-CN"/>
              </w:rPr>
              <w:t>行政处罚</w:t>
            </w:r>
          </w:p>
        </w:tc>
        <w:tc>
          <w:tcPr>
            <w:tcW w:w="4840" w:type="dxa"/>
            <w:gridSpan w:val="3"/>
            <w:tcBorders>
              <w:top w:val="single" w:color="747074" w:sz="4" w:space="0"/>
              <w:left w:val="single" w:color="909093" w:sz="4" w:space="0"/>
              <w:bottom w:val="single" w:color="7C6B74" w:sz="4" w:space="0"/>
              <w:right w:val="single" w:color="3B3B3F" w:sz="8" w:space="0"/>
            </w:tcBorders>
            <w:vAlign w:val="center"/>
          </w:tcPr>
          <w:p>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CellMar>
            <w:top w:w="0" w:type="dxa"/>
            <w:left w:w="0" w:type="dxa"/>
            <w:bottom w:w="0" w:type="dxa"/>
            <w:right w:w="0" w:type="dxa"/>
          </w:tblCellMar>
        </w:tblPrEx>
        <w:trPr>
          <w:trHeight w:val="618" w:hRule="exact"/>
        </w:trPr>
        <w:tc>
          <w:tcPr>
            <w:tcW w:w="3284" w:type="dxa"/>
            <w:tcBorders>
              <w:top w:val="single" w:color="7C6B74" w:sz="4" w:space="0"/>
              <w:left w:val="single" w:color="3B3B44" w:sz="6" w:space="0"/>
              <w:bottom w:val="single" w:color="646080" w:sz="4" w:space="0"/>
              <w:right w:val="single" w:color="909093" w:sz="4" w:space="0"/>
            </w:tcBorders>
          </w:tcPr>
          <w:p>
            <w:pPr>
              <w:keepNext w:val="0"/>
              <w:keepLines w:val="0"/>
              <w:pageBreakBefore w:val="0"/>
              <w:widowControl w:val="0"/>
              <w:kinsoku/>
              <w:wordWrap/>
              <w:overflowPunct/>
              <w:topLinePunct w:val="0"/>
              <w:autoSpaceDE/>
              <w:autoSpaceDN/>
              <w:bidi w:val="0"/>
              <w:adjustRightInd/>
              <w:snapToGrid/>
              <w:spacing w:before="138" w:afterAutospacing="0" w:line="520" w:lineRule="exact"/>
              <w:ind w:left="107"/>
              <w:jc w:val="center"/>
              <w:textAlignment w:val="auto"/>
              <w:rPr>
                <w:rFonts w:hint="default" w:ascii="Times New Roman" w:hAnsi="Times New Roman" w:cs="Times New Roman"/>
                <w:sz w:val="21"/>
                <w:lang w:eastAsia="zh-CN"/>
              </w:rPr>
            </w:pPr>
            <w:r>
              <w:rPr>
                <w:rFonts w:hint="default" w:ascii="Times New Roman" w:hAnsi="Times New Roman" w:cs="Times New Roman"/>
                <w:sz w:val="21"/>
                <w:lang w:eastAsia="zh-CN"/>
              </w:rPr>
              <w:t>行政强制</w:t>
            </w:r>
          </w:p>
        </w:tc>
        <w:tc>
          <w:tcPr>
            <w:tcW w:w="4840" w:type="dxa"/>
            <w:gridSpan w:val="3"/>
            <w:tcBorders>
              <w:top w:val="single" w:color="7C6B74" w:sz="4" w:space="0"/>
              <w:left w:val="single" w:color="909093" w:sz="4" w:space="0"/>
              <w:bottom w:val="single" w:color="646080" w:sz="4" w:space="0"/>
              <w:right w:val="single" w:color="3B3B3F" w:sz="8" w:space="0"/>
            </w:tcBorders>
            <w:vAlign w:val="center"/>
          </w:tcPr>
          <w:p>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CellMar>
            <w:top w:w="0" w:type="dxa"/>
            <w:left w:w="0" w:type="dxa"/>
            <w:bottom w:w="0" w:type="dxa"/>
            <w:right w:w="0" w:type="dxa"/>
          </w:tblCellMar>
        </w:tblPrEx>
        <w:trPr>
          <w:trHeight w:val="626" w:hRule="exact"/>
        </w:trPr>
        <w:tc>
          <w:tcPr>
            <w:tcW w:w="8124" w:type="dxa"/>
            <w:gridSpan w:val="4"/>
            <w:tcBorders>
              <w:top w:val="single" w:color="646080" w:sz="4" w:space="0"/>
              <w:left w:val="single" w:color="3B3B44" w:sz="6" w:space="0"/>
              <w:bottom w:val="nil"/>
              <w:right w:val="single" w:color="3B3B3F" w:sz="8" w:space="0"/>
            </w:tcBorders>
          </w:tcPr>
          <w:p>
            <w:pPr>
              <w:keepNext w:val="0"/>
              <w:keepLines w:val="0"/>
              <w:pageBreakBefore w:val="0"/>
              <w:widowControl w:val="0"/>
              <w:tabs>
                <w:tab w:val="left" w:pos="1068"/>
              </w:tabs>
              <w:kinsoku/>
              <w:wordWrap/>
              <w:overflowPunct/>
              <w:topLinePunct w:val="0"/>
              <w:autoSpaceDE/>
              <w:autoSpaceDN/>
              <w:bidi w:val="0"/>
              <w:adjustRightInd/>
              <w:snapToGrid/>
              <w:spacing w:before="142" w:afterAutospacing="0" w:line="520" w:lineRule="exact"/>
              <w:ind w:left="25"/>
              <w:jc w:val="center"/>
              <w:textAlignment w:val="auto"/>
              <w:rPr>
                <w:rFonts w:hint="default" w:ascii="Times New Roman" w:hAnsi="Times New Roman" w:cs="Times New Roman"/>
                <w:sz w:val="21"/>
                <w:lang w:eastAsia="zh-CN"/>
              </w:rPr>
            </w:pPr>
            <w:r>
              <w:rPr>
                <w:rFonts w:hint="default" w:ascii="Times New Roman" w:hAnsi="Times New Roman" w:cs="Times New Roman"/>
                <w:sz w:val="21"/>
                <w:lang w:eastAsia="zh-CN"/>
              </w:rPr>
              <w:t>第二十条</w:t>
            </w:r>
            <w:r>
              <w:rPr>
                <w:rFonts w:hint="default" w:ascii="Times New Roman" w:hAnsi="Times New Roman" w:cs="Times New Roman"/>
                <w:sz w:val="21"/>
                <w:lang w:eastAsia="zh-CN"/>
              </w:rPr>
              <w:tab/>
            </w:r>
            <w:r>
              <w:rPr>
                <w:rFonts w:hint="default" w:ascii="Times New Roman" w:hAnsi="Times New Roman" w:cs="Times New Roman"/>
                <w:sz w:val="21"/>
                <w:lang w:eastAsia="zh-CN"/>
              </w:rPr>
              <w:t>第 （八） 项</w:t>
            </w:r>
          </w:p>
        </w:tc>
      </w:tr>
      <w:tr>
        <w:tblPrEx>
          <w:tblCellMar>
            <w:top w:w="0" w:type="dxa"/>
            <w:left w:w="0" w:type="dxa"/>
            <w:bottom w:w="0" w:type="dxa"/>
            <w:right w:w="0" w:type="dxa"/>
          </w:tblCellMar>
        </w:tblPrEx>
        <w:trPr>
          <w:trHeight w:val="621" w:hRule="exact"/>
        </w:trPr>
        <w:tc>
          <w:tcPr>
            <w:tcW w:w="3284" w:type="dxa"/>
            <w:tcBorders>
              <w:top w:val="single" w:color="6B747C" w:sz="4" w:space="0"/>
              <w:left w:val="single" w:color="5B5B60" w:sz="6" w:space="0"/>
              <w:bottom w:val="single" w:color="77778C"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before="135" w:afterAutospacing="0" w:line="520" w:lineRule="exact"/>
              <w:ind w:right="1"/>
              <w:jc w:val="center"/>
              <w:textAlignment w:val="auto"/>
              <w:rPr>
                <w:rFonts w:hint="default" w:ascii="Times New Roman" w:hAnsi="Times New Roman" w:cs="Times New Roman"/>
                <w:sz w:val="21"/>
                <w:lang w:eastAsia="zh-CN"/>
              </w:rPr>
            </w:pPr>
            <w:r>
              <w:rPr>
                <w:rFonts w:hint="eastAsia" w:ascii="Times New Roman" w:hAnsi="Times New Roman" w:cs="Times New Roman"/>
                <w:sz w:val="21"/>
                <w:lang w:eastAsia="zh-CN"/>
              </w:rPr>
              <w:t xml:space="preserve"> </w:t>
            </w:r>
            <w:r>
              <w:rPr>
                <w:rFonts w:hint="default" w:ascii="Times New Roman" w:hAnsi="Times New Roman" w:cs="Times New Roman"/>
                <w:sz w:val="21"/>
                <w:lang w:eastAsia="zh-CN"/>
              </w:rPr>
              <w:t>信息内容</w:t>
            </w:r>
          </w:p>
        </w:tc>
        <w:tc>
          <w:tcPr>
            <w:tcW w:w="4840"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before="145" w:afterAutospacing="0" w:line="520" w:lineRule="exact"/>
              <w:ind w:left="1446"/>
              <w:jc w:val="center"/>
              <w:textAlignment w:val="auto"/>
              <w:rPr>
                <w:rFonts w:hint="default" w:ascii="Times New Roman" w:hAnsi="Times New Roman" w:cs="Times New Roman"/>
                <w:sz w:val="21"/>
                <w:lang w:eastAsia="zh-CN"/>
              </w:rPr>
            </w:pPr>
            <w:r>
              <w:rPr>
                <w:rFonts w:hint="default" w:ascii="Times New Roman" w:hAnsi="Times New Roman" w:cs="Times New Roman"/>
                <w:sz w:val="21"/>
                <w:lang w:eastAsia="zh-CN"/>
              </w:rPr>
              <w:t>本年收费金额  （单位 ：万元）</w:t>
            </w:r>
          </w:p>
        </w:tc>
      </w:tr>
      <w:tr>
        <w:tblPrEx>
          <w:tblCellMar>
            <w:top w:w="0" w:type="dxa"/>
            <w:left w:w="0" w:type="dxa"/>
            <w:bottom w:w="0" w:type="dxa"/>
            <w:right w:w="0" w:type="dxa"/>
          </w:tblCellMar>
        </w:tblPrEx>
        <w:trPr>
          <w:trHeight w:val="626" w:hRule="exact"/>
        </w:trPr>
        <w:tc>
          <w:tcPr>
            <w:tcW w:w="3284" w:type="dxa"/>
            <w:tcBorders>
              <w:top w:val="single" w:color="77778C" w:sz="4" w:space="0"/>
              <w:left w:val="single" w:color="5B5B60" w:sz="6" w:space="0"/>
              <w:bottom w:val="single" w:color="3B383F" w:sz="8" w:space="0"/>
              <w:right w:val="single" w:color="8C8C93" w:sz="2" w:space="0"/>
            </w:tcBorders>
          </w:tcPr>
          <w:p>
            <w:pPr>
              <w:keepNext w:val="0"/>
              <w:keepLines w:val="0"/>
              <w:pageBreakBefore w:val="0"/>
              <w:widowControl w:val="0"/>
              <w:kinsoku/>
              <w:wordWrap/>
              <w:overflowPunct/>
              <w:topLinePunct w:val="0"/>
              <w:autoSpaceDE/>
              <w:autoSpaceDN/>
              <w:bidi w:val="0"/>
              <w:adjustRightInd/>
              <w:snapToGrid/>
              <w:spacing w:before="138" w:afterAutospacing="0" w:line="520" w:lineRule="exact"/>
              <w:ind w:left="107"/>
              <w:jc w:val="center"/>
              <w:textAlignment w:val="auto"/>
              <w:rPr>
                <w:rFonts w:hint="default" w:ascii="Times New Roman" w:hAnsi="Times New Roman" w:cs="Times New Roman"/>
                <w:sz w:val="21"/>
                <w:lang w:eastAsia="zh-CN"/>
              </w:rPr>
            </w:pPr>
            <w:r>
              <w:rPr>
                <w:rFonts w:hint="default" w:ascii="Times New Roman" w:hAnsi="Times New Roman" w:cs="Times New Roman"/>
                <w:sz w:val="21"/>
                <w:lang w:eastAsia="zh-CN"/>
              </w:rPr>
              <w:t>行政事业性收费</w:t>
            </w:r>
          </w:p>
        </w:tc>
        <w:tc>
          <w:tcPr>
            <w:tcW w:w="4840" w:type="dxa"/>
            <w:gridSpan w:val="3"/>
            <w:tcBorders>
              <w:top w:val="single" w:color="77778C" w:sz="4" w:space="0"/>
              <w:left w:val="single" w:color="8C8C93" w:sz="2" w:space="0"/>
              <w:bottom w:val="single" w:color="3B383F" w:sz="8" w:space="0"/>
              <w:right w:val="single" w:color="3B3B44" w:sz="8" w:space="0"/>
            </w:tcBorders>
            <w:vAlign w:val="center"/>
          </w:tcPr>
          <w:p>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bl>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Autospacing="0" w:line="600" w:lineRule="exact"/>
        <w:ind w:left="0" w:leftChars="0" w:right="0" w:firstLine="640" w:firstLineChars="200"/>
        <w:jc w:val="both"/>
        <w:textAlignment w:val="auto"/>
        <w:rPr>
          <w:rFonts w:hint="default" w:ascii="Times New Roman" w:hAnsi="Times New Roman" w:eastAsia="黑体" w:cs="Times New Roman"/>
          <w:color w:val="222222"/>
          <w:sz w:val="32"/>
          <w:szCs w:val="32"/>
          <w:highlight w:val="none"/>
        </w:rPr>
      </w:pPr>
      <w:r>
        <w:rPr>
          <w:rFonts w:hint="default" w:ascii="Times New Roman" w:hAnsi="Times New Roman" w:eastAsia="黑体" w:cs="Times New Roman"/>
          <w:color w:val="222222"/>
          <w:sz w:val="32"/>
          <w:szCs w:val="32"/>
          <w:highlight w:val="none"/>
        </w:rPr>
        <w:t>收到和处理政府信息公开申请情况</w:t>
      </w:r>
    </w:p>
    <w:tbl>
      <w:tblPr>
        <w:tblStyle w:val="7"/>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525"/>
        <w:gridCol w:w="2634"/>
        <w:gridCol w:w="554"/>
        <w:gridCol w:w="693"/>
        <w:gridCol w:w="692"/>
        <w:gridCol w:w="693"/>
        <w:gridCol w:w="693"/>
        <w:gridCol w:w="695"/>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713" w:type="dxa"/>
            <w:gridSpan w:val="3"/>
            <w:vMerge w:val="restart"/>
            <w:vAlign w:val="center"/>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rPr>
            </w:pPr>
            <w:r>
              <w:rPr>
                <w:rFonts w:hint="default" w:ascii="Times New Roman" w:hAnsi="Times New Roman" w:cs="Times New Roman"/>
              </w:rPr>
              <w:t>（本列数据的勾稽关系为：第一项加第二项之和，等于第三项加第四项之和）</w:t>
            </w:r>
          </w:p>
        </w:tc>
        <w:tc>
          <w:tcPr>
            <w:tcW w:w="4685" w:type="dxa"/>
            <w:gridSpan w:val="7"/>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713" w:type="dxa"/>
            <w:gridSpan w:val="3"/>
            <w:vMerge w:val="continue"/>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rPr>
            </w:pPr>
          </w:p>
        </w:tc>
        <w:tc>
          <w:tcPr>
            <w:tcW w:w="554" w:type="dxa"/>
            <w:vMerge w:val="restart"/>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sz w:val="18"/>
                <w:szCs w:val="18"/>
              </w:rPr>
            </w:pPr>
            <w:r>
              <w:rPr>
                <w:rFonts w:hint="default" w:ascii="Times New Roman" w:hAnsi="Times New Roman" w:cs="Times New Roman"/>
                <w:szCs w:val="21"/>
              </w:rPr>
              <w:t>自然人</w:t>
            </w:r>
          </w:p>
        </w:tc>
        <w:tc>
          <w:tcPr>
            <w:tcW w:w="3466" w:type="dxa"/>
            <w:gridSpan w:val="5"/>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法人或其他组织</w:t>
            </w:r>
          </w:p>
        </w:tc>
        <w:tc>
          <w:tcPr>
            <w:tcW w:w="665" w:type="dxa"/>
            <w:vMerge w:val="restart"/>
            <w:vAlign w:val="center"/>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szCs w:val="21"/>
              </w:rPr>
            </w:pPr>
            <w:r>
              <w:rPr>
                <w:rFonts w:hint="default" w:ascii="Times New Roman" w:hAnsi="Times New Roman" w:cs="Times New Roman"/>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713" w:type="dxa"/>
            <w:gridSpan w:val="3"/>
            <w:vMerge w:val="continue"/>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rPr>
            </w:pPr>
          </w:p>
        </w:tc>
        <w:tc>
          <w:tcPr>
            <w:tcW w:w="554" w:type="dxa"/>
            <w:vMerge w:val="continue"/>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sz w:val="18"/>
                <w:szCs w:val="18"/>
              </w:rPr>
            </w:pP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szCs w:val="21"/>
              </w:rPr>
            </w:pPr>
            <w:r>
              <w:rPr>
                <w:rFonts w:hint="default" w:ascii="Times New Roman" w:hAnsi="Times New Roman" w:cs="Times New Roman"/>
                <w:szCs w:val="21"/>
              </w:rPr>
              <w:t>商业企业</w:t>
            </w:r>
          </w:p>
        </w:tc>
        <w:tc>
          <w:tcPr>
            <w:tcW w:w="692" w:type="dxa"/>
            <w:vAlign w:val="center"/>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szCs w:val="21"/>
              </w:rPr>
            </w:pPr>
            <w:r>
              <w:rPr>
                <w:rFonts w:hint="default" w:ascii="Times New Roman" w:hAnsi="Times New Roman" w:cs="Times New Roman"/>
                <w:szCs w:val="21"/>
              </w:rPr>
              <w:t>科研机构</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szCs w:val="21"/>
              </w:rPr>
            </w:pPr>
            <w:r>
              <w:rPr>
                <w:rFonts w:hint="default" w:ascii="Times New Roman" w:hAnsi="Times New Roman" w:cs="Times New Roman"/>
                <w:szCs w:val="21"/>
              </w:rPr>
              <w:t>社会公益组织</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szCs w:val="21"/>
              </w:rPr>
            </w:pPr>
            <w:r>
              <w:rPr>
                <w:rFonts w:hint="default" w:ascii="Times New Roman" w:hAnsi="Times New Roman" w:cs="Times New Roman"/>
                <w:szCs w:val="21"/>
              </w:rPr>
              <w:t>法律服务机构</w:t>
            </w:r>
          </w:p>
        </w:tc>
        <w:tc>
          <w:tcPr>
            <w:tcW w:w="695" w:type="dxa"/>
            <w:vAlign w:val="center"/>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szCs w:val="21"/>
              </w:rPr>
            </w:pPr>
            <w:r>
              <w:rPr>
                <w:rFonts w:hint="default" w:ascii="Times New Roman" w:hAnsi="Times New Roman" w:cs="Times New Roman"/>
                <w:szCs w:val="21"/>
              </w:rPr>
              <w:t>其他</w:t>
            </w:r>
          </w:p>
        </w:tc>
        <w:tc>
          <w:tcPr>
            <w:tcW w:w="665" w:type="dxa"/>
            <w:vMerge w:val="continue"/>
            <w:vAlign w:val="center"/>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713" w:type="dxa"/>
            <w:gridSpan w:val="3"/>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rPr>
            </w:pPr>
            <w:r>
              <w:rPr>
                <w:rFonts w:hint="default" w:ascii="Times New Roman" w:hAnsi="Times New Roman" w:cs="Times New Roman"/>
              </w:rPr>
              <w:t>一、本年新收政府信息公开申请数量</w:t>
            </w:r>
          </w:p>
        </w:tc>
        <w:tc>
          <w:tcPr>
            <w:tcW w:w="554"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713" w:type="dxa"/>
            <w:gridSpan w:val="3"/>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rPr>
            </w:pPr>
            <w:r>
              <w:rPr>
                <w:rFonts w:hint="default" w:ascii="Times New Roman" w:hAnsi="Times New Roman" w:cs="Times New Roman"/>
              </w:rPr>
              <w:t>二、上年结转政府信息公开申请数量</w:t>
            </w:r>
          </w:p>
        </w:tc>
        <w:tc>
          <w:tcPr>
            <w:tcW w:w="554"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restart"/>
            <w:vAlign w:val="center"/>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rPr>
            </w:pPr>
            <w:r>
              <w:rPr>
                <w:rFonts w:hint="default" w:ascii="Times New Roman" w:hAnsi="Times New Roman" w:cs="Times New Roman"/>
              </w:rPr>
              <w:t>三、本年度办理结果</w:t>
            </w:r>
          </w:p>
        </w:tc>
        <w:tc>
          <w:tcPr>
            <w:tcW w:w="4159" w:type="dxa"/>
            <w:gridSpan w:val="2"/>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sz w:val="18"/>
                <w:szCs w:val="18"/>
              </w:rPr>
            </w:pPr>
            <w:r>
              <w:rPr>
                <w:rFonts w:hint="default" w:ascii="Times New Roman" w:hAnsi="Times New Roman" w:cs="Times New Roman"/>
                <w:sz w:val="18"/>
                <w:szCs w:val="18"/>
              </w:rPr>
              <w:t>（一）予以公开</w:t>
            </w:r>
          </w:p>
        </w:tc>
        <w:tc>
          <w:tcPr>
            <w:tcW w:w="554"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rPr>
            </w:pPr>
          </w:p>
        </w:tc>
        <w:tc>
          <w:tcPr>
            <w:tcW w:w="4159" w:type="dxa"/>
            <w:gridSpan w:val="2"/>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sz w:val="18"/>
                <w:szCs w:val="18"/>
              </w:rPr>
            </w:pPr>
            <w:r>
              <w:rPr>
                <w:rFonts w:hint="default" w:ascii="Times New Roman" w:hAnsi="Times New Roman" w:cs="Times New Roman"/>
                <w:sz w:val="18"/>
                <w:szCs w:val="18"/>
              </w:rPr>
              <w:t>（二）部分公开（区分处理的，只计这一情形，不计其他情形）</w:t>
            </w:r>
          </w:p>
        </w:tc>
        <w:tc>
          <w:tcPr>
            <w:tcW w:w="554"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rPr>
            </w:pPr>
          </w:p>
        </w:tc>
        <w:tc>
          <w:tcPr>
            <w:tcW w:w="1525" w:type="dxa"/>
            <w:vMerge w:val="restart"/>
            <w:vAlign w:val="center"/>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sz w:val="18"/>
                <w:szCs w:val="18"/>
              </w:rPr>
            </w:pPr>
            <w:r>
              <w:rPr>
                <w:rFonts w:hint="default" w:ascii="Times New Roman" w:hAnsi="Times New Roman" w:cs="Times New Roman"/>
                <w:sz w:val="18"/>
                <w:szCs w:val="18"/>
              </w:rPr>
              <w:t>（三）不予公开</w:t>
            </w:r>
          </w:p>
        </w:tc>
        <w:tc>
          <w:tcPr>
            <w:tcW w:w="2634" w:type="dxa"/>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sz w:val="18"/>
                <w:szCs w:val="18"/>
              </w:rPr>
            </w:pPr>
            <w:r>
              <w:rPr>
                <w:rFonts w:hint="default" w:ascii="Times New Roman" w:hAnsi="Times New Roman" w:cs="Times New Roman"/>
                <w:sz w:val="18"/>
                <w:szCs w:val="18"/>
              </w:rPr>
              <w:t>1．属于国家秘密</w:t>
            </w:r>
          </w:p>
        </w:tc>
        <w:tc>
          <w:tcPr>
            <w:tcW w:w="554"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rPr>
            </w:pPr>
          </w:p>
        </w:tc>
        <w:tc>
          <w:tcPr>
            <w:tcW w:w="1525" w:type="dxa"/>
            <w:vMerge w:val="continue"/>
            <w:vAlign w:val="center"/>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sz w:val="18"/>
                <w:szCs w:val="18"/>
              </w:rPr>
            </w:pPr>
          </w:p>
        </w:tc>
        <w:tc>
          <w:tcPr>
            <w:tcW w:w="2634" w:type="dxa"/>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sz w:val="18"/>
                <w:szCs w:val="18"/>
              </w:rPr>
            </w:pPr>
            <w:r>
              <w:rPr>
                <w:rFonts w:hint="default" w:ascii="Times New Roman" w:hAnsi="Times New Roman" w:cs="Times New Roman"/>
                <w:sz w:val="18"/>
                <w:szCs w:val="18"/>
              </w:rPr>
              <w:t>2．其他法律行政法规禁止公开</w:t>
            </w:r>
          </w:p>
        </w:tc>
        <w:tc>
          <w:tcPr>
            <w:tcW w:w="554"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rPr>
            </w:pPr>
          </w:p>
        </w:tc>
        <w:tc>
          <w:tcPr>
            <w:tcW w:w="1525" w:type="dxa"/>
            <w:vMerge w:val="continue"/>
            <w:vAlign w:val="center"/>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sz w:val="18"/>
                <w:szCs w:val="18"/>
              </w:rPr>
            </w:pPr>
          </w:p>
        </w:tc>
        <w:tc>
          <w:tcPr>
            <w:tcW w:w="2634" w:type="dxa"/>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sz w:val="18"/>
                <w:szCs w:val="18"/>
              </w:rPr>
            </w:pPr>
            <w:r>
              <w:rPr>
                <w:rFonts w:hint="default" w:ascii="Times New Roman" w:hAnsi="Times New Roman" w:cs="Times New Roman"/>
                <w:sz w:val="18"/>
                <w:szCs w:val="18"/>
              </w:rPr>
              <w:t>3．危及“三安全一稳定”</w:t>
            </w:r>
          </w:p>
        </w:tc>
        <w:tc>
          <w:tcPr>
            <w:tcW w:w="554"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rPr>
            </w:pPr>
          </w:p>
        </w:tc>
        <w:tc>
          <w:tcPr>
            <w:tcW w:w="1525" w:type="dxa"/>
            <w:vMerge w:val="continue"/>
            <w:vAlign w:val="center"/>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sz w:val="18"/>
                <w:szCs w:val="18"/>
              </w:rPr>
            </w:pPr>
          </w:p>
        </w:tc>
        <w:tc>
          <w:tcPr>
            <w:tcW w:w="2634" w:type="dxa"/>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sz w:val="18"/>
                <w:szCs w:val="18"/>
              </w:rPr>
            </w:pPr>
            <w:r>
              <w:rPr>
                <w:rFonts w:hint="default" w:ascii="Times New Roman" w:hAnsi="Times New Roman" w:cs="Times New Roman"/>
                <w:sz w:val="18"/>
                <w:szCs w:val="18"/>
              </w:rPr>
              <w:t>4．保护第三方合法权益</w:t>
            </w:r>
          </w:p>
        </w:tc>
        <w:tc>
          <w:tcPr>
            <w:tcW w:w="554"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rPr>
            </w:pPr>
          </w:p>
        </w:tc>
        <w:tc>
          <w:tcPr>
            <w:tcW w:w="1525" w:type="dxa"/>
            <w:vMerge w:val="continue"/>
            <w:vAlign w:val="center"/>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sz w:val="18"/>
                <w:szCs w:val="18"/>
              </w:rPr>
            </w:pPr>
          </w:p>
        </w:tc>
        <w:tc>
          <w:tcPr>
            <w:tcW w:w="2634" w:type="dxa"/>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sz w:val="18"/>
                <w:szCs w:val="18"/>
              </w:rPr>
            </w:pPr>
            <w:r>
              <w:rPr>
                <w:rFonts w:hint="default" w:ascii="Times New Roman" w:hAnsi="Times New Roman" w:cs="Times New Roman"/>
                <w:sz w:val="18"/>
                <w:szCs w:val="18"/>
              </w:rPr>
              <w:t>5．属于三类内部事务信息</w:t>
            </w:r>
          </w:p>
        </w:tc>
        <w:tc>
          <w:tcPr>
            <w:tcW w:w="554"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rPr>
            </w:pPr>
          </w:p>
        </w:tc>
        <w:tc>
          <w:tcPr>
            <w:tcW w:w="1525" w:type="dxa"/>
            <w:vMerge w:val="continue"/>
            <w:vAlign w:val="center"/>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sz w:val="18"/>
                <w:szCs w:val="18"/>
              </w:rPr>
            </w:pPr>
          </w:p>
        </w:tc>
        <w:tc>
          <w:tcPr>
            <w:tcW w:w="2634" w:type="dxa"/>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sz w:val="18"/>
                <w:szCs w:val="18"/>
              </w:rPr>
            </w:pPr>
            <w:r>
              <w:rPr>
                <w:rFonts w:hint="default" w:ascii="Times New Roman" w:hAnsi="Times New Roman" w:cs="Times New Roman"/>
                <w:sz w:val="18"/>
                <w:szCs w:val="18"/>
              </w:rPr>
              <w:t>6．属于四类过程性信息</w:t>
            </w:r>
          </w:p>
        </w:tc>
        <w:tc>
          <w:tcPr>
            <w:tcW w:w="554"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rPr>
            </w:pPr>
          </w:p>
        </w:tc>
        <w:tc>
          <w:tcPr>
            <w:tcW w:w="1525" w:type="dxa"/>
            <w:vMerge w:val="continue"/>
            <w:vAlign w:val="center"/>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sz w:val="18"/>
                <w:szCs w:val="18"/>
              </w:rPr>
            </w:pPr>
          </w:p>
        </w:tc>
        <w:tc>
          <w:tcPr>
            <w:tcW w:w="2634" w:type="dxa"/>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sz w:val="18"/>
                <w:szCs w:val="18"/>
              </w:rPr>
            </w:pPr>
            <w:r>
              <w:rPr>
                <w:rFonts w:hint="default" w:ascii="Times New Roman" w:hAnsi="Times New Roman" w:cs="Times New Roman"/>
                <w:sz w:val="18"/>
                <w:szCs w:val="18"/>
              </w:rPr>
              <w:t>7．属于行政执法案卷</w:t>
            </w:r>
          </w:p>
        </w:tc>
        <w:tc>
          <w:tcPr>
            <w:tcW w:w="554"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rPr>
            </w:pPr>
          </w:p>
        </w:tc>
        <w:tc>
          <w:tcPr>
            <w:tcW w:w="1525" w:type="dxa"/>
            <w:vMerge w:val="continue"/>
            <w:vAlign w:val="center"/>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sz w:val="18"/>
                <w:szCs w:val="18"/>
              </w:rPr>
            </w:pPr>
          </w:p>
        </w:tc>
        <w:tc>
          <w:tcPr>
            <w:tcW w:w="2634" w:type="dxa"/>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sz w:val="18"/>
                <w:szCs w:val="18"/>
              </w:rPr>
            </w:pPr>
            <w:r>
              <w:rPr>
                <w:rFonts w:hint="default" w:ascii="Times New Roman" w:hAnsi="Times New Roman" w:cs="Times New Roman"/>
                <w:sz w:val="18"/>
                <w:szCs w:val="18"/>
              </w:rPr>
              <w:t>8．属于行政查询事项</w:t>
            </w:r>
          </w:p>
        </w:tc>
        <w:tc>
          <w:tcPr>
            <w:tcW w:w="554"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rPr>
            </w:pPr>
          </w:p>
        </w:tc>
        <w:tc>
          <w:tcPr>
            <w:tcW w:w="1525" w:type="dxa"/>
            <w:vMerge w:val="restart"/>
            <w:vAlign w:val="center"/>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sz w:val="18"/>
                <w:szCs w:val="18"/>
              </w:rPr>
            </w:pPr>
            <w:r>
              <w:rPr>
                <w:rFonts w:hint="default" w:ascii="Times New Roman" w:hAnsi="Times New Roman" w:cs="Times New Roman"/>
                <w:sz w:val="18"/>
                <w:szCs w:val="18"/>
              </w:rPr>
              <w:t>（四）无法提供</w:t>
            </w:r>
          </w:p>
        </w:tc>
        <w:tc>
          <w:tcPr>
            <w:tcW w:w="2634" w:type="dxa"/>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sz w:val="18"/>
                <w:szCs w:val="18"/>
              </w:rPr>
            </w:pPr>
            <w:r>
              <w:rPr>
                <w:rFonts w:hint="default" w:ascii="Times New Roman" w:hAnsi="Times New Roman" w:cs="Times New Roman"/>
                <w:sz w:val="18"/>
                <w:szCs w:val="18"/>
              </w:rPr>
              <w:t>1．本机关不掌握相关政府信息</w:t>
            </w:r>
          </w:p>
        </w:tc>
        <w:tc>
          <w:tcPr>
            <w:tcW w:w="554"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rPr>
            </w:pPr>
          </w:p>
        </w:tc>
        <w:tc>
          <w:tcPr>
            <w:tcW w:w="1525" w:type="dxa"/>
            <w:vMerge w:val="continue"/>
            <w:vAlign w:val="center"/>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sz w:val="18"/>
                <w:szCs w:val="18"/>
              </w:rPr>
            </w:pPr>
          </w:p>
        </w:tc>
        <w:tc>
          <w:tcPr>
            <w:tcW w:w="2634" w:type="dxa"/>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sz w:val="18"/>
                <w:szCs w:val="18"/>
              </w:rPr>
            </w:pPr>
            <w:r>
              <w:rPr>
                <w:rFonts w:hint="default" w:ascii="Times New Roman" w:hAnsi="Times New Roman" w:cs="Times New Roman"/>
                <w:sz w:val="18"/>
                <w:szCs w:val="18"/>
              </w:rPr>
              <w:t>2．没有现成信息需要另行制作</w:t>
            </w:r>
          </w:p>
        </w:tc>
        <w:tc>
          <w:tcPr>
            <w:tcW w:w="554"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rPr>
            </w:pPr>
          </w:p>
        </w:tc>
        <w:tc>
          <w:tcPr>
            <w:tcW w:w="1525" w:type="dxa"/>
            <w:vMerge w:val="continue"/>
            <w:vAlign w:val="center"/>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sz w:val="18"/>
                <w:szCs w:val="18"/>
              </w:rPr>
            </w:pPr>
          </w:p>
        </w:tc>
        <w:tc>
          <w:tcPr>
            <w:tcW w:w="2634" w:type="dxa"/>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sz w:val="18"/>
                <w:szCs w:val="18"/>
              </w:rPr>
            </w:pPr>
            <w:r>
              <w:rPr>
                <w:rFonts w:hint="default" w:ascii="Times New Roman" w:hAnsi="Times New Roman" w:cs="Times New Roman"/>
                <w:sz w:val="18"/>
                <w:szCs w:val="18"/>
              </w:rPr>
              <w:t>3．补正后申请内容仍不明确</w:t>
            </w:r>
          </w:p>
        </w:tc>
        <w:tc>
          <w:tcPr>
            <w:tcW w:w="554"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rPr>
            </w:pPr>
          </w:p>
        </w:tc>
        <w:tc>
          <w:tcPr>
            <w:tcW w:w="1525" w:type="dxa"/>
            <w:vMerge w:val="restart"/>
            <w:vAlign w:val="center"/>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sz w:val="18"/>
                <w:szCs w:val="18"/>
              </w:rPr>
            </w:pPr>
            <w:r>
              <w:rPr>
                <w:rFonts w:hint="default" w:ascii="Times New Roman" w:hAnsi="Times New Roman" w:cs="Times New Roman"/>
                <w:sz w:val="18"/>
                <w:szCs w:val="18"/>
              </w:rPr>
              <w:t>（五）不予处理</w:t>
            </w:r>
          </w:p>
        </w:tc>
        <w:tc>
          <w:tcPr>
            <w:tcW w:w="2634" w:type="dxa"/>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sz w:val="18"/>
                <w:szCs w:val="18"/>
              </w:rPr>
            </w:pPr>
            <w:r>
              <w:rPr>
                <w:rFonts w:hint="default" w:ascii="Times New Roman" w:hAnsi="Times New Roman" w:cs="Times New Roman"/>
                <w:sz w:val="18"/>
                <w:szCs w:val="18"/>
              </w:rPr>
              <w:t>1．信访举报投诉类申请</w:t>
            </w:r>
          </w:p>
        </w:tc>
        <w:tc>
          <w:tcPr>
            <w:tcW w:w="554"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rPr>
            </w:pPr>
          </w:p>
        </w:tc>
        <w:tc>
          <w:tcPr>
            <w:tcW w:w="1525" w:type="dxa"/>
            <w:vMerge w:val="continue"/>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rPr>
            </w:pPr>
          </w:p>
        </w:tc>
        <w:tc>
          <w:tcPr>
            <w:tcW w:w="2634" w:type="dxa"/>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sz w:val="18"/>
                <w:szCs w:val="18"/>
              </w:rPr>
            </w:pPr>
            <w:r>
              <w:rPr>
                <w:rFonts w:hint="default" w:ascii="Times New Roman" w:hAnsi="Times New Roman" w:cs="Times New Roman"/>
                <w:sz w:val="18"/>
                <w:szCs w:val="18"/>
              </w:rPr>
              <w:t>2．重复申请</w:t>
            </w:r>
          </w:p>
        </w:tc>
        <w:tc>
          <w:tcPr>
            <w:tcW w:w="554"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rPr>
            </w:pPr>
          </w:p>
        </w:tc>
        <w:tc>
          <w:tcPr>
            <w:tcW w:w="1525" w:type="dxa"/>
            <w:vMerge w:val="continue"/>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rPr>
            </w:pPr>
          </w:p>
        </w:tc>
        <w:tc>
          <w:tcPr>
            <w:tcW w:w="2634" w:type="dxa"/>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sz w:val="18"/>
                <w:szCs w:val="18"/>
              </w:rPr>
            </w:pPr>
            <w:r>
              <w:rPr>
                <w:rFonts w:hint="default" w:ascii="Times New Roman" w:hAnsi="Times New Roman" w:cs="Times New Roman"/>
                <w:sz w:val="18"/>
                <w:szCs w:val="18"/>
              </w:rPr>
              <w:t>3．要求提供公开出版物</w:t>
            </w:r>
          </w:p>
        </w:tc>
        <w:tc>
          <w:tcPr>
            <w:tcW w:w="554"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rPr>
            </w:pPr>
          </w:p>
        </w:tc>
        <w:tc>
          <w:tcPr>
            <w:tcW w:w="1525" w:type="dxa"/>
            <w:vMerge w:val="continue"/>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rPr>
            </w:pPr>
          </w:p>
        </w:tc>
        <w:tc>
          <w:tcPr>
            <w:tcW w:w="2634" w:type="dxa"/>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sz w:val="18"/>
                <w:szCs w:val="18"/>
              </w:rPr>
            </w:pPr>
            <w:r>
              <w:rPr>
                <w:rFonts w:hint="default" w:ascii="Times New Roman" w:hAnsi="Times New Roman" w:cs="Times New Roman"/>
                <w:sz w:val="18"/>
                <w:szCs w:val="18"/>
              </w:rPr>
              <w:t>4．无正当理由大量反复申请</w:t>
            </w:r>
          </w:p>
        </w:tc>
        <w:tc>
          <w:tcPr>
            <w:tcW w:w="554"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rPr>
            </w:pPr>
          </w:p>
        </w:tc>
        <w:tc>
          <w:tcPr>
            <w:tcW w:w="1525" w:type="dxa"/>
            <w:vMerge w:val="continue"/>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rPr>
            </w:pPr>
          </w:p>
        </w:tc>
        <w:tc>
          <w:tcPr>
            <w:tcW w:w="2634" w:type="dxa"/>
          </w:tcPr>
          <w:p>
            <w:pPr>
              <w:keepNext w:val="0"/>
              <w:keepLines w:val="0"/>
              <w:pageBreakBefore w:val="0"/>
              <w:kinsoku/>
              <w:wordWrap/>
              <w:overflowPunct/>
              <w:topLinePunct w:val="0"/>
              <w:autoSpaceDE/>
              <w:autoSpaceDN/>
              <w:bidi w:val="0"/>
              <w:adjustRightInd/>
              <w:snapToGrid/>
              <w:spacing w:afterAutospacing="0" w:line="600" w:lineRule="exact"/>
              <w:ind w:left="180" w:hanging="180" w:hangingChars="100"/>
              <w:textAlignment w:val="auto"/>
              <w:rPr>
                <w:rFonts w:hint="default" w:ascii="Times New Roman" w:hAnsi="Times New Roman" w:cs="Times New Roman"/>
                <w:sz w:val="18"/>
                <w:szCs w:val="18"/>
              </w:rPr>
            </w:pPr>
            <w:r>
              <w:rPr>
                <w:rFonts w:hint="default" w:ascii="Times New Roman" w:hAnsi="Times New Roman" w:cs="Times New Roman"/>
                <w:sz w:val="18"/>
                <w:szCs w:val="18"/>
              </w:rPr>
              <w:t>5．要求行政机关确认或重新出具已获取信息</w:t>
            </w:r>
          </w:p>
        </w:tc>
        <w:tc>
          <w:tcPr>
            <w:tcW w:w="554"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rPr>
            </w:pPr>
          </w:p>
        </w:tc>
        <w:tc>
          <w:tcPr>
            <w:tcW w:w="1525" w:type="dxa"/>
            <w:vMerge w:val="restart"/>
            <w:vAlign w:val="center"/>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rPr>
            </w:pPr>
            <w:r>
              <w:rPr>
                <w:rFonts w:hint="default" w:ascii="Times New Roman" w:hAnsi="Times New Roman" w:cs="Times New Roman"/>
                <w:sz w:val="18"/>
                <w:szCs w:val="18"/>
              </w:rPr>
              <w:t>（六）其他处理</w:t>
            </w:r>
          </w:p>
        </w:tc>
        <w:tc>
          <w:tcPr>
            <w:tcW w:w="2634" w:type="dxa"/>
          </w:tcPr>
          <w:p>
            <w:pPr>
              <w:keepNext w:val="0"/>
              <w:keepLines w:val="0"/>
              <w:pageBreakBefore w:val="0"/>
              <w:kinsoku/>
              <w:wordWrap/>
              <w:overflowPunct/>
              <w:topLinePunct w:val="0"/>
              <w:autoSpaceDE/>
              <w:autoSpaceDN/>
              <w:bidi w:val="0"/>
              <w:adjustRightInd/>
              <w:snapToGrid/>
              <w:spacing w:afterAutospacing="0" w:line="600" w:lineRule="exact"/>
              <w:ind w:left="180" w:hanging="180" w:hangingChars="100"/>
              <w:textAlignment w:val="auto"/>
              <w:rPr>
                <w:rFonts w:hint="default" w:ascii="Times New Roman" w:hAnsi="Times New Roman" w:cs="Times New Roman"/>
                <w:sz w:val="18"/>
                <w:szCs w:val="18"/>
              </w:rPr>
            </w:pPr>
            <w:r>
              <w:rPr>
                <w:rFonts w:hint="default" w:ascii="Times New Roman" w:hAnsi="Times New Roman" w:cs="Times New Roman"/>
                <w:sz w:val="18"/>
                <w:szCs w:val="18"/>
              </w:rPr>
              <w:t>1.申请人无正当理由逾期不补正、行政机关不再处理其政府信息公开申请</w:t>
            </w:r>
          </w:p>
        </w:tc>
        <w:tc>
          <w:tcPr>
            <w:tcW w:w="554"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rPr>
            </w:pPr>
          </w:p>
        </w:tc>
        <w:tc>
          <w:tcPr>
            <w:tcW w:w="1525" w:type="dxa"/>
            <w:vMerge w:val="continue"/>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rPr>
            </w:pPr>
          </w:p>
        </w:tc>
        <w:tc>
          <w:tcPr>
            <w:tcW w:w="2634" w:type="dxa"/>
          </w:tcPr>
          <w:p>
            <w:pPr>
              <w:keepNext w:val="0"/>
              <w:keepLines w:val="0"/>
              <w:pageBreakBefore w:val="0"/>
              <w:kinsoku/>
              <w:wordWrap/>
              <w:overflowPunct/>
              <w:topLinePunct w:val="0"/>
              <w:autoSpaceDE/>
              <w:autoSpaceDN/>
              <w:bidi w:val="0"/>
              <w:adjustRightInd/>
              <w:snapToGrid/>
              <w:spacing w:afterAutospacing="0" w:line="600" w:lineRule="exact"/>
              <w:ind w:left="180" w:hanging="180" w:hangingChars="100"/>
              <w:textAlignment w:val="auto"/>
              <w:rPr>
                <w:rFonts w:hint="default" w:ascii="Times New Roman" w:hAnsi="Times New Roman" w:cs="Times New Roman"/>
                <w:sz w:val="18"/>
                <w:szCs w:val="18"/>
              </w:rPr>
            </w:pPr>
            <w:r>
              <w:rPr>
                <w:rFonts w:hint="default" w:ascii="Times New Roman" w:hAnsi="Times New Roman" w:cs="Times New Roman"/>
                <w:sz w:val="18"/>
                <w:szCs w:val="18"/>
              </w:rPr>
              <w:t>2.申请人逾期未按收费通知 要求缴纳费用、行政机关不再处理其政府信息公开申请</w:t>
            </w:r>
          </w:p>
        </w:tc>
        <w:tc>
          <w:tcPr>
            <w:tcW w:w="554"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rPr>
            </w:pPr>
          </w:p>
        </w:tc>
        <w:tc>
          <w:tcPr>
            <w:tcW w:w="1525" w:type="dxa"/>
            <w:vMerge w:val="continue"/>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rPr>
            </w:pPr>
          </w:p>
        </w:tc>
        <w:tc>
          <w:tcPr>
            <w:tcW w:w="2634" w:type="dxa"/>
          </w:tcPr>
          <w:p>
            <w:pPr>
              <w:keepNext w:val="0"/>
              <w:keepLines w:val="0"/>
              <w:pageBreakBefore w:val="0"/>
              <w:kinsoku/>
              <w:wordWrap/>
              <w:overflowPunct/>
              <w:topLinePunct w:val="0"/>
              <w:autoSpaceDE/>
              <w:autoSpaceDN/>
              <w:bidi w:val="0"/>
              <w:adjustRightInd/>
              <w:snapToGrid/>
              <w:spacing w:afterAutospacing="0" w:line="600" w:lineRule="exact"/>
              <w:ind w:left="180" w:hanging="180" w:hangingChars="100"/>
              <w:textAlignment w:val="auto"/>
              <w:rPr>
                <w:rFonts w:hint="default" w:ascii="Times New Roman" w:hAnsi="Times New Roman" w:cs="Times New Roman"/>
                <w:sz w:val="18"/>
                <w:szCs w:val="18"/>
              </w:rPr>
            </w:pPr>
            <w:r>
              <w:rPr>
                <w:rFonts w:hint="default" w:ascii="Times New Roman" w:hAnsi="Times New Roman" w:cs="Times New Roman"/>
                <w:sz w:val="18"/>
                <w:szCs w:val="18"/>
              </w:rPr>
              <w:t>3.其他</w:t>
            </w:r>
          </w:p>
        </w:tc>
        <w:tc>
          <w:tcPr>
            <w:tcW w:w="554"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rPr>
            </w:pPr>
          </w:p>
        </w:tc>
        <w:tc>
          <w:tcPr>
            <w:tcW w:w="4159" w:type="dxa"/>
            <w:gridSpan w:val="2"/>
            <w:vAlign w:val="center"/>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sz w:val="18"/>
                <w:szCs w:val="18"/>
              </w:rPr>
            </w:pPr>
            <w:r>
              <w:rPr>
                <w:rFonts w:hint="default" w:ascii="Times New Roman" w:hAnsi="Times New Roman" w:cs="Times New Roman"/>
                <w:sz w:val="18"/>
                <w:szCs w:val="18"/>
              </w:rPr>
              <w:t>（七）总计</w:t>
            </w:r>
          </w:p>
        </w:tc>
        <w:tc>
          <w:tcPr>
            <w:tcW w:w="554"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713" w:type="dxa"/>
            <w:gridSpan w:val="3"/>
            <w:vAlign w:val="center"/>
          </w:tcPr>
          <w:p>
            <w:pPr>
              <w:keepNext w:val="0"/>
              <w:keepLines w:val="0"/>
              <w:pageBreakBefore w:val="0"/>
              <w:kinsoku/>
              <w:wordWrap/>
              <w:overflowPunct/>
              <w:topLinePunct w:val="0"/>
              <w:autoSpaceDE/>
              <w:autoSpaceDN/>
              <w:bidi w:val="0"/>
              <w:adjustRightInd/>
              <w:snapToGrid/>
              <w:spacing w:afterAutospacing="0" w:line="600" w:lineRule="exact"/>
              <w:textAlignment w:val="auto"/>
              <w:rPr>
                <w:rFonts w:hint="default" w:ascii="Times New Roman" w:hAnsi="Times New Roman" w:cs="Times New Roman"/>
              </w:rPr>
            </w:pPr>
            <w:r>
              <w:rPr>
                <w:rFonts w:hint="default" w:ascii="Times New Roman" w:hAnsi="Times New Roman" w:cs="Times New Roman"/>
              </w:rPr>
              <w:t>四、结转下年度继续办理</w:t>
            </w:r>
          </w:p>
        </w:tc>
        <w:tc>
          <w:tcPr>
            <w:tcW w:w="554"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bl>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Autospacing="0" w:line="600" w:lineRule="exact"/>
        <w:ind w:left="0" w:leftChars="0" w:right="0" w:firstLine="640" w:firstLineChars="200"/>
        <w:jc w:val="both"/>
        <w:textAlignment w:val="auto"/>
        <w:rPr>
          <w:rFonts w:hint="default" w:ascii="Times New Roman" w:hAnsi="Times New Roman" w:eastAsia="黑体" w:cs="Times New Roman"/>
          <w:color w:val="222222"/>
          <w:sz w:val="32"/>
          <w:szCs w:val="32"/>
        </w:rPr>
      </w:pPr>
      <w:r>
        <w:rPr>
          <w:rFonts w:hint="default" w:ascii="Times New Roman" w:hAnsi="Times New Roman" w:eastAsia="黑体" w:cs="Times New Roman"/>
          <w:color w:val="222222"/>
          <w:sz w:val="32"/>
          <w:szCs w:val="32"/>
        </w:rPr>
        <w:t>政府信息公开行政复议、行政诉讼情况</w:t>
      </w:r>
    </w:p>
    <w:tbl>
      <w:tblPr>
        <w:tblStyle w:val="7"/>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709"/>
        <w:gridCol w:w="709"/>
        <w:gridCol w:w="706"/>
        <w:gridCol w:w="428"/>
        <w:gridCol w:w="708"/>
        <w:gridCol w:w="709"/>
        <w:gridCol w:w="709"/>
        <w:gridCol w:w="709"/>
        <w:gridCol w:w="425"/>
        <w:gridCol w:w="709"/>
        <w:gridCol w:w="708"/>
        <w:gridCol w:w="709"/>
        <w:gridCol w:w="694"/>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207" w:type="dxa"/>
            <w:gridSpan w:val="5"/>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行政复议</w:t>
            </w:r>
          </w:p>
        </w:tc>
        <w:tc>
          <w:tcPr>
            <w:tcW w:w="6505" w:type="dxa"/>
            <w:gridSpan w:val="10"/>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55" w:type="dxa"/>
            <w:vMerge w:val="restart"/>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结果维持</w:t>
            </w:r>
          </w:p>
        </w:tc>
        <w:tc>
          <w:tcPr>
            <w:tcW w:w="709" w:type="dxa"/>
            <w:vMerge w:val="restart"/>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结果纠正</w:t>
            </w:r>
          </w:p>
        </w:tc>
        <w:tc>
          <w:tcPr>
            <w:tcW w:w="709" w:type="dxa"/>
            <w:vMerge w:val="restart"/>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其他结果</w:t>
            </w:r>
          </w:p>
        </w:tc>
        <w:tc>
          <w:tcPr>
            <w:tcW w:w="706" w:type="dxa"/>
            <w:vMerge w:val="restart"/>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尚未审结</w:t>
            </w:r>
          </w:p>
        </w:tc>
        <w:tc>
          <w:tcPr>
            <w:tcW w:w="428" w:type="dxa"/>
            <w:vMerge w:val="restart"/>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总计</w:t>
            </w:r>
          </w:p>
        </w:tc>
        <w:tc>
          <w:tcPr>
            <w:tcW w:w="3260" w:type="dxa"/>
            <w:gridSpan w:val="5"/>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未经复议直接起诉</w:t>
            </w:r>
          </w:p>
        </w:tc>
        <w:tc>
          <w:tcPr>
            <w:tcW w:w="3245" w:type="dxa"/>
            <w:gridSpan w:val="5"/>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655" w:type="dxa"/>
            <w:vMerge w:val="continue"/>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sz w:val="18"/>
                <w:szCs w:val="18"/>
              </w:rPr>
            </w:pPr>
          </w:p>
        </w:tc>
        <w:tc>
          <w:tcPr>
            <w:tcW w:w="709" w:type="dxa"/>
            <w:vMerge w:val="continue"/>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sz w:val="18"/>
                <w:szCs w:val="18"/>
              </w:rPr>
            </w:pPr>
          </w:p>
        </w:tc>
        <w:tc>
          <w:tcPr>
            <w:tcW w:w="709" w:type="dxa"/>
            <w:vMerge w:val="continue"/>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sz w:val="18"/>
                <w:szCs w:val="18"/>
              </w:rPr>
            </w:pPr>
          </w:p>
        </w:tc>
        <w:tc>
          <w:tcPr>
            <w:tcW w:w="706" w:type="dxa"/>
            <w:vMerge w:val="continue"/>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szCs w:val="21"/>
              </w:rPr>
            </w:pPr>
          </w:p>
        </w:tc>
        <w:tc>
          <w:tcPr>
            <w:tcW w:w="428" w:type="dxa"/>
            <w:vMerge w:val="continue"/>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szCs w:val="21"/>
              </w:rPr>
            </w:pPr>
          </w:p>
        </w:tc>
        <w:tc>
          <w:tcPr>
            <w:tcW w:w="708"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结果维持</w:t>
            </w:r>
          </w:p>
        </w:tc>
        <w:tc>
          <w:tcPr>
            <w:tcW w:w="709"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结果纠正</w:t>
            </w:r>
          </w:p>
        </w:tc>
        <w:tc>
          <w:tcPr>
            <w:tcW w:w="709"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其他结果</w:t>
            </w:r>
          </w:p>
        </w:tc>
        <w:tc>
          <w:tcPr>
            <w:tcW w:w="709"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尚未审结</w:t>
            </w:r>
          </w:p>
        </w:tc>
        <w:tc>
          <w:tcPr>
            <w:tcW w:w="42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总计</w:t>
            </w:r>
          </w:p>
        </w:tc>
        <w:tc>
          <w:tcPr>
            <w:tcW w:w="709"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结果维持</w:t>
            </w:r>
          </w:p>
        </w:tc>
        <w:tc>
          <w:tcPr>
            <w:tcW w:w="708"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结果纠正</w:t>
            </w:r>
          </w:p>
        </w:tc>
        <w:tc>
          <w:tcPr>
            <w:tcW w:w="709"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其他结果</w:t>
            </w:r>
          </w:p>
        </w:tc>
        <w:tc>
          <w:tcPr>
            <w:tcW w:w="694"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尚未审结</w:t>
            </w:r>
          </w:p>
        </w:tc>
        <w:tc>
          <w:tcPr>
            <w:tcW w:w="42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0</w:t>
            </w:r>
          </w:p>
        </w:tc>
        <w:tc>
          <w:tcPr>
            <w:tcW w:w="706"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428"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708"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42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708"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694"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425" w:type="dxa"/>
            <w:vAlign w:val="center"/>
          </w:tcPr>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r>
    </w:tbl>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default" w:ascii="Times New Roman" w:hAnsi="Times New Roman" w:eastAsia="黑体" w:cs="Times New Roman"/>
          <w:color w:val="222222"/>
          <w:sz w:val="32"/>
          <w:szCs w:val="32"/>
          <w:highlight w:val="none"/>
        </w:rPr>
      </w:pPr>
      <w:r>
        <w:rPr>
          <w:rFonts w:hint="default" w:ascii="Times New Roman" w:hAnsi="Times New Roman" w:eastAsia="黑体" w:cs="Times New Roman"/>
          <w:color w:val="222222"/>
          <w:sz w:val="32"/>
          <w:szCs w:val="32"/>
          <w:highlight w:val="none"/>
        </w:rPr>
        <w:t>五、存在的主要问题及改进情况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Times New Roman" w:hAnsi="Times New Roman" w:eastAsia="楷体_GB2312" w:cs="Times New Roman"/>
          <w:b w:val="0"/>
          <w:i w:val="0"/>
          <w:caps w:val="0"/>
          <w:color w:val="000000"/>
          <w:spacing w:val="0"/>
          <w:sz w:val="32"/>
          <w:szCs w:val="32"/>
          <w:highlight w:val="none"/>
          <w:lang w:val="en-US" w:eastAsia="zh-CN"/>
        </w:rPr>
        <w:t>存在的主要问题：</w:t>
      </w:r>
      <w:r>
        <w:rPr>
          <w:rFonts w:hint="eastAsia" w:ascii="仿宋_GB2312" w:hAnsi="仿宋_GB2312" w:eastAsia="仿宋_GB2312" w:cs="仿宋_GB2312"/>
          <w:sz w:val="32"/>
          <w:szCs w:val="32"/>
          <w:highlight w:val="none"/>
          <w:lang w:val="en-US" w:eastAsia="zh-CN"/>
        </w:rPr>
        <w:t>1、公开信息内容深度不够。由于政务公开的信息范围有限，有些与群众自身联系较远的政府信息，不能引起群众的重视程度，与群众的需求有一定的距离。2、宣传形式较少，群众对政府信息的关注度不够，群众不能将一些重点的与群众利益相关的信息及时通过政务公开平台了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改进情况：1、对政府信息的内容进行筛选、定位，将群众最期望关注的事情，及时有效的通过微信公众号、微信视频号等方式进行宣传。同时严把内容关，</w:t>
      </w:r>
      <w:r>
        <w:rPr>
          <w:rFonts w:hint="eastAsia" w:ascii="仿宋_GB2312" w:hAnsi="仿宋_GB2312" w:eastAsia="仿宋_GB2312" w:cs="仿宋_GB2312"/>
          <w:sz w:val="32"/>
          <w:szCs w:val="32"/>
          <w:highlight w:val="none"/>
        </w:rPr>
        <w:t>依据相关法律、法规严格审核公开内容，确保政府信息公开不影响国家安全、公共安全、经济安全和社会稳定，真正体现公开、公平、公正。</w:t>
      </w:r>
      <w:r>
        <w:rPr>
          <w:rFonts w:hint="eastAsia" w:ascii="仿宋_GB2312" w:hAnsi="仿宋_GB2312" w:eastAsia="仿宋_GB2312" w:cs="仿宋_GB2312"/>
          <w:sz w:val="32"/>
          <w:szCs w:val="32"/>
          <w:highlight w:val="none"/>
          <w:lang w:val="en-US" w:eastAsia="zh-CN"/>
        </w:rPr>
        <w:t>通过公开更加全面的信息，满足群众的需求，保障群众的知情权。</w:t>
      </w:r>
      <w:r>
        <w:rPr>
          <w:rFonts w:hint="eastAsia" w:ascii="仿宋_GB2312" w:hAnsi="仿宋_GB2312" w:eastAsia="仿宋_GB2312" w:cs="仿宋_GB2312"/>
          <w:b w:val="0"/>
          <w:bCs w:val="0"/>
          <w:sz w:val="32"/>
          <w:szCs w:val="32"/>
          <w:highlight w:val="none"/>
          <w:lang w:val="en-US" w:eastAsia="zh-CN"/>
        </w:rPr>
        <w:t>2、增加宣传方式，扩大宣传范围。</w:t>
      </w:r>
      <w:r>
        <w:rPr>
          <w:rFonts w:hint="eastAsia" w:ascii="仿宋_GB2312" w:hAnsi="仿宋_GB2312" w:eastAsia="仿宋_GB2312" w:cs="仿宋_GB2312"/>
          <w:sz w:val="32"/>
          <w:szCs w:val="32"/>
          <w:highlight w:val="none"/>
          <w:lang w:val="en-US" w:eastAsia="zh-CN"/>
        </w:rPr>
        <w:t>通过微信公众号发布皇城镇人民政府政务信息公开平台网址，并且讲解查询步骤，以此给予群众指导，便利群众查询相关信息，从而提高政务公开平台的利用率。</w:t>
      </w:r>
      <w:r>
        <w:rPr>
          <w:rFonts w:hint="eastAsia" w:ascii="仿宋_GB2312" w:hAnsi="仿宋_GB2312" w:eastAsia="仿宋_GB2312" w:cs="仿宋_GB2312"/>
          <w:sz w:val="32"/>
          <w:szCs w:val="32"/>
          <w:highlight w:val="none"/>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黑体" w:cs="Times New Roman"/>
          <w:color w:val="222222"/>
          <w:sz w:val="32"/>
          <w:szCs w:val="32"/>
        </w:rPr>
      </w:pPr>
      <w:r>
        <w:rPr>
          <w:rFonts w:hint="default" w:ascii="Times New Roman" w:hAnsi="Times New Roman" w:eastAsia="黑体" w:cs="Times New Roman"/>
          <w:color w:val="222222"/>
          <w:sz w:val="32"/>
          <w:szCs w:val="32"/>
        </w:rPr>
        <w:t>六、其他需要报告的事项</w:t>
      </w:r>
    </w:p>
    <w:p>
      <w:pPr>
        <w:keepNext w:val="0"/>
        <w:keepLines w:val="0"/>
        <w:pageBreakBefore w:val="0"/>
        <w:kinsoku/>
        <w:wordWrap/>
        <w:overflowPunct/>
        <w:topLinePunct w:val="0"/>
        <w:autoSpaceDE/>
        <w:autoSpaceDN/>
        <w:bidi w:val="0"/>
        <w:adjustRightInd/>
        <w:snapToGrid/>
        <w:spacing w:afterAutospacing="0" w:line="600" w:lineRule="exact"/>
        <w:ind w:firstLine="640" w:firstLineChars="200"/>
        <w:textAlignment w:val="auto"/>
        <w:rPr>
          <w:rFonts w:ascii="仿宋" w:hAnsi="仿宋" w:eastAsia="仿宋"/>
          <w:color w:val="000000"/>
          <w:sz w:val="32"/>
          <w:szCs w:val="32"/>
        </w:rPr>
      </w:pPr>
      <w:r>
        <w:rPr>
          <w:rFonts w:hint="eastAsia" w:ascii="楷体" w:hAnsi="楷体" w:eastAsia="楷体"/>
          <w:color w:val="000000"/>
          <w:sz w:val="32"/>
          <w:szCs w:val="32"/>
        </w:rPr>
        <w:t>（一）收取信息处理费情况。</w:t>
      </w:r>
      <w:r>
        <w:rPr>
          <w:rFonts w:hint="eastAsia" w:ascii="仿宋_GB2312" w:hAnsi="仿宋_GB2312" w:eastAsia="仿宋_GB2312" w:cs="仿宋_GB2312"/>
          <w:color w:val="000000"/>
          <w:sz w:val="32"/>
          <w:szCs w:val="32"/>
        </w:rPr>
        <w:t>本年度未有收取信息处理费情况。</w:t>
      </w:r>
    </w:p>
    <w:p>
      <w:pPr>
        <w:keepNext w:val="0"/>
        <w:keepLines w:val="0"/>
        <w:pageBreakBefore w:val="0"/>
        <w:kinsoku/>
        <w:wordWrap/>
        <w:overflowPunct/>
        <w:topLinePunct w:val="0"/>
        <w:autoSpaceDE/>
        <w:autoSpaceDN/>
        <w:bidi w:val="0"/>
        <w:adjustRightInd/>
        <w:snapToGrid/>
        <w:spacing w:afterAutospacing="0" w:line="600" w:lineRule="exact"/>
        <w:ind w:firstLine="640" w:firstLineChars="200"/>
        <w:textAlignment w:val="auto"/>
        <w:rPr>
          <w:rFonts w:ascii="仿宋" w:hAnsi="仿宋" w:eastAsia="仿宋"/>
          <w:color w:val="000000"/>
          <w:sz w:val="32"/>
          <w:szCs w:val="32"/>
        </w:rPr>
      </w:pPr>
      <w:r>
        <w:rPr>
          <w:rFonts w:hint="eastAsia" w:ascii="楷体" w:hAnsi="楷体" w:eastAsia="楷体"/>
          <w:color w:val="000000"/>
          <w:sz w:val="32"/>
          <w:szCs w:val="32"/>
        </w:rPr>
        <w:t>（二）人大代表建议和政协提案办理情况。</w:t>
      </w:r>
      <w:r>
        <w:rPr>
          <w:rFonts w:hint="eastAsia" w:ascii="仿宋_GB2312" w:hAnsi="仿宋_GB2312" w:eastAsia="仿宋_GB2312" w:cs="仿宋_GB2312"/>
          <w:color w:val="000000"/>
          <w:sz w:val="32"/>
          <w:szCs w:val="32"/>
        </w:rPr>
        <w:t>2021年，区政府办公室共承办人大代表建议</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件；承办政协提案0件。</w:t>
      </w:r>
    </w:p>
    <w:p>
      <w:pPr>
        <w:keepNext w:val="0"/>
        <w:keepLines w:val="0"/>
        <w:pageBreakBefore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楷体" w:hAnsi="楷体" w:eastAsia="楷体"/>
          <w:color w:val="000000"/>
          <w:sz w:val="32"/>
          <w:szCs w:val="32"/>
        </w:rPr>
        <w:t>（三）年度工作要点落实情况。</w:t>
      </w:r>
      <w:r>
        <w:rPr>
          <w:rFonts w:hint="eastAsia" w:ascii="仿宋_GB2312" w:hAnsi="仿宋_GB2312" w:eastAsia="仿宋_GB2312" w:cs="仿宋_GB2312"/>
          <w:color w:val="000000"/>
          <w:sz w:val="32"/>
          <w:szCs w:val="32"/>
        </w:rPr>
        <w:t>细化重要部署执行公开，做好2021年</w:t>
      </w:r>
      <w:r>
        <w:rPr>
          <w:rFonts w:hint="eastAsia" w:ascii="仿宋_GB2312" w:hAnsi="仿宋_GB2312" w:eastAsia="仿宋_GB2312" w:cs="仿宋_GB2312"/>
          <w:color w:val="000000"/>
          <w:sz w:val="32"/>
          <w:szCs w:val="32"/>
          <w:lang w:val="en-US" w:eastAsia="zh-CN"/>
        </w:rPr>
        <w:t>镇</w:t>
      </w:r>
      <w:r>
        <w:rPr>
          <w:rFonts w:hint="eastAsia" w:ascii="仿宋_GB2312" w:hAnsi="仿宋_GB2312" w:eastAsia="仿宋_GB2312" w:cs="仿宋_GB2312"/>
          <w:color w:val="000000"/>
          <w:sz w:val="32"/>
          <w:szCs w:val="32"/>
        </w:rPr>
        <w:t>政府工作报告主要任务目标落实情况公开，根据工作推进情况汇总并按季度公开工作进展、取得成效等；做好本单位财政预算、决算及相关报表公开；做好解读公开，对主动公开的行政规范性文件、重要政策文件、有关工作方案、年度报告等，均进行解读</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 w:hAnsi="仿宋" w:eastAsia="仿宋"/>
          <w:color w:val="000000"/>
          <w:sz w:val="32"/>
          <w:szCs w:val="32"/>
          <w:lang w:eastAsia="zh-CN"/>
        </w:rPr>
      </w:pPr>
    </w:p>
    <w:p>
      <w:pPr>
        <w:keepNext w:val="0"/>
        <w:keepLines w:val="0"/>
        <w:pageBreakBefore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 w:hAnsi="仿宋" w:eastAsia="仿宋"/>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afterAutospacing="0" w:line="600" w:lineRule="exact"/>
        <w:ind w:right="840" w:rightChars="400" w:firstLine="640" w:firstLineChars="200"/>
        <w:jc w:val="righ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皇城镇人民政府</w:t>
      </w:r>
    </w:p>
    <w:p>
      <w:pPr>
        <w:keepNext w:val="0"/>
        <w:keepLines w:val="0"/>
        <w:pageBreakBefore w:val="0"/>
        <w:widowControl w:val="0"/>
        <w:kinsoku/>
        <w:wordWrap/>
        <w:overflowPunct/>
        <w:topLinePunct w:val="0"/>
        <w:autoSpaceDE/>
        <w:autoSpaceDN/>
        <w:bidi w:val="0"/>
        <w:adjustRightInd/>
        <w:snapToGrid/>
        <w:spacing w:afterAutospacing="0" w:line="600" w:lineRule="exact"/>
        <w:ind w:right="840" w:rightChars="400" w:firstLine="640" w:firstLineChars="200"/>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2022年1月20日</w:t>
      </w:r>
    </w:p>
    <w:p>
      <w:pPr>
        <w:keepNext w:val="0"/>
        <w:keepLines w:val="0"/>
        <w:pageBreakBefore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 w:hAnsi="仿宋" w:eastAsia="仿宋"/>
          <w:color w:val="000000"/>
          <w:sz w:val="32"/>
          <w:szCs w:val="32"/>
          <w:lang w:val="en-US" w:eastAsia="zh-CN"/>
        </w:rPr>
      </w:pPr>
    </w:p>
    <w:sectPr>
      <w:pgSz w:w="11906" w:h="16838"/>
      <w:pgMar w:top="2098"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粗黑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FD76C"/>
    <w:multiLevelType w:val="singleLevel"/>
    <w:tmpl w:val="BF6FD76C"/>
    <w:lvl w:ilvl="0" w:tentative="0">
      <w:start w:val="2"/>
      <w:numFmt w:val="chineseCounting"/>
      <w:suff w:val="nothing"/>
      <w:lvlText w:val="（%1）"/>
      <w:lvlJc w:val="left"/>
      <w:rPr>
        <w:rFonts w:hint="eastAsia"/>
      </w:rPr>
    </w:lvl>
  </w:abstractNum>
  <w:abstractNum w:abstractNumId="1">
    <w:nsid w:val="308CCDAB"/>
    <w:multiLevelType w:val="singleLevel"/>
    <w:tmpl w:val="308CCDAB"/>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80283"/>
    <w:rsid w:val="04753980"/>
    <w:rsid w:val="18D12FFB"/>
    <w:rsid w:val="335E7ECD"/>
    <w:rsid w:val="33D87354"/>
    <w:rsid w:val="3ACD0092"/>
    <w:rsid w:val="3E3C34CE"/>
    <w:rsid w:val="4A6F7E4A"/>
    <w:rsid w:val="5E1A2FA9"/>
    <w:rsid w:val="63DC7F72"/>
    <w:rsid w:val="671B6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table" w:customStyle="1" w:styleId="11">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2021-01-21T07:32:00Z</dcterms:created>
  <dc:creator>Lenovo</dc:creator>
  <cp:lastModifiedBy>Lenovo</cp:lastModifiedBy>
  <dcterms:modified xsi:type="dcterms:W3CDTF">2022-01-26T09:58:30Z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A2C335C40ECF478C8B7EF8DC72F95EE0</vt:lpwstr>
  </property>
</Properties>
</file>