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640" w:lineRule="exact"/>
        <w:jc w:val="center"/>
        <w:rPr>
          <w:rFonts w:hint="eastAsia" w:ascii="方正小标宋简体" w:hAnsi="黑体" w:eastAsia="方正小标宋简体"/>
          <w:sz w:val="44"/>
          <w:szCs w:val="44"/>
          <w:lang w:eastAsia="zh-CN"/>
        </w:rPr>
      </w:pPr>
      <w:r>
        <w:rPr>
          <w:rFonts w:hint="eastAsia" w:ascii="方正小标宋简体" w:hAnsi="黑体" w:eastAsia="方正小标宋简体"/>
          <w:sz w:val="44"/>
          <w:szCs w:val="44"/>
        </w:rPr>
        <w:t>临淄区</w:t>
      </w:r>
      <w:r>
        <w:rPr>
          <w:rFonts w:hint="eastAsia" w:ascii="方正小标宋简体" w:hAnsi="黑体" w:eastAsia="方正小标宋简体"/>
          <w:sz w:val="44"/>
          <w:szCs w:val="44"/>
          <w:lang w:val="en-US" w:eastAsia="zh-CN"/>
        </w:rPr>
        <w:t>金岭回族镇</w:t>
      </w:r>
    </w:p>
    <w:p>
      <w:pPr>
        <w:spacing w:line="640" w:lineRule="exact"/>
        <w:jc w:val="center"/>
        <w:rPr>
          <w:rFonts w:ascii="方正小标宋简体" w:hAnsi="黑体" w:eastAsia="方正小标宋简体"/>
          <w:sz w:val="44"/>
          <w:szCs w:val="44"/>
        </w:rPr>
      </w:pPr>
      <w:r>
        <w:rPr>
          <w:rFonts w:hint="eastAsia" w:ascii="方正小标宋简体" w:hAnsi="黑体" w:eastAsia="方正小标宋简体"/>
          <w:sz w:val="44"/>
          <w:szCs w:val="44"/>
        </w:rPr>
        <w:t>20</w:t>
      </w:r>
      <w:r>
        <w:rPr>
          <w:rFonts w:ascii="方正小标宋简体" w:hAnsi="黑体" w:eastAsia="方正小标宋简体"/>
          <w:sz w:val="44"/>
          <w:szCs w:val="44"/>
        </w:rPr>
        <w:t>21</w:t>
      </w:r>
      <w:r>
        <w:rPr>
          <w:rFonts w:hint="eastAsia" w:ascii="方正小标宋简体" w:hAnsi="黑体" w:eastAsia="方正小标宋简体"/>
          <w:sz w:val="44"/>
          <w:szCs w:val="44"/>
        </w:rPr>
        <w:t>年政府信息公开工作年度报告</w:t>
      </w:r>
    </w:p>
    <w:p>
      <w:pPr>
        <w:spacing w:line="640" w:lineRule="exact"/>
        <w:jc w:val="center"/>
        <w:rPr>
          <w:rFonts w:ascii="方正小标宋简体" w:hAnsi="黑体" w:eastAsia="方正小标宋简体"/>
          <w:sz w:val="44"/>
          <w:szCs w:val="44"/>
        </w:rPr>
      </w:pP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本报告按照《国务院办公厅政府信息与政务公开办公室关于印发&lt;中华人民共和国政府信息公开工作年度报告格式&gt;的通知》(国办公开办函〔2021〕30号)和《中华人民共和国政府信息公开条例》要求编制，全文包括总体情况、主动公开政府信息情况、收到和处理政府信息公开申请情况、政府信息公开行政复议及行政诉讼情况、政府信息公开工作存在的主要问题及改进情况、其他需要报告的事项。本年度报告中所列数据统计期限从2021年1月1日到12月31日止。</w:t>
      </w:r>
    </w:p>
    <w:p>
      <w:pPr>
        <w:keepNext w:val="0"/>
        <w:keepLines w:val="0"/>
        <w:pageBreakBefore w:val="0"/>
        <w:numPr>
          <w:ilvl w:val="0"/>
          <w:numId w:val="1"/>
        </w:numPr>
        <w:kinsoku/>
        <w:wordWrap/>
        <w:overflowPunct/>
        <w:topLinePunct w:val="0"/>
        <w:autoSpaceDE/>
        <w:autoSpaceDN/>
        <w:bidi w:val="0"/>
        <w:adjustRightInd/>
        <w:snapToGrid/>
        <w:spacing w:line="560" w:lineRule="exact"/>
        <w:ind w:left="640" w:leftChars="0" w:firstLine="0" w:firstLineChars="0"/>
        <w:textAlignment w:val="auto"/>
        <w:rPr>
          <w:rFonts w:hint="eastAsia" w:ascii="黑体" w:hAnsi="黑体" w:eastAsia="黑体"/>
          <w:sz w:val="32"/>
          <w:szCs w:val="32"/>
        </w:rPr>
      </w:pPr>
      <w:r>
        <w:rPr>
          <w:rFonts w:hint="eastAsia" w:ascii="黑体" w:hAnsi="黑体" w:eastAsia="黑体"/>
          <w:sz w:val="32"/>
          <w:szCs w:val="32"/>
        </w:rPr>
        <w:t>总体情况</w:t>
      </w:r>
    </w:p>
    <w:p>
      <w:pPr>
        <w:keepNext w:val="0"/>
        <w:keepLines w:val="0"/>
        <w:pageBreakBefore w:val="0"/>
        <w:numPr>
          <w:ilvl w:val="0"/>
          <w:numId w:val="2"/>
        </w:numPr>
        <w:kinsoku/>
        <w:wordWrap/>
        <w:overflowPunct/>
        <w:topLinePunct w:val="0"/>
        <w:autoSpaceDE/>
        <w:autoSpaceDN/>
        <w:bidi w:val="0"/>
        <w:adjustRightInd/>
        <w:snapToGrid/>
        <w:spacing w:line="560" w:lineRule="exact"/>
        <w:ind w:left="640" w:lef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主动公开情况说明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sz w:val="32"/>
          <w:szCs w:val="32"/>
          <w:lang w:val="en-US" w:eastAsia="zh-CN"/>
        </w:rPr>
        <w:t>全镇 2021年度共主动公开政府业务工作信息87条，法规公文信息5条，其中全文电子化达100%。为方便公众了解信息，进一步完善了线上金岭回族镇政务信息系统及线下公示栏，同时拓展多方渠道，通过公告栏、微信公众号、视频号、抖音号等公共媒体进行宣传，确保了便民服务性的落实。</w:t>
      </w:r>
    </w:p>
    <w:p>
      <w:pPr>
        <w:keepNext w:val="0"/>
        <w:keepLines w:val="0"/>
        <w:pageBreakBefore w:val="0"/>
        <w:numPr>
          <w:ilvl w:val="0"/>
          <w:numId w:val="2"/>
        </w:numPr>
        <w:kinsoku/>
        <w:wordWrap/>
        <w:overflowPunct/>
        <w:topLinePunct w:val="0"/>
        <w:autoSpaceDE/>
        <w:autoSpaceDN/>
        <w:bidi w:val="0"/>
        <w:adjustRightInd/>
        <w:snapToGrid/>
        <w:spacing w:line="560" w:lineRule="exact"/>
        <w:ind w:left="640" w:lef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依申请公开情况说明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2021年度，全镇受理信息公开申请0件。</w:t>
      </w:r>
    </w:p>
    <w:p>
      <w:pPr>
        <w:keepNext w:val="0"/>
        <w:keepLines w:val="0"/>
        <w:pageBreakBefore w:val="0"/>
        <w:numPr>
          <w:ilvl w:val="0"/>
          <w:numId w:val="2"/>
        </w:numPr>
        <w:kinsoku/>
        <w:wordWrap/>
        <w:overflowPunct/>
        <w:topLinePunct w:val="0"/>
        <w:autoSpaceDE/>
        <w:autoSpaceDN/>
        <w:bidi w:val="0"/>
        <w:adjustRightInd/>
        <w:snapToGrid/>
        <w:spacing w:line="560" w:lineRule="exact"/>
        <w:ind w:left="640" w:lef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政府信息管理情况说明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进一步完善了政府信息公开各项管理制度。为提高政府信息公开便民性，方便群众查阅，根据《中华人民共和国政府信息公开条例》（国务院令第711号）、《山东省政府信息公开办法》，我镇将《金岭回族镇人民政府信息公开指南》进一步完善，将其中主动公开、依申请公开和不予公开三类公开信息类别依据范围、形式、时限、注意事项等程序性内容进行细化，并及时于临淄区金岭回族镇人民政府网站上发布。同时依据主动公开基本目录，我镇信息公开工作人员更精细化地将公开内容进行分类、校稿、审核，确保信息公开工作的良好开展。</w:t>
      </w:r>
    </w:p>
    <w:p>
      <w:pPr>
        <w:keepNext w:val="0"/>
        <w:keepLines w:val="0"/>
        <w:pageBreakBefore w:val="0"/>
        <w:numPr>
          <w:ilvl w:val="0"/>
          <w:numId w:val="2"/>
        </w:numPr>
        <w:kinsoku/>
        <w:wordWrap/>
        <w:overflowPunct/>
        <w:topLinePunct w:val="0"/>
        <w:autoSpaceDE/>
        <w:autoSpaceDN/>
        <w:bidi w:val="0"/>
        <w:adjustRightInd/>
        <w:snapToGrid/>
        <w:spacing w:line="560" w:lineRule="exact"/>
        <w:ind w:left="640" w:lef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政府信息公开平台建设情况说明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我镇日常政府信息公开平台主要由线上临淄区金岭回族镇人民政府网站以及线下公示栏组成，2021全年两平台运行良好。同时为扩大政府信息公开群众覆盖面，微信公众号、视频号、抖音号等媒体平台皆被充分的运用，面对一些紧急公开信息，我镇采取网站、微信公众号、视频号一线牵的形式，及时的在多平台多渠道进行发布，以确保信息的时效性。</w:t>
      </w:r>
    </w:p>
    <w:p>
      <w:pPr>
        <w:keepNext w:val="0"/>
        <w:keepLines w:val="0"/>
        <w:pageBreakBefore w:val="0"/>
        <w:numPr>
          <w:ilvl w:val="0"/>
          <w:numId w:val="2"/>
        </w:numPr>
        <w:kinsoku/>
        <w:wordWrap/>
        <w:overflowPunct/>
        <w:topLinePunct w:val="0"/>
        <w:autoSpaceDE/>
        <w:autoSpaceDN/>
        <w:bidi w:val="0"/>
        <w:adjustRightInd/>
        <w:snapToGrid/>
        <w:spacing w:line="560" w:lineRule="exact"/>
        <w:ind w:left="640" w:leftChars="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监督保障情况说明</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进一步加强组织领导队伍，及时充实工作力量。由于人事变动，我镇及时调整了人员部署，确保政务公开工作的延续性。镇长及党委副书记分别担任信息公开领导小组组长及副组长，党政办副主任具体负责信息公开工作，并配备了信息公开工作人员2名。 </w:t>
      </w:r>
    </w:p>
    <w:tbl>
      <w:tblPr>
        <w:tblStyle w:val="6"/>
        <w:tblW w:w="85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5"/>
        <w:gridCol w:w="1677"/>
        <w:gridCol w:w="1912"/>
        <w:gridCol w:w="3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95"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sz w:val="26"/>
                <w:szCs w:val="26"/>
                <w:vertAlign w:val="baseline"/>
                <w:lang w:val="en-US" w:eastAsia="zh-CN"/>
              </w:rPr>
            </w:pPr>
            <w:r>
              <w:rPr>
                <w:rFonts w:hint="eastAsia" w:ascii="仿宋" w:hAnsi="仿宋" w:eastAsia="仿宋" w:cs="仿宋"/>
                <w:b/>
                <w:bCs/>
                <w:sz w:val="26"/>
                <w:szCs w:val="26"/>
                <w:vertAlign w:val="baseline"/>
                <w:lang w:val="en-US" w:eastAsia="zh-CN"/>
              </w:rPr>
              <w:t>姓  名</w:t>
            </w:r>
          </w:p>
        </w:tc>
        <w:tc>
          <w:tcPr>
            <w:tcW w:w="1677"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sz w:val="26"/>
                <w:szCs w:val="26"/>
                <w:vertAlign w:val="baseline"/>
                <w:lang w:val="en-US" w:eastAsia="zh-CN"/>
              </w:rPr>
            </w:pPr>
            <w:r>
              <w:rPr>
                <w:rFonts w:hint="eastAsia" w:ascii="仿宋" w:hAnsi="仿宋" w:eastAsia="仿宋" w:cs="仿宋"/>
                <w:b/>
                <w:bCs/>
                <w:sz w:val="26"/>
                <w:szCs w:val="26"/>
                <w:vertAlign w:val="baseline"/>
                <w:lang w:val="en-US" w:eastAsia="zh-CN"/>
              </w:rPr>
              <w:t>职  务</w:t>
            </w:r>
          </w:p>
        </w:tc>
        <w:tc>
          <w:tcPr>
            <w:tcW w:w="1912"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sz w:val="26"/>
                <w:szCs w:val="26"/>
                <w:vertAlign w:val="baseline"/>
                <w:lang w:val="en-US" w:eastAsia="zh-CN"/>
              </w:rPr>
            </w:pPr>
            <w:r>
              <w:rPr>
                <w:rFonts w:hint="eastAsia" w:ascii="仿宋" w:hAnsi="仿宋" w:eastAsia="仿宋" w:cs="仿宋"/>
                <w:b/>
                <w:bCs/>
                <w:sz w:val="26"/>
                <w:szCs w:val="26"/>
                <w:vertAlign w:val="baseline"/>
                <w:lang w:val="en-US" w:eastAsia="zh-CN"/>
              </w:rPr>
              <w:t>联系方式</w:t>
            </w:r>
          </w:p>
        </w:tc>
        <w:tc>
          <w:tcPr>
            <w:tcW w:w="3900"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default" w:ascii="仿宋" w:hAnsi="仿宋" w:eastAsia="仿宋" w:cs="仿宋"/>
                <w:b/>
                <w:bCs/>
                <w:sz w:val="26"/>
                <w:szCs w:val="26"/>
                <w:vertAlign w:val="baseline"/>
                <w:lang w:val="en-US" w:eastAsia="zh-CN"/>
              </w:rPr>
            </w:pPr>
            <w:r>
              <w:rPr>
                <w:rFonts w:hint="eastAsia" w:ascii="仿宋" w:hAnsi="仿宋" w:eastAsia="仿宋" w:cs="仿宋"/>
                <w:b/>
                <w:bCs/>
                <w:sz w:val="26"/>
                <w:szCs w:val="26"/>
                <w:vertAlign w:val="baseline"/>
                <w:lang w:val="en-US" w:eastAsia="zh-CN"/>
              </w:rPr>
              <w:t>职  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015" w:hRule="atLeast"/>
        </w:trPr>
        <w:tc>
          <w:tcPr>
            <w:tcW w:w="1095"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6"/>
                <w:szCs w:val="26"/>
                <w:vertAlign w:val="baseline"/>
                <w:lang w:val="en-US" w:eastAsia="zh-CN"/>
              </w:rPr>
            </w:pPr>
            <w:r>
              <w:rPr>
                <w:rFonts w:hint="eastAsia" w:ascii="仿宋_GB2312" w:hAnsi="仿宋_GB2312" w:eastAsia="仿宋_GB2312" w:cs="仿宋_GB2312"/>
                <w:sz w:val="26"/>
                <w:szCs w:val="26"/>
                <w:vertAlign w:val="baseline"/>
                <w:lang w:val="en-US" w:eastAsia="zh-CN"/>
              </w:rPr>
              <w:t>李泽龙</w:t>
            </w:r>
          </w:p>
        </w:tc>
        <w:tc>
          <w:tcPr>
            <w:tcW w:w="1677"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6"/>
                <w:szCs w:val="26"/>
                <w:vertAlign w:val="baseline"/>
                <w:lang w:val="en-US" w:eastAsia="zh-CN"/>
              </w:rPr>
            </w:pPr>
            <w:r>
              <w:rPr>
                <w:rFonts w:hint="eastAsia" w:ascii="仿宋_GB2312" w:hAnsi="仿宋_GB2312" w:eastAsia="仿宋_GB2312" w:cs="仿宋_GB2312"/>
                <w:sz w:val="26"/>
                <w:szCs w:val="26"/>
                <w:vertAlign w:val="baseline"/>
                <w:lang w:val="en-US" w:eastAsia="zh-CN"/>
              </w:rPr>
              <w:t>党委副书记</w:t>
            </w:r>
          </w:p>
        </w:tc>
        <w:tc>
          <w:tcPr>
            <w:tcW w:w="1912"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6"/>
                <w:szCs w:val="26"/>
                <w:vertAlign w:val="baseline"/>
                <w:lang w:val="en-US" w:eastAsia="zh-CN"/>
              </w:rPr>
            </w:pPr>
            <w:r>
              <w:rPr>
                <w:rFonts w:hint="eastAsia" w:ascii="仿宋_GB2312" w:hAnsi="仿宋_GB2312" w:eastAsia="仿宋_GB2312" w:cs="仿宋_GB2312"/>
                <w:sz w:val="26"/>
                <w:szCs w:val="26"/>
                <w:vertAlign w:val="baseline"/>
                <w:lang w:val="en-US" w:eastAsia="zh-CN"/>
              </w:rPr>
              <w:t>18753357806</w:t>
            </w:r>
          </w:p>
        </w:tc>
        <w:tc>
          <w:tcPr>
            <w:tcW w:w="3900" w:type="dxa"/>
          </w:tcPr>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6"/>
                <w:szCs w:val="26"/>
                <w:vertAlign w:val="baseline"/>
                <w:lang w:val="en-US" w:eastAsia="zh-CN"/>
              </w:rPr>
            </w:pPr>
            <w:r>
              <w:rPr>
                <w:rFonts w:hint="eastAsia" w:ascii="仿宋_GB2312" w:hAnsi="仿宋_GB2312" w:eastAsia="仿宋_GB2312" w:cs="仿宋_GB2312"/>
                <w:sz w:val="26"/>
                <w:szCs w:val="26"/>
                <w:vertAlign w:val="baseline"/>
                <w:lang w:val="en-US" w:eastAsia="zh-CN"/>
              </w:rPr>
              <w:t>政务公开分管领导，统筹负责政务公开工作。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3" w:hRule="atLeast"/>
        </w:trPr>
        <w:tc>
          <w:tcPr>
            <w:tcW w:w="1095"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6"/>
                <w:szCs w:val="26"/>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6"/>
                <w:szCs w:val="26"/>
                <w:vertAlign w:val="baseline"/>
                <w:lang w:val="en-US" w:eastAsia="zh-CN"/>
              </w:rPr>
            </w:pPr>
            <w:r>
              <w:rPr>
                <w:rFonts w:hint="eastAsia" w:ascii="仿宋_GB2312" w:hAnsi="仿宋_GB2312" w:eastAsia="仿宋_GB2312" w:cs="仿宋_GB2312"/>
                <w:sz w:val="26"/>
                <w:szCs w:val="26"/>
                <w:vertAlign w:val="baseline"/>
                <w:lang w:val="en-US" w:eastAsia="zh-CN"/>
              </w:rPr>
              <w:t>路文文</w:t>
            </w:r>
          </w:p>
        </w:tc>
        <w:tc>
          <w:tcPr>
            <w:tcW w:w="1677"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6"/>
                <w:szCs w:val="26"/>
                <w:vertAlign w:val="baseline"/>
                <w:lang w:val="en-US" w:eastAsia="zh-CN"/>
              </w:rPr>
            </w:pPr>
            <w:r>
              <w:rPr>
                <w:rFonts w:hint="eastAsia" w:ascii="仿宋_GB2312" w:hAnsi="仿宋_GB2312" w:eastAsia="仿宋_GB2312" w:cs="仿宋_GB2312"/>
                <w:sz w:val="26"/>
                <w:szCs w:val="26"/>
                <w:vertAlign w:val="baseline"/>
                <w:lang w:val="en-US" w:eastAsia="zh-CN"/>
              </w:rPr>
              <w:t>党委委员、党政办副主任</w:t>
            </w:r>
          </w:p>
        </w:tc>
        <w:tc>
          <w:tcPr>
            <w:tcW w:w="1912"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6"/>
                <w:szCs w:val="26"/>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6"/>
                <w:szCs w:val="26"/>
                <w:vertAlign w:val="baseline"/>
                <w:lang w:val="en-US" w:eastAsia="zh-CN"/>
              </w:rPr>
            </w:pPr>
            <w:r>
              <w:rPr>
                <w:rFonts w:hint="eastAsia" w:ascii="仿宋_GB2312" w:hAnsi="仿宋_GB2312" w:eastAsia="仿宋_GB2312" w:cs="仿宋_GB2312"/>
                <w:sz w:val="26"/>
                <w:szCs w:val="26"/>
                <w:vertAlign w:val="baseline"/>
                <w:lang w:val="en-US" w:eastAsia="zh-CN"/>
              </w:rPr>
              <w:t>15153396508</w:t>
            </w:r>
          </w:p>
        </w:tc>
        <w:tc>
          <w:tcPr>
            <w:tcW w:w="3900"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6"/>
                <w:szCs w:val="26"/>
                <w:vertAlign w:val="baseline"/>
                <w:lang w:val="en-US" w:eastAsia="zh-CN"/>
              </w:rPr>
            </w:pPr>
            <w:r>
              <w:rPr>
                <w:rFonts w:hint="eastAsia" w:ascii="仿宋_GB2312" w:hAnsi="仿宋_GB2312" w:eastAsia="仿宋_GB2312" w:cs="仿宋_GB2312"/>
                <w:sz w:val="26"/>
                <w:szCs w:val="26"/>
                <w:vertAlign w:val="baseline"/>
                <w:lang w:val="en-US" w:eastAsia="zh-CN"/>
              </w:rPr>
              <w:t>政务公开专职工作人员，具体负责政务公开工作，做好政务公开平台维护，及时公开重要信息。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9" w:hRule="atLeast"/>
        </w:trPr>
        <w:tc>
          <w:tcPr>
            <w:tcW w:w="1095"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6"/>
                <w:szCs w:val="26"/>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6"/>
                <w:szCs w:val="26"/>
                <w:vertAlign w:val="baseline"/>
                <w:lang w:val="en-US" w:eastAsia="zh-CN"/>
              </w:rPr>
            </w:pPr>
            <w:r>
              <w:rPr>
                <w:rFonts w:hint="eastAsia" w:ascii="仿宋_GB2312" w:hAnsi="仿宋_GB2312" w:eastAsia="仿宋_GB2312" w:cs="仿宋_GB2312"/>
                <w:sz w:val="26"/>
                <w:szCs w:val="26"/>
                <w:vertAlign w:val="baseline"/>
                <w:lang w:val="en-US" w:eastAsia="zh-CN"/>
              </w:rPr>
              <w:t>王英旭</w:t>
            </w:r>
          </w:p>
        </w:tc>
        <w:tc>
          <w:tcPr>
            <w:tcW w:w="1677"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6"/>
                <w:szCs w:val="26"/>
                <w:vertAlign w:val="baseline"/>
                <w:lang w:val="en-US" w:eastAsia="zh-CN"/>
              </w:rPr>
            </w:pPr>
            <w:r>
              <w:rPr>
                <w:rFonts w:hint="eastAsia" w:ascii="仿宋_GB2312" w:hAnsi="仿宋_GB2312" w:eastAsia="仿宋_GB2312" w:cs="仿宋_GB2312"/>
                <w:sz w:val="26"/>
                <w:szCs w:val="26"/>
                <w:vertAlign w:val="baseline"/>
                <w:lang w:val="en-US" w:eastAsia="zh-CN"/>
              </w:rPr>
              <w:t>党政办工作人员</w:t>
            </w:r>
          </w:p>
        </w:tc>
        <w:tc>
          <w:tcPr>
            <w:tcW w:w="1912"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6"/>
                <w:szCs w:val="26"/>
                <w:vertAlign w:val="baseline"/>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26"/>
                <w:szCs w:val="26"/>
                <w:vertAlign w:val="baseline"/>
                <w:lang w:val="en-US" w:eastAsia="zh-CN"/>
              </w:rPr>
            </w:pPr>
            <w:r>
              <w:rPr>
                <w:rFonts w:hint="eastAsia" w:ascii="仿宋_GB2312" w:hAnsi="仿宋_GB2312" w:eastAsia="仿宋_GB2312" w:cs="仿宋_GB2312"/>
                <w:sz w:val="26"/>
                <w:szCs w:val="26"/>
                <w:vertAlign w:val="baseline"/>
                <w:lang w:val="en-US" w:eastAsia="zh-CN"/>
              </w:rPr>
              <w:t>17852121963</w:t>
            </w:r>
          </w:p>
        </w:tc>
        <w:tc>
          <w:tcPr>
            <w:tcW w:w="3900" w:type="dxa"/>
          </w:tcPr>
          <w:p>
            <w:pPr>
              <w:keepNext w:val="0"/>
              <w:keepLines w:val="0"/>
              <w:pageBreakBefore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z w:val="26"/>
                <w:szCs w:val="26"/>
                <w:vertAlign w:val="baseline"/>
                <w:lang w:val="en-US" w:eastAsia="zh-CN"/>
              </w:rPr>
            </w:pPr>
            <w:r>
              <w:rPr>
                <w:rFonts w:hint="eastAsia" w:ascii="仿宋_GB2312" w:hAnsi="仿宋_GB2312" w:eastAsia="仿宋_GB2312" w:cs="仿宋_GB2312"/>
                <w:sz w:val="26"/>
                <w:szCs w:val="26"/>
                <w:vertAlign w:val="baseline"/>
                <w:lang w:val="en-US" w:eastAsia="zh-CN"/>
              </w:rPr>
              <w:t>政务公开专职工作人员，具体负责政务公开工作，做好政务公开平台维护，及时公开重要信息。</w:t>
            </w:r>
          </w:p>
        </w:tc>
      </w:tr>
    </w:tbl>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着力加强宣传和工作人员培训。依据《中华人民共和国政府信息公开条例》，我镇党政班子召开会议对政务信息公开工作进行研究，并及时与相关工作人员进行交流，充分做好工作开展情况以及会议、文件精神的上传下达。同时多次组织机关、各行政村及各单位工作人员针对信息公开相关知识进行研学，增进了解与贯彻，提高专业素养。</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严格监督认真指导。围绕政务公开工作年度目标任务和工作重点，按照职责分工，认真组织开展日常监督检查工作，认真落实监管责任，未发生政务舆情和网页被篡改及业务中断等情况。我镇设置了电话、传真、邮箱等多种投诉渠道，自觉接受社会各界监督。我镇坚持考核评估，定时对信息公开情况进行督查，促进政务信息公开工作进一步规范化、制度化。</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二、主动公开政府信息情况</w:t>
      </w:r>
    </w:p>
    <w:p>
      <w:pPr>
        <w:keepNext w:val="0"/>
        <w:keepLines w:val="0"/>
        <w:pageBreakBefore w:val="0"/>
        <w:kinsoku/>
        <w:wordWrap/>
        <w:overflowPunct/>
        <w:topLinePunct w:val="0"/>
        <w:autoSpaceDE/>
        <w:autoSpaceDN/>
        <w:bidi w:val="0"/>
        <w:adjustRightInd/>
        <w:snapToGrid/>
        <w:spacing w:before="9" w:line="560" w:lineRule="exact"/>
        <w:jc w:val="left"/>
        <w:textAlignment w:val="auto"/>
        <w:rPr>
          <w:rFonts w:ascii="宋体" w:hAnsi="宋体" w:eastAsia="宋体" w:cs="宋体"/>
          <w:kern w:val="0"/>
          <w:szCs w:val="21"/>
        </w:rPr>
      </w:pPr>
    </w:p>
    <w:tbl>
      <w:tblPr>
        <w:tblStyle w:val="11"/>
        <w:tblW w:w="8124" w:type="dxa"/>
        <w:tblInd w:w="106" w:type="dxa"/>
        <w:tblLayout w:type="fixed"/>
        <w:tblCellMar>
          <w:top w:w="0" w:type="dxa"/>
          <w:left w:w="0" w:type="dxa"/>
          <w:bottom w:w="0" w:type="dxa"/>
          <w:right w:w="0" w:type="dxa"/>
        </w:tblCellMar>
      </w:tblPr>
      <w:tblGrid>
        <w:gridCol w:w="3284"/>
        <w:gridCol w:w="1686"/>
        <w:gridCol w:w="1803"/>
        <w:gridCol w:w="1351"/>
      </w:tblGrid>
      <w:tr>
        <w:tblPrEx>
          <w:tblCellMar>
            <w:top w:w="0" w:type="dxa"/>
            <w:left w:w="0" w:type="dxa"/>
            <w:bottom w:w="0" w:type="dxa"/>
            <w:right w:w="0" w:type="dxa"/>
          </w:tblCellMar>
        </w:tblPrEx>
        <w:trPr>
          <w:trHeight w:val="823" w:hRule="exact"/>
        </w:trPr>
        <w:tc>
          <w:tcPr>
            <w:tcW w:w="8124" w:type="dxa"/>
            <w:gridSpan w:val="4"/>
            <w:tcBorders>
              <w:top w:val="single" w:color="2B283F" w:sz="8" w:space="0"/>
              <w:left w:val="single" w:color="3B3B44" w:sz="6" w:space="0"/>
              <w:bottom w:val="single" w:color="64647C" w:sz="4" w:space="0"/>
              <w:right w:val="single" w:color="3B3B44" w:sz="8" w:space="0"/>
            </w:tcBorders>
            <w:vAlign w:val="center"/>
          </w:tcPr>
          <w:p>
            <w:pPr>
              <w:keepNext w:val="0"/>
              <w:keepLines w:val="0"/>
              <w:pageBreakBefore w:val="0"/>
              <w:tabs>
                <w:tab w:val="left" w:pos="1048"/>
              </w:tabs>
              <w:kinsoku/>
              <w:wordWrap/>
              <w:overflowPunct/>
              <w:topLinePunct w:val="0"/>
              <w:autoSpaceDE/>
              <w:autoSpaceDN/>
              <w:bidi w:val="0"/>
              <w:adjustRightInd/>
              <w:snapToGrid/>
              <w:spacing w:before="142" w:line="560" w:lineRule="exact"/>
              <w:ind w:right="1"/>
              <w:jc w:val="center"/>
              <w:textAlignment w:val="auto"/>
              <w:rPr>
                <w:sz w:val="21"/>
                <w:lang w:eastAsia="zh-CN"/>
              </w:rPr>
            </w:pPr>
            <w:r>
              <w:rPr>
                <w:sz w:val="21"/>
                <w:lang w:eastAsia="zh-CN"/>
              </w:rPr>
              <w:t>第二十条</w:t>
            </w:r>
            <w:r>
              <w:rPr>
                <w:sz w:val="21"/>
                <w:lang w:eastAsia="zh-CN"/>
              </w:rPr>
              <w:tab/>
            </w:r>
            <w:r>
              <w:rPr>
                <w:sz w:val="21"/>
                <w:lang w:eastAsia="zh-CN"/>
              </w:rPr>
              <w:t>第 （一</w:t>
            </w:r>
            <w:r>
              <w:rPr>
                <w:rFonts w:hint="eastAsia"/>
                <w:sz w:val="21"/>
                <w:lang w:eastAsia="zh-CN"/>
              </w:rPr>
              <w:t>）</w:t>
            </w:r>
            <w:r>
              <w:rPr>
                <w:sz w:val="21"/>
                <w:lang w:eastAsia="zh-CN"/>
              </w:rPr>
              <w:t xml:space="preserve"> 项</w:t>
            </w:r>
          </w:p>
        </w:tc>
      </w:tr>
      <w:tr>
        <w:tblPrEx>
          <w:tblCellMar>
            <w:top w:w="0" w:type="dxa"/>
            <w:left w:w="0" w:type="dxa"/>
            <w:bottom w:w="0" w:type="dxa"/>
            <w:right w:w="0" w:type="dxa"/>
          </w:tblCellMar>
        </w:tblPrEx>
        <w:trPr>
          <w:trHeight w:val="616" w:hRule="exact"/>
        </w:trPr>
        <w:tc>
          <w:tcPr>
            <w:tcW w:w="3284" w:type="dxa"/>
            <w:tcBorders>
              <w:top w:val="single" w:color="64647C" w:sz="4" w:space="0"/>
              <w:left w:val="single" w:color="3B3B44" w:sz="6" w:space="0"/>
              <w:bottom w:val="single" w:color="707790" w:sz="4" w:space="0"/>
              <w:right w:val="single" w:color="7C7C83" w:sz="4" w:space="0"/>
            </w:tcBorders>
            <w:vAlign w:val="center"/>
          </w:tcPr>
          <w:p>
            <w:pPr>
              <w:keepNext w:val="0"/>
              <w:keepLines w:val="0"/>
              <w:pageBreakBefore w:val="0"/>
              <w:kinsoku/>
              <w:wordWrap/>
              <w:overflowPunct/>
              <w:topLinePunct w:val="0"/>
              <w:autoSpaceDE/>
              <w:autoSpaceDN/>
              <w:bidi w:val="0"/>
              <w:adjustRightInd/>
              <w:snapToGrid/>
              <w:spacing w:before="135" w:line="560" w:lineRule="exact"/>
              <w:ind w:right="27"/>
              <w:jc w:val="center"/>
              <w:textAlignment w:val="auto"/>
              <w:rPr>
                <w:sz w:val="21"/>
                <w:lang w:eastAsia="zh-CN"/>
              </w:rPr>
            </w:pPr>
            <w:r>
              <w:rPr>
                <w:sz w:val="21"/>
                <w:lang w:eastAsia="zh-CN"/>
              </w:rPr>
              <w:t>信息内容</w:t>
            </w:r>
          </w:p>
        </w:tc>
        <w:tc>
          <w:tcPr>
            <w:tcW w:w="1686" w:type="dxa"/>
            <w:tcBorders>
              <w:top w:val="single" w:color="64647C" w:sz="4" w:space="0"/>
              <w:left w:val="single" w:color="7C7C83" w:sz="4" w:space="0"/>
              <w:bottom w:val="single" w:color="707790" w:sz="4" w:space="0"/>
              <w:right w:val="single" w:color="777780" w:sz="4" w:space="0"/>
            </w:tcBorders>
            <w:vAlign w:val="center"/>
          </w:tcPr>
          <w:p>
            <w:pPr>
              <w:keepNext w:val="0"/>
              <w:keepLines w:val="0"/>
              <w:pageBreakBefore w:val="0"/>
              <w:kinsoku/>
              <w:wordWrap/>
              <w:overflowPunct/>
              <w:topLinePunct w:val="0"/>
              <w:autoSpaceDE/>
              <w:autoSpaceDN/>
              <w:bidi w:val="0"/>
              <w:adjustRightInd/>
              <w:snapToGrid/>
              <w:spacing w:before="135" w:line="560" w:lineRule="exact"/>
              <w:ind w:left="216"/>
              <w:jc w:val="center"/>
              <w:textAlignment w:val="auto"/>
              <w:rPr>
                <w:sz w:val="21"/>
                <w:lang w:eastAsia="zh-CN"/>
              </w:rPr>
            </w:pPr>
            <w:r>
              <w:rPr>
                <w:sz w:val="21"/>
                <w:lang w:eastAsia="zh-CN"/>
              </w:rPr>
              <w:t>本年制发件数</w:t>
            </w:r>
          </w:p>
        </w:tc>
        <w:tc>
          <w:tcPr>
            <w:tcW w:w="1803" w:type="dxa"/>
            <w:tcBorders>
              <w:top w:val="single" w:color="64647C" w:sz="4" w:space="0"/>
              <w:left w:val="single" w:color="777780" w:sz="4" w:space="0"/>
              <w:bottom w:val="single" w:color="835B67" w:sz="4" w:space="0"/>
              <w:right w:val="single" w:color="606064" w:sz="2" w:space="0"/>
            </w:tcBorders>
            <w:vAlign w:val="center"/>
          </w:tcPr>
          <w:p>
            <w:pPr>
              <w:keepNext w:val="0"/>
              <w:keepLines w:val="0"/>
              <w:pageBreakBefore w:val="0"/>
              <w:kinsoku/>
              <w:wordWrap/>
              <w:overflowPunct/>
              <w:topLinePunct w:val="0"/>
              <w:autoSpaceDE/>
              <w:autoSpaceDN/>
              <w:bidi w:val="0"/>
              <w:adjustRightInd/>
              <w:snapToGrid/>
              <w:spacing w:before="135" w:line="560" w:lineRule="exact"/>
              <w:ind w:left="275"/>
              <w:jc w:val="center"/>
              <w:textAlignment w:val="auto"/>
              <w:rPr>
                <w:sz w:val="21"/>
                <w:lang w:eastAsia="zh-CN"/>
              </w:rPr>
            </w:pPr>
            <w:r>
              <w:rPr>
                <w:sz w:val="21"/>
                <w:lang w:eastAsia="zh-CN"/>
              </w:rPr>
              <w:t>本年废止件数</w:t>
            </w:r>
          </w:p>
        </w:tc>
        <w:tc>
          <w:tcPr>
            <w:tcW w:w="1351" w:type="dxa"/>
            <w:tcBorders>
              <w:top w:val="single" w:color="64647C" w:sz="4" w:space="0"/>
              <w:left w:val="single" w:color="606064" w:sz="2" w:space="0"/>
              <w:bottom w:val="single" w:color="835B67" w:sz="4" w:space="0"/>
              <w:right w:val="single" w:color="3B3B44" w:sz="8" w:space="0"/>
            </w:tcBorders>
            <w:vAlign w:val="center"/>
          </w:tcPr>
          <w:p>
            <w:pPr>
              <w:keepNext w:val="0"/>
              <w:keepLines w:val="0"/>
              <w:pageBreakBefore w:val="0"/>
              <w:kinsoku/>
              <w:wordWrap/>
              <w:overflowPunct/>
              <w:topLinePunct w:val="0"/>
              <w:autoSpaceDE/>
              <w:autoSpaceDN/>
              <w:bidi w:val="0"/>
              <w:adjustRightInd/>
              <w:snapToGrid/>
              <w:spacing w:before="130" w:line="560" w:lineRule="exact"/>
              <w:jc w:val="center"/>
              <w:textAlignment w:val="auto"/>
              <w:rPr>
                <w:sz w:val="21"/>
                <w:lang w:eastAsia="zh-CN"/>
              </w:rPr>
            </w:pPr>
            <w:r>
              <w:rPr>
                <w:sz w:val="21"/>
                <w:lang w:eastAsia="zh-CN"/>
              </w:rPr>
              <w:t>现行有效件数</w:t>
            </w:r>
          </w:p>
        </w:tc>
      </w:tr>
      <w:tr>
        <w:tblPrEx>
          <w:tblCellMar>
            <w:top w:w="0" w:type="dxa"/>
            <w:left w:w="0" w:type="dxa"/>
            <w:bottom w:w="0" w:type="dxa"/>
            <w:right w:w="0" w:type="dxa"/>
          </w:tblCellMar>
        </w:tblPrEx>
        <w:trPr>
          <w:trHeight w:val="628" w:hRule="exact"/>
        </w:trPr>
        <w:tc>
          <w:tcPr>
            <w:tcW w:w="3284" w:type="dxa"/>
            <w:tcBorders>
              <w:top w:val="single" w:color="707790" w:sz="4" w:space="0"/>
              <w:left w:val="single" w:color="3B3B44" w:sz="6" w:space="0"/>
              <w:bottom w:val="single" w:color="747487" w:sz="4" w:space="0"/>
              <w:right w:val="single" w:color="97979C" w:sz="4" w:space="0"/>
            </w:tcBorders>
            <w:vAlign w:val="center"/>
          </w:tcPr>
          <w:p>
            <w:pPr>
              <w:keepNext w:val="0"/>
              <w:keepLines w:val="0"/>
              <w:pageBreakBefore w:val="0"/>
              <w:kinsoku/>
              <w:wordWrap/>
              <w:overflowPunct/>
              <w:topLinePunct w:val="0"/>
              <w:autoSpaceDE/>
              <w:autoSpaceDN/>
              <w:bidi w:val="0"/>
              <w:adjustRightInd/>
              <w:snapToGrid/>
              <w:spacing w:before="147" w:line="560" w:lineRule="exact"/>
              <w:ind w:left="93"/>
              <w:jc w:val="center"/>
              <w:textAlignment w:val="auto"/>
              <w:rPr>
                <w:sz w:val="21"/>
                <w:lang w:eastAsia="zh-CN"/>
              </w:rPr>
            </w:pPr>
            <w:r>
              <w:rPr>
                <w:sz w:val="21"/>
                <w:lang w:eastAsia="zh-CN"/>
              </w:rPr>
              <w:t>规章</w:t>
            </w:r>
          </w:p>
        </w:tc>
        <w:tc>
          <w:tcPr>
            <w:tcW w:w="1686" w:type="dxa"/>
            <w:tcBorders>
              <w:top w:val="single" w:color="707790" w:sz="4" w:space="0"/>
              <w:left w:val="single" w:color="97979C" w:sz="4" w:space="0"/>
              <w:bottom w:val="single" w:color="747487" w:sz="4" w:space="0"/>
              <w:right w:val="single" w:color="939397"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sz w:val="21"/>
                <w:lang w:val="en-US" w:eastAsia="zh-CN"/>
              </w:rPr>
            </w:pPr>
            <w:r>
              <w:rPr>
                <w:rFonts w:hint="eastAsia"/>
                <w:sz w:val="21"/>
                <w:lang w:val="en-US" w:eastAsia="zh-CN"/>
              </w:rPr>
              <w:t>0</w:t>
            </w:r>
          </w:p>
        </w:tc>
        <w:tc>
          <w:tcPr>
            <w:tcW w:w="1803" w:type="dxa"/>
            <w:tcBorders>
              <w:top w:val="single" w:color="835B67" w:sz="4" w:space="0"/>
              <w:left w:val="single" w:color="939397" w:sz="4" w:space="0"/>
              <w:bottom w:val="single" w:color="546080" w:sz="2" w:space="0"/>
              <w:right w:val="single" w:color="97939C"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sz w:val="21"/>
                <w:lang w:val="en-US" w:eastAsia="zh-CN"/>
              </w:rPr>
            </w:pPr>
            <w:r>
              <w:rPr>
                <w:rFonts w:hint="eastAsia"/>
                <w:sz w:val="21"/>
                <w:lang w:val="en-US" w:eastAsia="zh-CN"/>
              </w:rPr>
              <w:t>0</w:t>
            </w:r>
          </w:p>
        </w:tc>
        <w:tc>
          <w:tcPr>
            <w:tcW w:w="1351" w:type="dxa"/>
            <w:tcBorders>
              <w:top w:val="single" w:color="835B67" w:sz="4" w:space="0"/>
              <w:left w:val="single" w:color="97939C" w:sz="4" w:space="0"/>
              <w:bottom w:val="single" w:color="74778C" w:sz="4" w:space="0"/>
              <w:right w:val="single" w:color="3B3B3F" w:sz="8"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sz w:val="21"/>
                <w:lang w:val="en-US" w:eastAsia="zh-CN"/>
              </w:rPr>
            </w:pPr>
            <w:r>
              <w:rPr>
                <w:rFonts w:hint="eastAsia"/>
                <w:sz w:val="21"/>
                <w:lang w:val="en-US" w:eastAsia="zh-CN"/>
              </w:rPr>
              <w:t>0</w:t>
            </w:r>
          </w:p>
        </w:tc>
      </w:tr>
      <w:tr>
        <w:tblPrEx>
          <w:tblCellMar>
            <w:top w:w="0" w:type="dxa"/>
            <w:left w:w="0" w:type="dxa"/>
            <w:bottom w:w="0" w:type="dxa"/>
            <w:right w:w="0" w:type="dxa"/>
          </w:tblCellMar>
        </w:tblPrEx>
        <w:trPr>
          <w:trHeight w:val="621" w:hRule="exact"/>
        </w:trPr>
        <w:tc>
          <w:tcPr>
            <w:tcW w:w="3284" w:type="dxa"/>
            <w:tcBorders>
              <w:top w:val="single" w:color="747487" w:sz="4" w:space="0"/>
              <w:left w:val="single" w:color="3B3B44" w:sz="6" w:space="0"/>
              <w:bottom w:val="single" w:color="5B6080" w:sz="4" w:space="0"/>
              <w:right w:val="single" w:color="97979C" w:sz="4" w:space="0"/>
            </w:tcBorders>
            <w:vAlign w:val="center"/>
          </w:tcPr>
          <w:p>
            <w:pPr>
              <w:keepNext w:val="0"/>
              <w:keepLines w:val="0"/>
              <w:pageBreakBefore w:val="0"/>
              <w:kinsoku/>
              <w:wordWrap/>
              <w:overflowPunct/>
              <w:topLinePunct w:val="0"/>
              <w:autoSpaceDE/>
              <w:autoSpaceDN/>
              <w:bidi w:val="0"/>
              <w:adjustRightInd/>
              <w:snapToGrid/>
              <w:spacing w:before="138" w:line="560" w:lineRule="exact"/>
              <w:ind w:left="93"/>
              <w:jc w:val="center"/>
              <w:textAlignment w:val="auto"/>
              <w:rPr>
                <w:sz w:val="21"/>
                <w:lang w:eastAsia="zh-CN"/>
              </w:rPr>
            </w:pPr>
            <w:r>
              <w:rPr>
                <w:sz w:val="21"/>
                <w:lang w:eastAsia="zh-CN"/>
              </w:rPr>
              <w:t>行政规范性文件</w:t>
            </w:r>
          </w:p>
        </w:tc>
        <w:tc>
          <w:tcPr>
            <w:tcW w:w="1686" w:type="dxa"/>
            <w:tcBorders>
              <w:top w:val="single" w:color="747487" w:sz="4" w:space="0"/>
              <w:left w:val="single" w:color="97979C" w:sz="4" w:space="0"/>
              <w:bottom w:val="single" w:color="5B6080" w:sz="4" w:space="0"/>
              <w:right w:val="single" w:color="939397"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sz w:val="21"/>
                <w:lang w:val="en-US" w:eastAsia="zh-CN"/>
              </w:rPr>
            </w:pPr>
            <w:r>
              <w:rPr>
                <w:rFonts w:hint="eastAsia"/>
                <w:sz w:val="21"/>
                <w:lang w:val="en-US" w:eastAsia="zh-CN"/>
              </w:rPr>
              <w:t>0</w:t>
            </w:r>
          </w:p>
        </w:tc>
        <w:tc>
          <w:tcPr>
            <w:tcW w:w="1803" w:type="dxa"/>
            <w:tcBorders>
              <w:top w:val="single" w:color="546080" w:sz="2" w:space="0"/>
              <w:left w:val="single" w:color="939397" w:sz="4" w:space="0"/>
              <w:bottom w:val="single" w:color="5B6080" w:sz="4" w:space="0"/>
              <w:right w:val="single" w:color="97939C" w:sz="4"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sz w:val="21"/>
                <w:lang w:val="en-US" w:eastAsia="zh-CN"/>
              </w:rPr>
            </w:pPr>
            <w:r>
              <w:rPr>
                <w:rFonts w:hint="eastAsia"/>
                <w:sz w:val="21"/>
                <w:lang w:val="en-US" w:eastAsia="zh-CN"/>
              </w:rPr>
              <w:t>0</w:t>
            </w:r>
          </w:p>
        </w:tc>
        <w:tc>
          <w:tcPr>
            <w:tcW w:w="1351" w:type="dxa"/>
            <w:tcBorders>
              <w:top w:val="single" w:color="74778C" w:sz="4" w:space="0"/>
              <w:left w:val="single" w:color="97939C" w:sz="4" w:space="0"/>
              <w:bottom w:val="single" w:color="5B6080" w:sz="4" w:space="0"/>
              <w:right w:val="single" w:color="3B3B3F" w:sz="8"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sz w:val="21"/>
                <w:lang w:val="en-US" w:eastAsia="zh-CN"/>
              </w:rPr>
            </w:pPr>
            <w:r>
              <w:rPr>
                <w:rFonts w:hint="eastAsia"/>
                <w:sz w:val="21"/>
                <w:lang w:val="en-US" w:eastAsia="zh-CN"/>
              </w:rPr>
              <w:t>0</w:t>
            </w:r>
          </w:p>
        </w:tc>
      </w:tr>
      <w:tr>
        <w:tblPrEx>
          <w:tblCellMar>
            <w:top w:w="0" w:type="dxa"/>
            <w:left w:w="0" w:type="dxa"/>
            <w:bottom w:w="0" w:type="dxa"/>
            <w:right w:w="0" w:type="dxa"/>
          </w:tblCellMar>
        </w:tblPrEx>
        <w:trPr>
          <w:trHeight w:val="621" w:hRule="exact"/>
        </w:trPr>
        <w:tc>
          <w:tcPr>
            <w:tcW w:w="8124" w:type="dxa"/>
            <w:gridSpan w:val="4"/>
            <w:tcBorders>
              <w:top w:val="single" w:color="5B6080" w:sz="4" w:space="0"/>
              <w:left w:val="single" w:color="3B3B44" w:sz="6" w:space="0"/>
              <w:bottom w:val="single" w:color="646B80" w:sz="4" w:space="0"/>
              <w:right w:val="single" w:color="3B3B3F" w:sz="8" w:space="0"/>
            </w:tcBorders>
            <w:vAlign w:val="center"/>
          </w:tcPr>
          <w:p>
            <w:pPr>
              <w:keepNext w:val="0"/>
              <w:keepLines w:val="0"/>
              <w:pageBreakBefore w:val="0"/>
              <w:tabs>
                <w:tab w:val="left" w:pos="1049"/>
              </w:tabs>
              <w:kinsoku/>
              <w:wordWrap/>
              <w:overflowPunct/>
              <w:topLinePunct w:val="0"/>
              <w:autoSpaceDE/>
              <w:autoSpaceDN/>
              <w:bidi w:val="0"/>
              <w:adjustRightInd/>
              <w:snapToGrid/>
              <w:spacing w:before="140" w:line="560" w:lineRule="exact"/>
              <w:ind w:left="5"/>
              <w:jc w:val="center"/>
              <w:textAlignment w:val="auto"/>
              <w:rPr>
                <w:sz w:val="21"/>
                <w:lang w:eastAsia="zh-CN"/>
              </w:rPr>
            </w:pPr>
            <w:r>
              <w:rPr>
                <w:sz w:val="21"/>
                <w:lang w:eastAsia="zh-CN"/>
              </w:rPr>
              <w:t>第二十条</w:t>
            </w:r>
            <w:r>
              <w:rPr>
                <w:sz w:val="21"/>
                <w:lang w:eastAsia="zh-CN"/>
              </w:rPr>
              <w:tab/>
            </w:r>
            <w:r>
              <w:rPr>
                <w:sz w:val="21"/>
                <w:lang w:eastAsia="zh-CN"/>
              </w:rPr>
              <w:t>第 （五</w:t>
            </w:r>
            <w:r>
              <w:rPr>
                <w:rFonts w:hint="eastAsia"/>
                <w:sz w:val="21"/>
                <w:lang w:eastAsia="zh-CN"/>
              </w:rPr>
              <w:t>）</w:t>
            </w:r>
            <w:r>
              <w:rPr>
                <w:sz w:val="21"/>
                <w:lang w:eastAsia="zh-CN"/>
              </w:rPr>
              <w:t xml:space="preserve"> 项</w:t>
            </w:r>
          </w:p>
        </w:tc>
      </w:tr>
      <w:tr>
        <w:tblPrEx>
          <w:tblCellMar>
            <w:top w:w="0" w:type="dxa"/>
            <w:left w:w="0" w:type="dxa"/>
            <w:bottom w:w="0" w:type="dxa"/>
            <w:right w:w="0" w:type="dxa"/>
          </w:tblCellMar>
        </w:tblPrEx>
        <w:trPr>
          <w:trHeight w:val="621" w:hRule="exact"/>
        </w:trPr>
        <w:tc>
          <w:tcPr>
            <w:tcW w:w="3284" w:type="dxa"/>
            <w:tcBorders>
              <w:top w:val="single" w:color="646B80" w:sz="4" w:space="0"/>
              <w:left w:val="single" w:color="3B3B44" w:sz="6" w:space="0"/>
              <w:bottom w:val="single" w:color="80676B" w:sz="4" w:space="0"/>
              <w:right w:val="single" w:color="878787" w:sz="4" w:space="0"/>
            </w:tcBorders>
            <w:vAlign w:val="center"/>
          </w:tcPr>
          <w:p>
            <w:pPr>
              <w:keepNext w:val="0"/>
              <w:keepLines w:val="0"/>
              <w:pageBreakBefore w:val="0"/>
              <w:kinsoku/>
              <w:wordWrap/>
              <w:overflowPunct/>
              <w:topLinePunct w:val="0"/>
              <w:autoSpaceDE/>
              <w:autoSpaceDN/>
              <w:bidi w:val="0"/>
              <w:adjustRightInd/>
              <w:snapToGrid/>
              <w:spacing w:before="138" w:line="560" w:lineRule="exact"/>
              <w:ind w:right="17"/>
              <w:jc w:val="center"/>
              <w:textAlignment w:val="auto"/>
              <w:rPr>
                <w:sz w:val="21"/>
                <w:lang w:eastAsia="zh-CN"/>
              </w:rPr>
            </w:pPr>
            <w:r>
              <w:rPr>
                <w:sz w:val="21"/>
                <w:lang w:eastAsia="zh-CN"/>
              </w:rPr>
              <w:t>信息内容</w:t>
            </w:r>
          </w:p>
        </w:tc>
        <w:tc>
          <w:tcPr>
            <w:tcW w:w="4840" w:type="dxa"/>
            <w:gridSpan w:val="3"/>
            <w:tcBorders>
              <w:top w:val="single" w:color="646B80" w:sz="4" w:space="0"/>
              <w:left w:val="single" w:color="878787" w:sz="4" w:space="0"/>
              <w:bottom w:val="single" w:color="7C7474" w:sz="4" w:space="0"/>
              <w:right w:val="single" w:color="3B3B3F" w:sz="8" w:space="0"/>
            </w:tcBorders>
            <w:vAlign w:val="center"/>
          </w:tcPr>
          <w:p>
            <w:pPr>
              <w:keepNext w:val="0"/>
              <w:keepLines w:val="0"/>
              <w:pageBreakBefore w:val="0"/>
              <w:kinsoku/>
              <w:wordWrap/>
              <w:overflowPunct/>
              <w:topLinePunct w:val="0"/>
              <w:autoSpaceDE/>
              <w:autoSpaceDN/>
              <w:bidi w:val="0"/>
              <w:adjustRightInd/>
              <w:snapToGrid/>
              <w:spacing w:before="142" w:line="560" w:lineRule="exact"/>
              <w:ind w:right="16"/>
              <w:jc w:val="center"/>
              <w:textAlignment w:val="auto"/>
              <w:rPr>
                <w:sz w:val="21"/>
                <w:lang w:eastAsia="zh-CN"/>
              </w:rPr>
            </w:pPr>
            <w:r>
              <w:rPr>
                <w:sz w:val="21"/>
                <w:lang w:eastAsia="zh-CN"/>
              </w:rPr>
              <w:t>本年处理决定数量</w:t>
            </w:r>
          </w:p>
        </w:tc>
      </w:tr>
      <w:tr>
        <w:tblPrEx>
          <w:tblCellMar>
            <w:top w:w="0" w:type="dxa"/>
            <w:left w:w="0" w:type="dxa"/>
            <w:bottom w:w="0" w:type="dxa"/>
            <w:right w:w="0" w:type="dxa"/>
          </w:tblCellMar>
        </w:tblPrEx>
        <w:trPr>
          <w:trHeight w:val="621" w:hRule="exact"/>
        </w:trPr>
        <w:tc>
          <w:tcPr>
            <w:tcW w:w="3284" w:type="dxa"/>
            <w:tcBorders>
              <w:top w:val="single" w:color="80676B" w:sz="4" w:space="0"/>
              <w:left w:val="single" w:color="3B3B44" w:sz="6" w:space="0"/>
              <w:bottom w:val="single" w:color="646487" w:sz="4" w:space="0"/>
              <w:right w:val="single" w:color="878787" w:sz="4" w:space="0"/>
            </w:tcBorders>
            <w:vAlign w:val="center"/>
          </w:tcPr>
          <w:p>
            <w:pPr>
              <w:keepNext w:val="0"/>
              <w:keepLines w:val="0"/>
              <w:pageBreakBefore w:val="0"/>
              <w:kinsoku/>
              <w:wordWrap/>
              <w:overflowPunct/>
              <w:topLinePunct w:val="0"/>
              <w:autoSpaceDE/>
              <w:autoSpaceDN/>
              <w:bidi w:val="0"/>
              <w:adjustRightInd/>
              <w:snapToGrid/>
              <w:spacing w:before="140" w:line="560" w:lineRule="exact"/>
              <w:ind w:left="98"/>
              <w:jc w:val="center"/>
              <w:textAlignment w:val="auto"/>
              <w:rPr>
                <w:sz w:val="21"/>
                <w:lang w:eastAsia="zh-CN"/>
              </w:rPr>
            </w:pPr>
            <w:r>
              <w:rPr>
                <w:sz w:val="21"/>
                <w:lang w:eastAsia="zh-CN"/>
              </w:rPr>
              <w:t>行政许可</w:t>
            </w:r>
          </w:p>
        </w:tc>
        <w:tc>
          <w:tcPr>
            <w:tcW w:w="4840" w:type="dxa"/>
            <w:gridSpan w:val="3"/>
            <w:tcBorders>
              <w:top w:val="single" w:color="7C7474" w:sz="4" w:space="0"/>
              <w:left w:val="single" w:color="878787" w:sz="4" w:space="0"/>
              <w:bottom w:val="single" w:color="646487" w:sz="4" w:space="0"/>
              <w:right w:val="single" w:color="3B3B3F" w:sz="8"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sz w:val="21"/>
                <w:lang w:val="en-US" w:eastAsia="zh-CN"/>
              </w:rPr>
            </w:pPr>
            <w:r>
              <w:rPr>
                <w:rFonts w:hint="eastAsia"/>
                <w:sz w:val="21"/>
                <w:lang w:val="en-US" w:eastAsia="zh-CN"/>
              </w:rPr>
              <w:t>0</w:t>
            </w:r>
          </w:p>
        </w:tc>
      </w:tr>
      <w:tr>
        <w:tblPrEx>
          <w:tblCellMar>
            <w:top w:w="0" w:type="dxa"/>
            <w:left w:w="0" w:type="dxa"/>
            <w:bottom w:w="0" w:type="dxa"/>
            <w:right w:w="0" w:type="dxa"/>
          </w:tblCellMar>
        </w:tblPrEx>
        <w:trPr>
          <w:trHeight w:val="623" w:hRule="exact"/>
        </w:trPr>
        <w:tc>
          <w:tcPr>
            <w:tcW w:w="8124" w:type="dxa"/>
            <w:gridSpan w:val="4"/>
            <w:tcBorders>
              <w:top w:val="single" w:color="646487" w:sz="4" w:space="0"/>
              <w:left w:val="single" w:color="3B3B44" w:sz="6" w:space="0"/>
              <w:bottom w:val="single" w:color="607087" w:sz="4" w:space="0"/>
              <w:right w:val="single" w:color="3B3B3F" w:sz="8" w:space="0"/>
            </w:tcBorders>
            <w:vAlign w:val="center"/>
          </w:tcPr>
          <w:p>
            <w:pPr>
              <w:keepNext w:val="0"/>
              <w:keepLines w:val="0"/>
              <w:pageBreakBefore w:val="0"/>
              <w:tabs>
                <w:tab w:val="left" w:pos="1059"/>
              </w:tabs>
              <w:kinsoku/>
              <w:wordWrap/>
              <w:overflowPunct/>
              <w:topLinePunct w:val="0"/>
              <w:autoSpaceDE/>
              <w:autoSpaceDN/>
              <w:bidi w:val="0"/>
              <w:adjustRightInd/>
              <w:snapToGrid/>
              <w:spacing w:before="142" w:line="560" w:lineRule="exact"/>
              <w:ind w:left="15"/>
              <w:jc w:val="center"/>
              <w:textAlignment w:val="auto"/>
              <w:rPr>
                <w:sz w:val="21"/>
                <w:lang w:eastAsia="zh-CN"/>
              </w:rPr>
            </w:pPr>
            <w:r>
              <w:rPr>
                <w:sz w:val="21"/>
                <w:lang w:eastAsia="zh-CN"/>
              </w:rPr>
              <w:t>第二十条</w:t>
            </w:r>
            <w:r>
              <w:rPr>
                <w:sz w:val="21"/>
                <w:lang w:eastAsia="zh-CN"/>
              </w:rPr>
              <w:tab/>
            </w:r>
            <w:r>
              <w:rPr>
                <w:sz w:val="21"/>
                <w:lang w:eastAsia="zh-CN"/>
              </w:rPr>
              <w:t>第 （六</w:t>
            </w:r>
            <w:r>
              <w:rPr>
                <w:rFonts w:hint="eastAsia"/>
                <w:sz w:val="21"/>
                <w:lang w:eastAsia="zh-CN"/>
              </w:rPr>
              <w:t>）</w:t>
            </w:r>
            <w:r>
              <w:rPr>
                <w:sz w:val="21"/>
                <w:lang w:eastAsia="zh-CN"/>
              </w:rPr>
              <w:t xml:space="preserve"> 项</w:t>
            </w:r>
          </w:p>
        </w:tc>
      </w:tr>
      <w:tr>
        <w:tblPrEx>
          <w:tblCellMar>
            <w:top w:w="0" w:type="dxa"/>
            <w:left w:w="0" w:type="dxa"/>
            <w:bottom w:w="0" w:type="dxa"/>
            <w:right w:w="0" w:type="dxa"/>
          </w:tblCellMar>
        </w:tblPrEx>
        <w:trPr>
          <w:trHeight w:val="627" w:hRule="exact"/>
        </w:trPr>
        <w:tc>
          <w:tcPr>
            <w:tcW w:w="3284" w:type="dxa"/>
            <w:tcBorders>
              <w:top w:val="single" w:color="607087" w:sz="4" w:space="0"/>
              <w:left w:val="single" w:color="3B3B44" w:sz="6" w:space="0"/>
              <w:bottom w:val="single" w:color="8C7774" w:sz="4" w:space="0"/>
              <w:right w:val="single" w:color="909093" w:sz="4" w:space="0"/>
            </w:tcBorders>
            <w:vAlign w:val="center"/>
          </w:tcPr>
          <w:p>
            <w:pPr>
              <w:keepNext w:val="0"/>
              <w:keepLines w:val="0"/>
              <w:pageBreakBefore w:val="0"/>
              <w:kinsoku/>
              <w:wordWrap/>
              <w:overflowPunct/>
              <w:topLinePunct w:val="0"/>
              <w:autoSpaceDE/>
              <w:autoSpaceDN/>
              <w:bidi w:val="0"/>
              <w:adjustRightInd/>
              <w:snapToGrid/>
              <w:spacing w:before="142" w:line="560" w:lineRule="exact"/>
              <w:ind w:right="8"/>
              <w:jc w:val="center"/>
              <w:textAlignment w:val="auto"/>
              <w:rPr>
                <w:sz w:val="21"/>
                <w:lang w:eastAsia="zh-CN"/>
              </w:rPr>
            </w:pPr>
            <w:r>
              <w:rPr>
                <w:sz w:val="21"/>
                <w:lang w:eastAsia="zh-CN"/>
              </w:rPr>
              <w:t>信息内容</w:t>
            </w:r>
          </w:p>
        </w:tc>
        <w:tc>
          <w:tcPr>
            <w:tcW w:w="4840" w:type="dxa"/>
            <w:gridSpan w:val="3"/>
            <w:tcBorders>
              <w:top w:val="single" w:color="607087" w:sz="4" w:space="0"/>
              <w:left w:val="single" w:color="909093" w:sz="4" w:space="0"/>
              <w:bottom w:val="single" w:color="747074" w:sz="4" w:space="0"/>
              <w:right w:val="single" w:color="3B3B3F" w:sz="8" w:space="0"/>
            </w:tcBorders>
            <w:vAlign w:val="center"/>
          </w:tcPr>
          <w:p>
            <w:pPr>
              <w:keepNext w:val="0"/>
              <w:keepLines w:val="0"/>
              <w:pageBreakBefore w:val="0"/>
              <w:kinsoku/>
              <w:wordWrap/>
              <w:overflowPunct/>
              <w:topLinePunct w:val="0"/>
              <w:autoSpaceDE/>
              <w:autoSpaceDN/>
              <w:bidi w:val="0"/>
              <w:adjustRightInd/>
              <w:snapToGrid/>
              <w:spacing w:before="142" w:line="560" w:lineRule="exact"/>
              <w:ind w:right="13"/>
              <w:jc w:val="center"/>
              <w:textAlignment w:val="auto"/>
              <w:rPr>
                <w:sz w:val="21"/>
                <w:lang w:eastAsia="zh-CN"/>
              </w:rPr>
            </w:pPr>
            <w:r>
              <w:rPr>
                <w:sz w:val="21"/>
                <w:lang w:eastAsia="zh-CN"/>
              </w:rPr>
              <w:t>本年处理决定数量</w:t>
            </w:r>
          </w:p>
        </w:tc>
      </w:tr>
      <w:tr>
        <w:tblPrEx>
          <w:tblCellMar>
            <w:top w:w="0" w:type="dxa"/>
            <w:left w:w="0" w:type="dxa"/>
            <w:bottom w:w="0" w:type="dxa"/>
            <w:right w:w="0" w:type="dxa"/>
          </w:tblCellMar>
        </w:tblPrEx>
        <w:trPr>
          <w:trHeight w:val="624" w:hRule="exact"/>
        </w:trPr>
        <w:tc>
          <w:tcPr>
            <w:tcW w:w="3284" w:type="dxa"/>
            <w:tcBorders>
              <w:top w:val="single" w:color="8C7774" w:sz="4" w:space="0"/>
              <w:left w:val="single" w:color="3B3B44" w:sz="6" w:space="0"/>
              <w:bottom w:val="single" w:color="7C6B74" w:sz="4" w:space="0"/>
              <w:right w:val="single" w:color="909093" w:sz="4" w:space="0"/>
            </w:tcBorders>
            <w:vAlign w:val="center"/>
          </w:tcPr>
          <w:p>
            <w:pPr>
              <w:keepNext w:val="0"/>
              <w:keepLines w:val="0"/>
              <w:pageBreakBefore w:val="0"/>
              <w:kinsoku/>
              <w:wordWrap/>
              <w:overflowPunct/>
              <w:topLinePunct w:val="0"/>
              <w:autoSpaceDE/>
              <w:autoSpaceDN/>
              <w:bidi w:val="0"/>
              <w:adjustRightInd/>
              <w:snapToGrid/>
              <w:spacing w:before="139" w:line="560" w:lineRule="exact"/>
              <w:ind w:left="102"/>
              <w:jc w:val="center"/>
              <w:textAlignment w:val="auto"/>
              <w:rPr>
                <w:sz w:val="21"/>
                <w:lang w:eastAsia="zh-CN"/>
              </w:rPr>
            </w:pPr>
            <w:r>
              <w:rPr>
                <w:sz w:val="21"/>
                <w:lang w:eastAsia="zh-CN"/>
              </w:rPr>
              <w:t>行政处罚</w:t>
            </w:r>
          </w:p>
        </w:tc>
        <w:tc>
          <w:tcPr>
            <w:tcW w:w="4840" w:type="dxa"/>
            <w:gridSpan w:val="3"/>
            <w:tcBorders>
              <w:top w:val="single" w:color="747074" w:sz="4" w:space="0"/>
              <w:left w:val="single" w:color="909093" w:sz="4" w:space="0"/>
              <w:bottom w:val="single" w:color="7C6B74" w:sz="4" w:space="0"/>
              <w:right w:val="single" w:color="3B3B3F" w:sz="8"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sz w:val="21"/>
                <w:lang w:val="en-US" w:eastAsia="zh-CN"/>
              </w:rPr>
            </w:pPr>
            <w:r>
              <w:rPr>
                <w:rFonts w:hint="eastAsia"/>
                <w:sz w:val="21"/>
                <w:lang w:val="en-US" w:eastAsia="zh-CN"/>
              </w:rPr>
              <w:t>0</w:t>
            </w:r>
          </w:p>
        </w:tc>
      </w:tr>
      <w:tr>
        <w:tblPrEx>
          <w:tblCellMar>
            <w:top w:w="0" w:type="dxa"/>
            <w:left w:w="0" w:type="dxa"/>
            <w:bottom w:w="0" w:type="dxa"/>
            <w:right w:w="0" w:type="dxa"/>
          </w:tblCellMar>
        </w:tblPrEx>
        <w:trPr>
          <w:trHeight w:val="618" w:hRule="exact"/>
        </w:trPr>
        <w:tc>
          <w:tcPr>
            <w:tcW w:w="3284" w:type="dxa"/>
            <w:tcBorders>
              <w:top w:val="single" w:color="7C6B74" w:sz="4" w:space="0"/>
              <w:left w:val="single" w:color="3B3B44" w:sz="6" w:space="0"/>
              <w:bottom w:val="single" w:color="646080" w:sz="4" w:space="0"/>
              <w:right w:val="single" w:color="909093" w:sz="4" w:space="0"/>
            </w:tcBorders>
            <w:vAlign w:val="center"/>
          </w:tcPr>
          <w:p>
            <w:pPr>
              <w:keepNext w:val="0"/>
              <w:keepLines w:val="0"/>
              <w:pageBreakBefore w:val="0"/>
              <w:kinsoku/>
              <w:wordWrap/>
              <w:overflowPunct/>
              <w:topLinePunct w:val="0"/>
              <w:autoSpaceDE/>
              <w:autoSpaceDN/>
              <w:bidi w:val="0"/>
              <w:adjustRightInd/>
              <w:snapToGrid/>
              <w:spacing w:before="138" w:line="560" w:lineRule="exact"/>
              <w:ind w:left="107"/>
              <w:jc w:val="center"/>
              <w:textAlignment w:val="auto"/>
              <w:rPr>
                <w:sz w:val="21"/>
                <w:lang w:eastAsia="zh-CN"/>
              </w:rPr>
            </w:pPr>
            <w:r>
              <w:rPr>
                <w:sz w:val="21"/>
                <w:lang w:eastAsia="zh-CN"/>
              </w:rPr>
              <w:t>行政强制</w:t>
            </w:r>
          </w:p>
        </w:tc>
        <w:tc>
          <w:tcPr>
            <w:tcW w:w="4840" w:type="dxa"/>
            <w:gridSpan w:val="3"/>
            <w:tcBorders>
              <w:top w:val="single" w:color="7C6B74" w:sz="4" w:space="0"/>
              <w:left w:val="single" w:color="909093" w:sz="4" w:space="0"/>
              <w:bottom w:val="single" w:color="646080" w:sz="4" w:space="0"/>
              <w:right w:val="single" w:color="3B3B3F" w:sz="8"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sz w:val="21"/>
                <w:lang w:val="en-US" w:eastAsia="zh-CN"/>
              </w:rPr>
            </w:pPr>
            <w:r>
              <w:rPr>
                <w:rFonts w:hint="eastAsia"/>
                <w:sz w:val="21"/>
                <w:lang w:val="en-US" w:eastAsia="zh-CN"/>
              </w:rPr>
              <w:t>0</w:t>
            </w:r>
          </w:p>
        </w:tc>
      </w:tr>
      <w:tr>
        <w:tblPrEx>
          <w:tblCellMar>
            <w:top w:w="0" w:type="dxa"/>
            <w:left w:w="0" w:type="dxa"/>
            <w:bottom w:w="0" w:type="dxa"/>
            <w:right w:w="0" w:type="dxa"/>
          </w:tblCellMar>
        </w:tblPrEx>
        <w:trPr>
          <w:trHeight w:val="626" w:hRule="exact"/>
        </w:trPr>
        <w:tc>
          <w:tcPr>
            <w:tcW w:w="8124" w:type="dxa"/>
            <w:gridSpan w:val="4"/>
            <w:tcBorders>
              <w:top w:val="single" w:color="646080" w:sz="4" w:space="0"/>
              <w:left w:val="single" w:color="3B3B44" w:sz="6" w:space="0"/>
              <w:bottom w:val="nil"/>
              <w:right w:val="single" w:color="3B3B3F" w:sz="8" w:space="0"/>
            </w:tcBorders>
            <w:vAlign w:val="center"/>
          </w:tcPr>
          <w:p>
            <w:pPr>
              <w:keepNext w:val="0"/>
              <w:keepLines w:val="0"/>
              <w:pageBreakBefore w:val="0"/>
              <w:tabs>
                <w:tab w:val="left" w:pos="1068"/>
              </w:tabs>
              <w:kinsoku/>
              <w:wordWrap/>
              <w:overflowPunct/>
              <w:topLinePunct w:val="0"/>
              <w:autoSpaceDE/>
              <w:autoSpaceDN/>
              <w:bidi w:val="0"/>
              <w:adjustRightInd/>
              <w:snapToGrid/>
              <w:spacing w:before="142" w:line="560" w:lineRule="exact"/>
              <w:ind w:left="25"/>
              <w:jc w:val="center"/>
              <w:textAlignment w:val="auto"/>
              <w:rPr>
                <w:sz w:val="21"/>
                <w:lang w:eastAsia="zh-CN"/>
              </w:rPr>
            </w:pPr>
            <w:r>
              <w:rPr>
                <w:sz w:val="21"/>
                <w:lang w:eastAsia="zh-CN"/>
              </w:rPr>
              <w:t>第二十条</w:t>
            </w:r>
            <w:r>
              <w:rPr>
                <w:sz w:val="21"/>
                <w:lang w:eastAsia="zh-CN"/>
              </w:rPr>
              <w:tab/>
            </w:r>
            <w:r>
              <w:rPr>
                <w:sz w:val="21"/>
                <w:lang w:eastAsia="zh-CN"/>
              </w:rPr>
              <w:t>第 （八） 项</w:t>
            </w:r>
          </w:p>
        </w:tc>
      </w:tr>
      <w:tr>
        <w:tblPrEx>
          <w:tblCellMar>
            <w:top w:w="0" w:type="dxa"/>
            <w:left w:w="0" w:type="dxa"/>
            <w:bottom w:w="0" w:type="dxa"/>
            <w:right w:w="0" w:type="dxa"/>
          </w:tblCellMar>
        </w:tblPrEx>
        <w:trPr>
          <w:trHeight w:val="621" w:hRule="exact"/>
        </w:trPr>
        <w:tc>
          <w:tcPr>
            <w:tcW w:w="3284" w:type="dxa"/>
            <w:tcBorders>
              <w:top w:val="single" w:color="6B747C" w:sz="4" w:space="0"/>
              <w:left w:val="single" w:color="5B5B60" w:sz="6" w:space="0"/>
              <w:bottom w:val="single" w:color="77778C"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135" w:line="560" w:lineRule="exact"/>
              <w:ind w:right="1"/>
              <w:jc w:val="center"/>
              <w:textAlignment w:val="auto"/>
              <w:rPr>
                <w:sz w:val="21"/>
                <w:lang w:eastAsia="zh-CN"/>
              </w:rPr>
            </w:pPr>
            <w:r>
              <w:rPr>
                <w:sz w:val="21"/>
                <w:lang w:eastAsia="zh-CN"/>
              </w:rPr>
              <w:t>信息内容</w:t>
            </w:r>
          </w:p>
        </w:tc>
        <w:tc>
          <w:tcPr>
            <w:tcW w:w="4840"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pageBreakBefore w:val="0"/>
              <w:kinsoku/>
              <w:wordWrap/>
              <w:overflowPunct/>
              <w:topLinePunct w:val="0"/>
              <w:autoSpaceDE/>
              <w:autoSpaceDN/>
              <w:bidi w:val="0"/>
              <w:adjustRightInd/>
              <w:snapToGrid/>
              <w:spacing w:before="145" w:line="560" w:lineRule="exact"/>
              <w:ind w:left="1446"/>
              <w:jc w:val="center"/>
              <w:textAlignment w:val="auto"/>
              <w:rPr>
                <w:sz w:val="21"/>
                <w:lang w:eastAsia="zh-CN"/>
              </w:rPr>
            </w:pPr>
            <w:r>
              <w:rPr>
                <w:sz w:val="21"/>
                <w:lang w:eastAsia="zh-CN"/>
              </w:rPr>
              <w:t>本年收费金额  （单位 ：万元</w:t>
            </w:r>
            <w:r>
              <w:rPr>
                <w:rFonts w:hint="eastAsia"/>
                <w:sz w:val="21"/>
                <w:lang w:eastAsia="zh-CN"/>
              </w:rPr>
              <w:t>）</w:t>
            </w:r>
          </w:p>
        </w:tc>
      </w:tr>
      <w:tr>
        <w:tblPrEx>
          <w:tblCellMar>
            <w:top w:w="0" w:type="dxa"/>
            <w:left w:w="0" w:type="dxa"/>
            <w:bottom w:w="0" w:type="dxa"/>
            <w:right w:w="0" w:type="dxa"/>
          </w:tblCellMar>
        </w:tblPrEx>
        <w:trPr>
          <w:trHeight w:val="626" w:hRule="exact"/>
        </w:trPr>
        <w:tc>
          <w:tcPr>
            <w:tcW w:w="3284" w:type="dxa"/>
            <w:tcBorders>
              <w:top w:val="single" w:color="77778C" w:sz="4" w:space="0"/>
              <w:left w:val="single" w:color="5B5B60" w:sz="6" w:space="0"/>
              <w:bottom w:val="single" w:color="3B383F" w:sz="8" w:space="0"/>
              <w:right w:val="single" w:color="8C8C93" w:sz="2" w:space="0"/>
            </w:tcBorders>
            <w:vAlign w:val="center"/>
          </w:tcPr>
          <w:p>
            <w:pPr>
              <w:keepNext w:val="0"/>
              <w:keepLines w:val="0"/>
              <w:pageBreakBefore w:val="0"/>
              <w:kinsoku/>
              <w:wordWrap/>
              <w:overflowPunct/>
              <w:topLinePunct w:val="0"/>
              <w:autoSpaceDE/>
              <w:autoSpaceDN/>
              <w:bidi w:val="0"/>
              <w:adjustRightInd/>
              <w:snapToGrid/>
              <w:spacing w:before="138" w:line="560" w:lineRule="exact"/>
              <w:ind w:left="107"/>
              <w:jc w:val="center"/>
              <w:textAlignment w:val="auto"/>
              <w:rPr>
                <w:sz w:val="21"/>
                <w:lang w:eastAsia="zh-CN"/>
              </w:rPr>
            </w:pPr>
            <w:r>
              <w:rPr>
                <w:sz w:val="21"/>
                <w:lang w:eastAsia="zh-CN"/>
              </w:rPr>
              <w:t>行政事业性收费</w:t>
            </w:r>
          </w:p>
        </w:tc>
        <w:tc>
          <w:tcPr>
            <w:tcW w:w="4840" w:type="dxa"/>
            <w:gridSpan w:val="3"/>
            <w:tcBorders>
              <w:top w:val="single" w:color="77778C" w:sz="4" w:space="0"/>
              <w:left w:val="single" w:color="8C8C93" w:sz="2" w:space="0"/>
              <w:bottom w:val="single" w:color="3B383F" w:sz="8" w:space="0"/>
              <w:right w:val="single" w:color="3B3B44" w:sz="8" w:space="0"/>
            </w:tcBorders>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sz w:val="21"/>
                <w:lang w:val="en-US" w:eastAsia="zh-CN"/>
              </w:rPr>
            </w:pPr>
            <w:r>
              <w:rPr>
                <w:rFonts w:hint="eastAsia"/>
                <w:sz w:val="21"/>
                <w:lang w:val="en-US" w:eastAsia="zh-CN"/>
              </w:rPr>
              <w:t>0</w:t>
            </w:r>
          </w:p>
        </w:tc>
      </w:tr>
    </w:tbl>
    <w:p>
      <w:pPr>
        <w:keepNext w:val="0"/>
        <w:keepLines w:val="0"/>
        <w:pageBreakBefore w:val="0"/>
        <w:kinsoku/>
        <w:wordWrap/>
        <w:overflowPunct/>
        <w:topLinePunct w:val="0"/>
        <w:autoSpaceDE/>
        <w:autoSpaceDN/>
        <w:bidi w:val="0"/>
        <w:adjustRightInd/>
        <w:snapToGrid/>
        <w:spacing w:line="560" w:lineRule="exact"/>
        <w:textAlignment w:val="auto"/>
        <w:rPr>
          <w:rFonts w:ascii="黑体" w:hAnsi="黑体" w:eastAsia="黑体"/>
          <w:sz w:val="32"/>
          <w:szCs w:val="32"/>
        </w:rPr>
      </w:pPr>
      <w:r>
        <w:rPr>
          <w:rFonts w:hint="eastAsia" w:ascii="黑体" w:hAnsi="黑体" w:eastAsia="黑体"/>
          <w:sz w:val="32"/>
          <w:szCs w:val="32"/>
        </w:rPr>
        <w:t>三、收到和处理政府信息公开申请情况</w:t>
      </w:r>
    </w:p>
    <w:tbl>
      <w:tblPr>
        <w:tblStyle w:val="6"/>
        <w:tblW w:w="939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4"/>
        <w:gridCol w:w="1525"/>
        <w:gridCol w:w="2634"/>
        <w:gridCol w:w="554"/>
        <w:gridCol w:w="693"/>
        <w:gridCol w:w="692"/>
        <w:gridCol w:w="693"/>
        <w:gridCol w:w="693"/>
        <w:gridCol w:w="695"/>
        <w:gridCol w:w="6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4713" w:type="dxa"/>
            <w:gridSpan w:val="3"/>
            <w:vMerge w:val="restart"/>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（本列数据的勾稽关系为：第一项加第二项之和，等于第三项加第四项之和）</w:t>
            </w:r>
          </w:p>
        </w:tc>
        <w:tc>
          <w:tcPr>
            <w:tcW w:w="4685" w:type="dxa"/>
            <w:gridSpan w:val="7"/>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r>
              <w:rPr>
                <w:rFonts w:hint="eastAsia"/>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4713" w:type="dxa"/>
            <w:gridSpan w:val="3"/>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554"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18"/>
                <w:szCs w:val="18"/>
              </w:rPr>
            </w:pPr>
            <w:r>
              <w:rPr>
                <w:rFonts w:hint="eastAsia"/>
                <w:szCs w:val="21"/>
              </w:rPr>
              <w:t>自然人</w:t>
            </w:r>
          </w:p>
        </w:tc>
        <w:tc>
          <w:tcPr>
            <w:tcW w:w="3466" w:type="dxa"/>
            <w:gridSpan w:val="5"/>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r>
              <w:rPr>
                <w:rFonts w:hint="eastAsia"/>
                <w:szCs w:val="21"/>
              </w:rPr>
              <w:t>法人或其他组织</w:t>
            </w:r>
          </w:p>
        </w:tc>
        <w:tc>
          <w:tcPr>
            <w:tcW w:w="665" w:type="dxa"/>
            <w:vMerge w:val="restart"/>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jc w:val="center"/>
        </w:trPr>
        <w:tc>
          <w:tcPr>
            <w:tcW w:w="4713" w:type="dxa"/>
            <w:gridSpan w:val="3"/>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554" w:type="dxa"/>
            <w:vMerge w:val="continue"/>
          </w:tcPr>
          <w:p>
            <w:pPr>
              <w:keepNext w:val="0"/>
              <w:keepLines w:val="0"/>
              <w:pageBreakBefore w:val="0"/>
              <w:kinsoku/>
              <w:wordWrap/>
              <w:overflowPunct/>
              <w:topLinePunct w:val="0"/>
              <w:autoSpaceDE/>
              <w:autoSpaceDN/>
              <w:bidi w:val="0"/>
              <w:adjustRightInd/>
              <w:snapToGrid/>
              <w:spacing w:line="560" w:lineRule="exact"/>
              <w:textAlignment w:val="auto"/>
              <w:rPr>
                <w:sz w:val="18"/>
                <w:szCs w:val="18"/>
              </w:rPr>
            </w:pPr>
          </w:p>
        </w:tc>
        <w:tc>
          <w:tcPr>
            <w:tcW w:w="693"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商业企业</w:t>
            </w:r>
          </w:p>
        </w:tc>
        <w:tc>
          <w:tcPr>
            <w:tcW w:w="692"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科研机构</w:t>
            </w:r>
          </w:p>
        </w:tc>
        <w:tc>
          <w:tcPr>
            <w:tcW w:w="693"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社会公益组织</w:t>
            </w:r>
          </w:p>
        </w:tc>
        <w:tc>
          <w:tcPr>
            <w:tcW w:w="693"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法律服务机构</w:t>
            </w:r>
          </w:p>
        </w:tc>
        <w:tc>
          <w:tcPr>
            <w:tcW w:w="695" w:type="dxa"/>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r>
              <w:rPr>
                <w:rFonts w:hint="eastAsia"/>
                <w:szCs w:val="21"/>
              </w:rPr>
              <w:t>其他</w:t>
            </w:r>
          </w:p>
        </w:tc>
        <w:tc>
          <w:tcPr>
            <w:tcW w:w="665"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713" w:type="dxa"/>
            <w:gridSpan w:val="3"/>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一、本年新收政府信息公开申请数量</w:t>
            </w:r>
          </w:p>
        </w:tc>
        <w:tc>
          <w:tcPr>
            <w:tcW w:w="5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eastAsiaTheme="minorEastAsia"/>
                <w:szCs w:val="21"/>
                <w:lang w:val="en-US" w:eastAsia="zh-CN"/>
              </w:rPr>
            </w:pPr>
            <w:r>
              <w:rPr>
                <w:rFonts w:hint="eastAsia"/>
                <w:szCs w:val="21"/>
                <w:lang w:val="en-US" w:eastAsia="zh-CN"/>
              </w:rPr>
              <w:t>0</w:t>
            </w:r>
          </w:p>
        </w:tc>
        <w:tc>
          <w:tcPr>
            <w:tcW w:w="692"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eastAsiaTheme="minorEastAsia"/>
                <w:szCs w:val="21"/>
                <w:lang w:val="en-US" w:eastAsia="zh-CN"/>
              </w:rPr>
            </w:pPr>
            <w:r>
              <w:rPr>
                <w:rFonts w:hint="eastAsia"/>
                <w:szCs w:val="21"/>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szCs w:val="21"/>
                <w:lang w:val="en-US" w:eastAsia="zh-CN"/>
              </w:rPr>
            </w:pPr>
            <w:r>
              <w:rPr>
                <w:rFonts w:hint="eastAsia"/>
                <w:szCs w:val="21"/>
                <w:lang w:val="en-US" w:eastAsia="zh-CN"/>
              </w:rPr>
              <w:t>0</w:t>
            </w:r>
          </w:p>
        </w:tc>
        <w:tc>
          <w:tcPr>
            <w:tcW w:w="693"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szCs w:val="21"/>
                <w:lang w:val="en-US" w:eastAsia="zh-CN"/>
              </w:rPr>
            </w:pPr>
            <w:r>
              <w:rPr>
                <w:rFonts w:hint="eastAsia"/>
                <w:szCs w:val="21"/>
                <w:lang w:val="en-US" w:eastAsia="zh-CN"/>
              </w:rPr>
              <w:t>0</w:t>
            </w:r>
          </w:p>
        </w:tc>
        <w:tc>
          <w:tcPr>
            <w:tcW w:w="69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szCs w:val="21"/>
                <w:lang w:val="en-US" w:eastAsia="zh-CN"/>
              </w:rPr>
            </w:pPr>
            <w:r>
              <w:rPr>
                <w:rFonts w:hint="eastAsia"/>
                <w:szCs w:val="21"/>
                <w:lang w:val="en-US" w:eastAsia="zh-CN"/>
              </w:rPr>
              <w:t>0</w:t>
            </w:r>
          </w:p>
        </w:tc>
        <w:tc>
          <w:tcPr>
            <w:tcW w:w="66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szCs w:val="21"/>
                <w:lang w:val="en-US" w:eastAsia="zh-CN"/>
              </w:rPr>
            </w:pPr>
            <w:r>
              <w:rPr>
                <w:rFonts w:hint="eastAsia"/>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4713" w:type="dxa"/>
            <w:gridSpan w:val="3"/>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二、上年结转政府信息公开申请数量</w:t>
            </w:r>
          </w:p>
        </w:tc>
        <w:tc>
          <w:tcPr>
            <w:tcW w:w="5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2"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6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restart"/>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三、本年度办理结果</w:t>
            </w:r>
          </w:p>
        </w:tc>
        <w:tc>
          <w:tcPr>
            <w:tcW w:w="4159" w:type="dxa"/>
            <w:gridSpan w:val="2"/>
          </w:tcPr>
          <w:p>
            <w:pPr>
              <w:keepNext w:val="0"/>
              <w:keepLines w:val="0"/>
              <w:pageBreakBefore w:val="0"/>
              <w:kinsoku/>
              <w:wordWrap/>
              <w:overflowPunct/>
              <w:topLinePunct w:val="0"/>
              <w:autoSpaceDE/>
              <w:autoSpaceDN/>
              <w:bidi w:val="0"/>
              <w:adjustRightInd/>
              <w:snapToGrid/>
              <w:spacing w:line="560" w:lineRule="exact"/>
              <w:textAlignment w:val="auto"/>
              <w:rPr>
                <w:rFonts w:asciiTheme="minorEastAsia" w:hAnsiTheme="minorEastAsia"/>
                <w:sz w:val="18"/>
                <w:szCs w:val="18"/>
              </w:rPr>
            </w:pPr>
            <w:r>
              <w:rPr>
                <w:rFonts w:hint="eastAsia"/>
              </w:rPr>
              <w:t>（一）予以公开</w:t>
            </w:r>
          </w:p>
        </w:tc>
        <w:tc>
          <w:tcPr>
            <w:tcW w:w="5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2"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6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4159" w:type="dxa"/>
            <w:gridSpan w:val="2"/>
          </w:tcPr>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r>
              <w:rPr>
                <w:rFonts w:hint="eastAsia"/>
              </w:rPr>
              <w:t>（二）部分公开（区分处理的，只计这一情形，不计其他情形）</w:t>
            </w:r>
          </w:p>
        </w:tc>
        <w:tc>
          <w:tcPr>
            <w:tcW w:w="5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2"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6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1525" w:type="dxa"/>
            <w:vMerge w:val="restart"/>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r>
              <w:rPr>
                <w:rFonts w:hint="eastAsia"/>
              </w:rPr>
              <w:t>（三）不予公开</w:t>
            </w:r>
          </w:p>
        </w:tc>
        <w:tc>
          <w:tcPr>
            <w:tcW w:w="263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r>
              <w:rPr>
                <w:rFonts w:hint="eastAsia"/>
              </w:rPr>
              <w:t>1．属于国家秘密</w:t>
            </w:r>
          </w:p>
        </w:tc>
        <w:tc>
          <w:tcPr>
            <w:tcW w:w="5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2"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6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tc>
        <w:tc>
          <w:tcPr>
            <w:tcW w:w="263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r>
              <w:rPr>
                <w:rFonts w:hint="eastAsia"/>
              </w:rPr>
              <w:t>2．其他法律行政法规禁止公开</w:t>
            </w:r>
          </w:p>
        </w:tc>
        <w:tc>
          <w:tcPr>
            <w:tcW w:w="5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2"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6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tc>
        <w:tc>
          <w:tcPr>
            <w:tcW w:w="263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r>
              <w:rPr>
                <w:rFonts w:hint="eastAsia"/>
              </w:rPr>
              <w:t>3．危及“三安全一稳定”</w:t>
            </w:r>
          </w:p>
        </w:tc>
        <w:tc>
          <w:tcPr>
            <w:tcW w:w="5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2"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6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tc>
        <w:tc>
          <w:tcPr>
            <w:tcW w:w="263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r>
              <w:rPr>
                <w:rFonts w:hint="eastAsia"/>
              </w:rPr>
              <w:t>4．保护第三方合法权益</w:t>
            </w:r>
          </w:p>
        </w:tc>
        <w:tc>
          <w:tcPr>
            <w:tcW w:w="5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2"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6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tc>
        <w:tc>
          <w:tcPr>
            <w:tcW w:w="263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r>
              <w:rPr>
                <w:rFonts w:hint="eastAsia"/>
              </w:rPr>
              <w:t>5．属于三类内部事务信息</w:t>
            </w:r>
          </w:p>
        </w:tc>
        <w:tc>
          <w:tcPr>
            <w:tcW w:w="5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2"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6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tc>
        <w:tc>
          <w:tcPr>
            <w:tcW w:w="263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r>
              <w:rPr>
                <w:rFonts w:hint="eastAsia"/>
              </w:rPr>
              <w:t>6．属于四类过程性信息</w:t>
            </w:r>
          </w:p>
        </w:tc>
        <w:tc>
          <w:tcPr>
            <w:tcW w:w="5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2"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6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tc>
        <w:tc>
          <w:tcPr>
            <w:tcW w:w="263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r>
              <w:rPr>
                <w:rFonts w:hint="eastAsia"/>
              </w:rPr>
              <w:t>7．属于行政执法案卷</w:t>
            </w:r>
          </w:p>
        </w:tc>
        <w:tc>
          <w:tcPr>
            <w:tcW w:w="5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2"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6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tc>
        <w:tc>
          <w:tcPr>
            <w:tcW w:w="263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r>
              <w:rPr>
                <w:rFonts w:hint="eastAsia"/>
              </w:rPr>
              <w:t>8．属于行政查询事项</w:t>
            </w:r>
          </w:p>
        </w:tc>
        <w:tc>
          <w:tcPr>
            <w:tcW w:w="5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2"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6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1525" w:type="dxa"/>
            <w:vMerge w:val="restart"/>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r>
              <w:rPr>
                <w:rFonts w:hint="eastAsia"/>
              </w:rPr>
              <w:t>（四）无法提供</w:t>
            </w:r>
          </w:p>
        </w:tc>
        <w:tc>
          <w:tcPr>
            <w:tcW w:w="263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r>
              <w:rPr>
                <w:rFonts w:hint="eastAsia"/>
              </w:rPr>
              <w:t>1．本机关不掌握相关政府信息</w:t>
            </w:r>
          </w:p>
        </w:tc>
        <w:tc>
          <w:tcPr>
            <w:tcW w:w="5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2"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6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tc>
        <w:tc>
          <w:tcPr>
            <w:tcW w:w="263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r>
              <w:rPr>
                <w:rFonts w:hint="eastAsia"/>
              </w:rPr>
              <w:t>2．没有现成信息需要另行制作</w:t>
            </w:r>
          </w:p>
        </w:tc>
        <w:tc>
          <w:tcPr>
            <w:tcW w:w="5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2"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6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1525" w:type="dxa"/>
            <w:vMerge w:val="continue"/>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tc>
        <w:tc>
          <w:tcPr>
            <w:tcW w:w="263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r>
              <w:rPr>
                <w:rFonts w:hint="eastAsia"/>
              </w:rPr>
              <w:t>3．补正后申请内容仍不明确</w:t>
            </w:r>
          </w:p>
        </w:tc>
        <w:tc>
          <w:tcPr>
            <w:tcW w:w="5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2"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6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1525" w:type="dxa"/>
            <w:vMerge w:val="restart"/>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r>
              <w:rPr>
                <w:rFonts w:hint="eastAsia"/>
              </w:rPr>
              <w:t>（五）不予处理</w:t>
            </w:r>
          </w:p>
        </w:tc>
        <w:tc>
          <w:tcPr>
            <w:tcW w:w="263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r>
              <w:rPr>
                <w:rFonts w:hint="eastAsia"/>
              </w:rPr>
              <w:t>1．信访举报投诉类申请</w:t>
            </w:r>
          </w:p>
        </w:tc>
        <w:tc>
          <w:tcPr>
            <w:tcW w:w="5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2"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6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1525" w:type="dxa"/>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tc>
        <w:tc>
          <w:tcPr>
            <w:tcW w:w="263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r>
              <w:rPr>
                <w:rFonts w:hint="eastAsia"/>
              </w:rPr>
              <w:t>2．重复申请</w:t>
            </w:r>
          </w:p>
        </w:tc>
        <w:tc>
          <w:tcPr>
            <w:tcW w:w="5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2"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6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1525" w:type="dxa"/>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tc>
        <w:tc>
          <w:tcPr>
            <w:tcW w:w="263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r>
              <w:rPr>
                <w:rFonts w:hint="eastAsia"/>
              </w:rPr>
              <w:t>3．要求提供公开出版物</w:t>
            </w:r>
          </w:p>
        </w:tc>
        <w:tc>
          <w:tcPr>
            <w:tcW w:w="5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2"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6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1525" w:type="dxa"/>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tc>
        <w:tc>
          <w:tcPr>
            <w:tcW w:w="263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r>
              <w:rPr>
                <w:rFonts w:hint="eastAsia"/>
              </w:rPr>
              <w:t>4．无正当理由大量反复申请</w:t>
            </w:r>
          </w:p>
        </w:tc>
        <w:tc>
          <w:tcPr>
            <w:tcW w:w="5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2"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6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1525" w:type="dxa"/>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tc>
        <w:tc>
          <w:tcPr>
            <w:tcW w:w="263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r>
              <w:rPr>
                <w:rFonts w:hint="eastAsia"/>
              </w:rPr>
              <w:t>5．要求行政机关确认或重新出具已获取信息</w:t>
            </w:r>
          </w:p>
        </w:tc>
        <w:tc>
          <w:tcPr>
            <w:tcW w:w="5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2"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6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1525" w:type="dxa"/>
            <w:vMerge w:val="restart"/>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r>
              <w:rPr>
                <w:rFonts w:hint="eastAsia"/>
              </w:rPr>
              <w:t>（六）其他处理</w:t>
            </w:r>
          </w:p>
        </w:tc>
        <w:tc>
          <w:tcPr>
            <w:tcW w:w="263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r>
              <w:rPr>
                <w:rFonts w:hint="eastAsia"/>
              </w:rPr>
              <w:t>1.申请人无正当理由逾期不补正、行政机关不再处理其政府信息公开申请</w:t>
            </w:r>
          </w:p>
        </w:tc>
        <w:tc>
          <w:tcPr>
            <w:tcW w:w="5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2"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6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1525" w:type="dxa"/>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tc>
        <w:tc>
          <w:tcPr>
            <w:tcW w:w="263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r>
              <w:rPr>
                <w:rFonts w:hint="eastAsia"/>
              </w:rPr>
              <w:t>2.申请人逾期未按收费通知 要求缴纳费用、行政机关不再处理其政府信息公开申请</w:t>
            </w:r>
          </w:p>
        </w:tc>
        <w:tc>
          <w:tcPr>
            <w:tcW w:w="5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2"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6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1525" w:type="dxa"/>
            <w:vMerge w:val="continue"/>
          </w:tcPr>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p>
        </w:tc>
        <w:tc>
          <w:tcPr>
            <w:tcW w:w="2634" w:type="dxa"/>
          </w:tcPr>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r>
              <w:rPr>
                <w:rFonts w:hint="eastAsia"/>
              </w:rPr>
              <w:t>3.其他</w:t>
            </w:r>
          </w:p>
        </w:tc>
        <w:tc>
          <w:tcPr>
            <w:tcW w:w="5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2"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6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554" w:type="dxa"/>
            <w:vMerge w:val="continue"/>
          </w:tcPr>
          <w:p>
            <w:pPr>
              <w:keepNext w:val="0"/>
              <w:keepLines w:val="0"/>
              <w:pageBreakBefore w:val="0"/>
              <w:kinsoku/>
              <w:wordWrap/>
              <w:overflowPunct/>
              <w:topLinePunct w:val="0"/>
              <w:autoSpaceDE/>
              <w:autoSpaceDN/>
              <w:bidi w:val="0"/>
              <w:adjustRightInd/>
              <w:snapToGrid/>
              <w:spacing w:line="560" w:lineRule="exact"/>
              <w:textAlignment w:val="auto"/>
            </w:pPr>
          </w:p>
        </w:tc>
        <w:tc>
          <w:tcPr>
            <w:tcW w:w="4159" w:type="dxa"/>
            <w:gridSpan w:val="2"/>
            <w:vAlign w:val="center"/>
          </w:tcPr>
          <w:p>
            <w:pPr>
              <w:keepNext w:val="0"/>
              <w:keepLines w:val="0"/>
              <w:pageBreakBefore w:val="0"/>
              <w:kinsoku/>
              <w:wordWrap/>
              <w:overflowPunct/>
              <w:topLinePunct w:val="0"/>
              <w:autoSpaceDE/>
              <w:autoSpaceDN/>
              <w:bidi w:val="0"/>
              <w:adjustRightInd/>
              <w:snapToGrid/>
              <w:spacing w:line="560" w:lineRule="exact"/>
              <w:textAlignment w:val="auto"/>
              <w:rPr>
                <w:rFonts w:hint="eastAsia"/>
              </w:rPr>
            </w:pPr>
            <w:r>
              <w:rPr>
                <w:rFonts w:hint="eastAsia"/>
              </w:rPr>
              <w:t>（七）总计</w:t>
            </w:r>
          </w:p>
        </w:tc>
        <w:tc>
          <w:tcPr>
            <w:tcW w:w="5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2"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6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jc w:val="center"/>
        </w:trPr>
        <w:tc>
          <w:tcPr>
            <w:tcW w:w="4713" w:type="dxa"/>
            <w:gridSpan w:val="3"/>
            <w:vAlign w:val="center"/>
          </w:tcPr>
          <w:p>
            <w:pPr>
              <w:keepNext w:val="0"/>
              <w:keepLines w:val="0"/>
              <w:pageBreakBefore w:val="0"/>
              <w:kinsoku/>
              <w:wordWrap/>
              <w:overflowPunct/>
              <w:topLinePunct w:val="0"/>
              <w:autoSpaceDE/>
              <w:autoSpaceDN/>
              <w:bidi w:val="0"/>
              <w:adjustRightInd/>
              <w:snapToGrid/>
              <w:spacing w:line="560" w:lineRule="exact"/>
              <w:textAlignment w:val="auto"/>
            </w:pPr>
            <w:r>
              <w:rPr>
                <w:rFonts w:hint="eastAsia"/>
              </w:rPr>
              <w:t>四、结转下年度继续办理</w:t>
            </w:r>
          </w:p>
        </w:tc>
        <w:tc>
          <w:tcPr>
            <w:tcW w:w="554"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2"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3"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9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c>
          <w:tcPr>
            <w:tcW w:w="665" w:type="dxa"/>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lang w:val="en-US" w:eastAsia="zh-CN"/>
              </w:rPr>
            </w:pPr>
            <w:r>
              <w:rPr>
                <w:rFonts w:hint="eastAsia"/>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四、政府信息公开行政复议、行政诉讼情况</w:t>
      </w:r>
    </w:p>
    <w:tbl>
      <w:tblPr>
        <w:tblStyle w:val="6"/>
        <w:tblW w:w="971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709"/>
        <w:gridCol w:w="709"/>
        <w:gridCol w:w="706"/>
        <w:gridCol w:w="428"/>
        <w:gridCol w:w="708"/>
        <w:gridCol w:w="709"/>
        <w:gridCol w:w="709"/>
        <w:gridCol w:w="709"/>
        <w:gridCol w:w="425"/>
        <w:gridCol w:w="709"/>
        <w:gridCol w:w="708"/>
        <w:gridCol w:w="709"/>
        <w:gridCol w:w="694"/>
        <w:gridCol w:w="4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24" w:hRule="atLeast"/>
          <w:jc w:val="center"/>
        </w:trPr>
        <w:tc>
          <w:tcPr>
            <w:tcW w:w="3207" w:type="dxa"/>
            <w:gridSpan w:val="5"/>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r>
              <w:rPr>
                <w:rFonts w:hint="eastAsia"/>
                <w:szCs w:val="21"/>
              </w:rPr>
              <w:t>行政复议</w:t>
            </w:r>
          </w:p>
        </w:tc>
        <w:tc>
          <w:tcPr>
            <w:tcW w:w="6505" w:type="dxa"/>
            <w:gridSpan w:val="10"/>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r>
              <w:rPr>
                <w:rFonts w:hint="eastAsia"/>
                <w:szCs w:val="21"/>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jc w:val="center"/>
        </w:trPr>
        <w:tc>
          <w:tcPr>
            <w:tcW w:w="655"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r>
              <w:rPr>
                <w:rFonts w:hint="eastAsia"/>
                <w:szCs w:val="21"/>
              </w:rPr>
              <w:t>结果维持</w:t>
            </w:r>
          </w:p>
        </w:tc>
        <w:tc>
          <w:tcPr>
            <w:tcW w:w="709"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r>
              <w:rPr>
                <w:rFonts w:hint="eastAsia"/>
                <w:szCs w:val="21"/>
              </w:rPr>
              <w:t>结果纠正</w:t>
            </w:r>
          </w:p>
        </w:tc>
        <w:tc>
          <w:tcPr>
            <w:tcW w:w="709"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r>
              <w:rPr>
                <w:rFonts w:hint="eastAsia"/>
                <w:szCs w:val="21"/>
              </w:rPr>
              <w:t>其他结果</w:t>
            </w:r>
          </w:p>
        </w:tc>
        <w:tc>
          <w:tcPr>
            <w:tcW w:w="706"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r>
              <w:rPr>
                <w:rFonts w:hint="eastAsia"/>
                <w:szCs w:val="21"/>
              </w:rPr>
              <w:t>尚未审结</w:t>
            </w:r>
          </w:p>
        </w:tc>
        <w:tc>
          <w:tcPr>
            <w:tcW w:w="428" w:type="dxa"/>
            <w:vMerge w:val="restart"/>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r>
              <w:rPr>
                <w:rFonts w:hint="eastAsia"/>
                <w:szCs w:val="21"/>
              </w:rPr>
              <w:t>总计</w:t>
            </w:r>
          </w:p>
        </w:tc>
        <w:tc>
          <w:tcPr>
            <w:tcW w:w="3260" w:type="dxa"/>
            <w:gridSpan w:val="5"/>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r>
              <w:rPr>
                <w:rFonts w:hint="eastAsia"/>
                <w:szCs w:val="21"/>
              </w:rPr>
              <w:t>未经复议直接起诉</w:t>
            </w:r>
          </w:p>
        </w:tc>
        <w:tc>
          <w:tcPr>
            <w:tcW w:w="3245" w:type="dxa"/>
            <w:gridSpan w:val="5"/>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r>
              <w:rPr>
                <w:rFonts w:hint="eastAsia"/>
                <w:szCs w:val="21"/>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 w:hRule="atLeast"/>
          <w:jc w:val="center"/>
        </w:trPr>
        <w:tc>
          <w:tcPr>
            <w:tcW w:w="655"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18"/>
                <w:szCs w:val="18"/>
              </w:rPr>
            </w:pPr>
          </w:p>
        </w:tc>
        <w:tc>
          <w:tcPr>
            <w:tcW w:w="709"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18"/>
                <w:szCs w:val="18"/>
              </w:rPr>
            </w:pPr>
          </w:p>
        </w:tc>
        <w:tc>
          <w:tcPr>
            <w:tcW w:w="709"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 w:val="18"/>
                <w:szCs w:val="18"/>
              </w:rPr>
            </w:pPr>
          </w:p>
        </w:tc>
        <w:tc>
          <w:tcPr>
            <w:tcW w:w="706"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p>
        </w:tc>
        <w:tc>
          <w:tcPr>
            <w:tcW w:w="428" w:type="dxa"/>
            <w:vMerge w:val="continue"/>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p>
        </w:tc>
        <w:tc>
          <w:tcPr>
            <w:tcW w:w="70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r>
              <w:rPr>
                <w:rFonts w:hint="eastAsia"/>
                <w:szCs w:val="21"/>
              </w:rPr>
              <w:t>结果维持</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r>
              <w:rPr>
                <w:rFonts w:hint="eastAsia"/>
                <w:szCs w:val="21"/>
              </w:rPr>
              <w:t>结果纠正</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r>
              <w:rPr>
                <w:rFonts w:hint="eastAsia"/>
                <w:szCs w:val="21"/>
              </w:rPr>
              <w:t>其他结果</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r>
              <w:rPr>
                <w:rFonts w:hint="eastAsia"/>
                <w:szCs w:val="21"/>
              </w:rPr>
              <w:t>尚未审结</w:t>
            </w:r>
          </w:p>
        </w:tc>
        <w:tc>
          <w:tcPr>
            <w:tcW w:w="42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r>
              <w:rPr>
                <w:rFonts w:hint="eastAsia"/>
                <w:szCs w:val="21"/>
              </w:rPr>
              <w:t>总计</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r>
              <w:rPr>
                <w:rFonts w:hint="eastAsia"/>
                <w:szCs w:val="21"/>
              </w:rPr>
              <w:t>结果维持</w:t>
            </w:r>
          </w:p>
        </w:tc>
        <w:tc>
          <w:tcPr>
            <w:tcW w:w="70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r>
              <w:rPr>
                <w:rFonts w:hint="eastAsia"/>
                <w:szCs w:val="21"/>
              </w:rPr>
              <w:t>结果纠正</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r>
              <w:rPr>
                <w:rFonts w:hint="eastAsia"/>
                <w:szCs w:val="21"/>
              </w:rPr>
              <w:t>其他结果</w:t>
            </w:r>
          </w:p>
        </w:tc>
        <w:tc>
          <w:tcPr>
            <w:tcW w:w="69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r>
              <w:rPr>
                <w:rFonts w:hint="eastAsia"/>
                <w:szCs w:val="21"/>
              </w:rPr>
              <w:t>尚未审结</w:t>
            </w:r>
          </w:p>
        </w:tc>
        <w:tc>
          <w:tcPr>
            <w:tcW w:w="42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szCs w:val="21"/>
              </w:rPr>
            </w:pPr>
            <w:r>
              <w:rPr>
                <w:rFonts w:hint="eastAsia"/>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5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sz w:val="18"/>
                <w:szCs w:val="18"/>
                <w:lang w:val="en-US" w:eastAsia="zh-CN"/>
              </w:rPr>
            </w:pPr>
            <w:r>
              <w:rPr>
                <w:rFonts w:hint="eastAsia"/>
                <w:sz w:val="18"/>
                <w:szCs w:val="18"/>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sz w:val="18"/>
                <w:szCs w:val="18"/>
                <w:lang w:val="en-US" w:eastAsia="zh-CN"/>
              </w:rPr>
            </w:pPr>
            <w:r>
              <w:rPr>
                <w:rFonts w:hint="eastAsia"/>
                <w:sz w:val="18"/>
                <w:szCs w:val="18"/>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sz w:val="18"/>
                <w:szCs w:val="18"/>
                <w:lang w:val="en-US" w:eastAsia="zh-CN"/>
              </w:rPr>
            </w:pPr>
            <w:r>
              <w:rPr>
                <w:rFonts w:hint="eastAsia"/>
                <w:sz w:val="18"/>
                <w:szCs w:val="18"/>
                <w:lang w:val="en-US" w:eastAsia="zh-CN"/>
              </w:rPr>
              <w:t>0</w:t>
            </w:r>
          </w:p>
        </w:tc>
        <w:tc>
          <w:tcPr>
            <w:tcW w:w="706"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szCs w:val="21"/>
                <w:lang w:val="en-US" w:eastAsia="zh-CN"/>
              </w:rPr>
            </w:pPr>
            <w:r>
              <w:rPr>
                <w:rFonts w:hint="eastAsia"/>
                <w:szCs w:val="21"/>
                <w:lang w:val="en-US" w:eastAsia="zh-CN"/>
              </w:rPr>
              <w:t>0</w:t>
            </w:r>
          </w:p>
        </w:tc>
        <w:tc>
          <w:tcPr>
            <w:tcW w:w="42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szCs w:val="21"/>
                <w:lang w:val="en-US" w:eastAsia="zh-CN"/>
              </w:rPr>
            </w:pPr>
            <w:r>
              <w:rPr>
                <w:rFonts w:hint="eastAsia"/>
                <w:szCs w:val="21"/>
                <w:lang w:val="en-US" w:eastAsia="zh-CN"/>
              </w:rPr>
              <w:t>0</w:t>
            </w:r>
          </w:p>
        </w:tc>
        <w:tc>
          <w:tcPr>
            <w:tcW w:w="70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szCs w:val="21"/>
                <w:lang w:val="en-US" w:eastAsia="zh-CN"/>
              </w:rPr>
            </w:pPr>
            <w:r>
              <w:rPr>
                <w:rFonts w:hint="eastAsia"/>
                <w:szCs w:val="21"/>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szCs w:val="21"/>
                <w:lang w:val="en-US" w:eastAsia="zh-CN"/>
              </w:rPr>
            </w:pPr>
            <w:r>
              <w:rPr>
                <w:rFonts w:hint="eastAsia"/>
                <w:szCs w:val="21"/>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szCs w:val="21"/>
                <w:lang w:val="en-US" w:eastAsia="zh-CN"/>
              </w:rPr>
            </w:pPr>
            <w:r>
              <w:rPr>
                <w:rFonts w:hint="eastAsia"/>
                <w:szCs w:val="21"/>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szCs w:val="21"/>
                <w:lang w:val="en-US" w:eastAsia="zh-CN"/>
              </w:rPr>
            </w:pPr>
            <w:r>
              <w:rPr>
                <w:rFonts w:hint="eastAsia"/>
                <w:szCs w:val="21"/>
                <w:lang w:val="en-US" w:eastAsia="zh-CN"/>
              </w:rPr>
              <w:t>0</w:t>
            </w:r>
          </w:p>
        </w:tc>
        <w:tc>
          <w:tcPr>
            <w:tcW w:w="42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szCs w:val="21"/>
                <w:lang w:val="en-US" w:eastAsia="zh-CN"/>
              </w:rPr>
            </w:pPr>
            <w:r>
              <w:rPr>
                <w:rFonts w:hint="eastAsia"/>
                <w:szCs w:val="21"/>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szCs w:val="21"/>
                <w:lang w:val="en-US" w:eastAsia="zh-CN"/>
              </w:rPr>
            </w:pPr>
            <w:r>
              <w:rPr>
                <w:rFonts w:hint="eastAsia"/>
                <w:szCs w:val="21"/>
                <w:lang w:val="en-US" w:eastAsia="zh-CN"/>
              </w:rPr>
              <w:t>0</w:t>
            </w:r>
          </w:p>
        </w:tc>
        <w:tc>
          <w:tcPr>
            <w:tcW w:w="708"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szCs w:val="21"/>
                <w:lang w:val="en-US" w:eastAsia="zh-CN"/>
              </w:rPr>
            </w:pPr>
            <w:r>
              <w:rPr>
                <w:rFonts w:hint="eastAsia"/>
                <w:szCs w:val="21"/>
                <w:lang w:val="en-US" w:eastAsia="zh-CN"/>
              </w:rPr>
              <w:t>0</w:t>
            </w:r>
          </w:p>
        </w:tc>
        <w:tc>
          <w:tcPr>
            <w:tcW w:w="709"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szCs w:val="21"/>
                <w:lang w:val="en-US" w:eastAsia="zh-CN"/>
              </w:rPr>
            </w:pPr>
            <w:r>
              <w:rPr>
                <w:rFonts w:hint="eastAsia"/>
                <w:szCs w:val="21"/>
                <w:lang w:val="en-US" w:eastAsia="zh-CN"/>
              </w:rPr>
              <w:t>0</w:t>
            </w:r>
          </w:p>
        </w:tc>
        <w:tc>
          <w:tcPr>
            <w:tcW w:w="694"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szCs w:val="21"/>
                <w:lang w:val="en-US" w:eastAsia="zh-CN"/>
              </w:rPr>
            </w:pPr>
            <w:r>
              <w:rPr>
                <w:rFonts w:hint="eastAsia"/>
                <w:szCs w:val="21"/>
                <w:lang w:val="en-US" w:eastAsia="zh-CN"/>
              </w:rPr>
              <w:t>0</w:t>
            </w:r>
          </w:p>
        </w:tc>
        <w:tc>
          <w:tcPr>
            <w:tcW w:w="425"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eastAsiaTheme="minorEastAsia"/>
                <w:szCs w:val="21"/>
                <w:lang w:val="en-US" w:eastAsia="zh-CN"/>
              </w:rPr>
            </w:pPr>
            <w:r>
              <w:rPr>
                <w:rFonts w:hint="eastAsia"/>
                <w:szCs w:val="21"/>
                <w:lang w:val="en-US" w:eastAsia="zh-CN"/>
              </w:rPr>
              <w:t>0</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ascii="黑体" w:hAnsi="黑体" w:eastAsia="黑体"/>
          <w:sz w:val="32"/>
          <w:szCs w:val="32"/>
        </w:rPr>
      </w:pPr>
      <w:r>
        <w:rPr>
          <w:rFonts w:hint="eastAsia" w:ascii="黑体" w:hAnsi="黑体" w:eastAsia="黑体"/>
          <w:sz w:val="32"/>
          <w:szCs w:val="32"/>
        </w:rPr>
        <w:t>五、存在的主要问题及改进情况</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000000"/>
          <w:spacing w:val="0"/>
          <w:sz w:val="32"/>
          <w:szCs w:val="32"/>
          <w:shd w:val="clear" w:fill="FFFFFF"/>
          <w:lang w:val="en-US" w:eastAsia="zh-CN"/>
        </w:rPr>
      </w:pPr>
      <w:r>
        <w:rPr>
          <w:rFonts w:hint="eastAsia" w:ascii="仿宋" w:hAnsi="仿宋" w:eastAsia="仿宋" w:cs="仿宋"/>
          <w:i w:val="0"/>
          <w:caps w:val="0"/>
          <w:color w:val="000000"/>
          <w:spacing w:val="0"/>
          <w:sz w:val="32"/>
          <w:szCs w:val="32"/>
          <w:shd w:val="clear" w:fill="FFFFFF"/>
          <w:lang w:eastAsia="zh-CN"/>
        </w:rPr>
        <w:t>（</w:t>
      </w:r>
      <w:r>
        <w:rPr>
          <w:rFonts w:hint="eastAsia" w:ascii="楷体_GB2312" w:hAnsi="楷体_GB2312" w:eastAsia="楷体_GB2312" w:cs="楷体_GB2312"/>
          <w:sz w:val="32"/>
          <w:szCs w:val="32"/>
          <w:lang w:val="en-US" w:eastAsia="zh-CN"/>
        </w:rPr>
        <w:t>一）主要问题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fill="FFFFFF"/>
          <w:lang w:eastAsia="zh-CN"/>
        </w:rPr>
      </w:pPr>
      <w:r>
        <w:rPr>
          <w:rFonts w:hint="eastAsia" w:ascii="仿宋_GB2312" w:hAnsi="仿宋_GB2312" w:eastAsia="仿宋_GB2312" w:cs="仿宋_GB2312"/>
          <w:i w:val="0"/>
          <w:caps w:val="0"/>
          <w:color w:val="000000"/>
          <w:spacing w:val="0"/>
          <w:sz w:val="32"/>
          <w:szCs w:val="32"/>
          <w:shd w:val="clear" w:fill="FFFFFF"/>
          <w:lang w:val="en-US" w:eastAsia="zh-CN"/>
        </w:rPr>
        <w:t>一</w:t>
      </w:r>
      <w:r>
        <w:rPr>
          <w:rFonts w:hint="eastAsia" w:ascii="仿宋_GB2312" w:hAnsi="仿宋_GB2312" w:eastAsia="仿宋_GB2312" w:cs="仿宋_GB2312"/>
          <w:i w:val="0"/>
          <w:caps w:val="0"/>
          <w:color w:val="000000"/>
          <w:spacing w:val="0"/>
          <w:sz w:val="32"/>
          <w:szCs w:val="32"/>
          <w:shd w:val="clear" w:fill="FFFFFF"/>
        </w:rPr>
        <w:t>是</w:t>
      </w:r>
      <w:r>
        <w:rPr>
          <w:rFonts w:hint="eastAsia" w:ascii="仿宋_GB2312" w:hAnsi="仿宋_GB2312" w:eastAsia="仿宋_GB2312" w:cs="仿宋_GB2312"/>
          <w:i w:val="0"/>
          <w:caps w:val="0"/>
          <w:color w:val="000000"/>
          <w:spacing w:val="0"/>
          <w:sz w:val="32"/>
          <w:szCs w:val="32"/>
          <w:shd w:val="clear" w:fill="FFFFFF"/>
          <w:lang w:val="en-US" w:eastAsia="zh-CN"/>
        </w:rPr>
        <w:t>信息公开内容的</w:t>
      </w:r>
      <w:r>
        <w:rPr>
          <w:rFonts w:hint="eastAsia" w:ascii="仿宋_GB2312" w:hAnsi="仿宋_GB2312" w:eastAsia="仿宋_GB2312" w:cs="仿宋_GB2312"/>
          <w:i w:val="0"/>
          <w:caps w:val="0"/>
          <w:color w:val="auto"/>
          <w:spacing w:val="0"/>
          <w:sz w:val="32"/>
          <w:szCs w:val="32"/>
          <w:shd w:val="clear" w:fill="FFFFFF"/>
        </w:rPr>
        <w:t>时效</w:t>
      </w:r>
      <w:r>
        <w:rPr>
          <w:rFonts w:hint="eastAsia" w:ascii="仿宋_GB2312" w:hAnsi="仿宋_GB2312" w:eastAsia="仿宋_GB2312" w:cs="仿宋_GB2312"/>
          <w:i w:val="0"/>
          <w:caps w:val="0"/>
          <w:color w:val="auto"/>
          <w:spacing w:val="0"/>
          <w:sz w:val="32"/>
          <w:szCs w:val="32"/>
          <w:shd w:val="clear" w:fill="FFFFFF"/>
          <w:lang w:val="en-US" w:eastAsia="zh-CN"/>
        </w:rPr>
        <w:t>性</w:t>
      </w:r>
      <w:r>
        <w:rPr>
          <w:rFonts w:hint="eastAsia" w:ascii="仿宋_GB2312" w:hAnsi="仿宋_GB2312" w:eastAsia="仿宋_GB2312" w:cs="仿宋_GB2312"/>
          <w:i w:val="0"/>
          <w:caps w:val="0"/>
          <w:color w:val="000000"/>
          <w:spacing w:val="0"/>
          <w:sz w:val="32"/>
          <w:szCs w:val="32"/>
          <w:shd w:val="clear" w:fill="FFFFFF"/>
        </w:rPr>
        <w:t>有待</w:t>
      </w:r>
      <w:r>
        <w:rPr>
          <w:rFonts w:hint="eastAsia" w:ascii="仿宋_GB2312" w:hAnsi="仿宋_GB2312" w:eastAsia="仿宋_GB2312" w:cs="仿宋_GB2312"/>
          <w:i w:val="0"/>
          <w:caps w:val="0"/>
          <w:color w:val="000000"/>
          <w:spacing w:val="0"/>
          <w:sz w:val="32"/>
          <w:szCs w:val="32"/>
          <w:shd w:val="clear" w:fill="FFFFFF"/>
          <w:lang w:val="en-US" w:eastAsia="zh-CN"/>
        </w:rPr>
        <w:t>提升</w:t>
      </w:r>
      <w:r>
        <w:rPr>
          <w:rFonts w:hint="eastAsia" w:ascii="仿宋_GB2312" w:hAnsi="仿宋_GB2312" w:eastAsia="仿宋_GB2312" w:cs="仿宋_GB2312"/>
          <w:i w:val="0"/>
          <w:caps w:val="0"/>
          <w:color w:val="000000"/>
          <w:spacing w:val="0"/>
          <w:sz w:val="32"/>
          <w:szCs w:val="32"/>
          <w:shd w:val="clear" w:fill="FFFFFF"/>
        </w:rPr>
        <w:t>。政府机关提供</w:t>
      </w:r>
      <w:r>
        <w:rPr>
          <w:rFonts w:hint="eastAsia" w:ascii="仿宋_GB2312" w:hAnsi="仿宋_GB2312" w:eastAsia="仿宋_GB2312" w:cs="仿宋_GB2312"/>
          <w:i w:val="0"/>
          <w:caps w:val="0"/>
          <w:color w:val="000000"/>
          <w:spacing w:val="0"/>
          <w:sz w:val="32"/>
          <w:szCs w:val="32"/>
          <w:shd w:val="clear" w:fill="FFFFFF"/>
          <w:lang w:val="en-US" w:eastAsia="zh-CN"/>
        </w:rPr>
        <w:t>的</w:t>
      </w:r>
      <w:r>
        <w:rPr>
          <w:rFonts w:hint="eastAsia" w:ascii="仿宋_GB2312" w:hAnsi="仿宋_GB2312" w:eastAsia="仿宋_GB2312" w:cs="仿宋_GB2312"/>
          <w:i w:val="0"/>
          <w:caps w:val="0"/>
          <w:color w:val="000000"/>
          <w:spacing w:val="0"/>
          <w:sz w:val="32"/>
          <w:szCs w:val="32"/>
          <w:shd w:val="clear" w:fill="FFFFFF"/>
        </w:rPr>
        <w:t>信息</w:t>
      </w:r>
      <w:r>
        <w:rPr>
          <w:rFonts w:hint="eastAsia" w:ascii="仿宋_GB2312" w:hAnsi="仿宋_GB2312" w:eastAsia="仿宋_GB2312" w:cs="仿宋_GB2312"/>
          <w:i w:val="0"/>
          <w:caps w:val="0"/>
          <w:color w:val="000000"/>
          <w:spacing w:val="0"/>
          <w:sz w:val="32"/>
          <w:szCs w:val="32"/>
          <w:shd w:val="clear" w:fill="FFFFFF"/>
          <w:lang w:val="en-US" w:eastAsia="zh-CN"/>
        </w:rPr>
        <w:t>与</w:t>
      </w:r>
      <w:r>
        <w:rPr>
          <w:rFonts w:hint="eastAsia" w:ascii="仿宋_GB2312" w:hAnsi="仿宋_GB2312" w:eastAsia="仿宋_GB2312" w:cs="仿宋_GB2312"/>
          <w:i w:val="0"/>
          <w:caps w:val="0"/>
          <w:color w:val="000000"/>
          <w:spacing w:val="0"/>
          <w:sz w:val="32"/>
          <w:szCs w:val="32"/>
          <w:shd w:val="clear" w:fill="FFFFFF"/>
        </w:rPr>
        <w:t>群众真正想要</w:t>
      </w:r>
      <w:r>
        <w:rPr>
          <w:rFonts w:hint="eastAsia" w:ascii="仿宋_GB2312" w:hAnsi="仿宋_GB2312" w:eastAsia="仿宋_GB2312" w:cs="仿宋_GB2312"/>
          <w:i w:val="0"/>
          <w:caps w:val="0"/>
          <w:color w:val="000000"/>
          <w:spacing w:val="0"/>
          <w:sz w:val="32"/>
          <w:szCs w:val="32"/>
          <w:shd w:val="clear" w:fill="FFFFFF"/>
          <w:lang w:val="en-US" w:eastAsia="zh-CN"/>
        </w:rPr>
        <w:t>或即时想要</w:t>
      </w:r>
      <w:r>
        <w:rPr>
          <w:rFonts w:hint="eastAsia" w:ascii="仿宋_GB2312" w:hAnsi="仿宋_GB2312" w:eastAsia="仿宋_GB2312" w:cs="仿宋_GB2312"/>
          <w:i w:val="0"/>
          <w:caps w:val="0"/>
          <w:color w:val="000000"/>
          <w:spacing w:val="0"/>
          <w:sz w:val="32"/>
          <w:szCs w:val="32"/>
          <w:shd w:val="clear" w:fill="FFFFFF"/>
        </w:rPr>
        <w:t>的信息</w:t>
      </w:r>
      <w:r>
        <w:rPr>
          <w:rFonts w:hint="eastAsia" w:ascii="仿宋_GB2312" w:hAnsi="仿宋_GB2312" w:eastAsia="仿宋_GB2312" w:cs="仿宋_GB2312"/>
          <w:i w:val="0"/>
          <w:caps w:val="0"/>
          <w:color w:val="000000"/>
          <w:spacing w:val="0"/>
          <w:sz w:val="32"/>
          <w:szCs w:val="32"/>
          <w:shd w:val="clear" w:fill="FFFFFF"/>
          <w:lang w:val="en-US" w:eastAsia="zh-CN"/>
        </w:rPr>
        <w:t>之间存在着不连贯、不匹配的错位问题，及时精准地回应群众关切问题</w:t>
      </w:r>
      <w:r>
        <w:rPr>
          <w:rFonts w:hint="eastAsia" w:ascii="仿宋_GB2312" w:hAnsi="仿宋_GB2312" w:eastAsia="仿宋_GB2312" w:cs="仿宋_GB2312"/>
          <w:i w:val="0"/>
          <w:caps w:val="0"/>
          <w:color w:val="000000"/>
          <w:spacing w:val="0"/>
          <w:sz w:val="32"/>
          <w:szCs w:val="32"/>
          <w:shd w:val="clear" w:fill="FFFFFF"/>
        </w:rPr>
        <w:t>的能力有待进一步提升</w:t>
      </w:r>
      <w:r>
        <w:rPr>
          <w:rFonts w:hint="eastAsia" w:ascii="仿宋_GB2312" w:hAnsi="仿宋_GB2312" w:eastAsia="仿宋_GB2312" w:cs="仿宋_GB2312"/>
          <w:i w:val="0"/>
          <w:caps w:val="0"/>
          <w:color w:val="000000"/>
          <w:spacing w:val="0"/>
          <w:sz w:val="32"/>
          <w:szCs w:val="32"/>
          <w:shd w:val="clear" w:fill="FFFFFF"/>
          <w:lang w:eastAsia="zh-CN"/>
        </w:rPr>
        <w:t>；</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fill="FFFFFF"/>
        </w:rPr>
      </w:pPr>
      <w:r>
        <w:rPr>
          <w:rFonts w:hint="eastAsia" w:ascii="仿宋_GB2312" w:hAnsi="仿宋_GB2312" w:eastAsia="仿宋_GB2312" w:cs="仿宋_GB2312"/>
          <w:i w:val="0"/>
          <w:caps w:val="0"/>
          <w:color w:val="000000"/>
          <w:spacing w:val="0"/>
          <w:sz w:val="32"/>
          <w:szCs w:val="32"/>
          <w:shd w:val="clear" w:fill="FFFFFF"/>
          <w:lang w:val="en-US" w:eastAsia="zh-CN"/>
        </w:rPr>
        <w:t>二</w:t>
      </w:r>
      <w:r>
        <w:rPr>
          <w:rFonts w:hint="eastAsia" w:ascii="仿宋_GB2312" w:hAnsi="仿宋_GB2312" w:eastAsia="仿宋_GB2312" w:cs="仿宋_GB2312"/>
          <w:i w:val="0"/>
          <w:caps w:val="0"/>
          <w:color w:val="000000"/>
          <w:spacing w:val="0"/>
          <w:sz w:val="32"/>
          <w:szCs w:val="32"/>
          <w:shd w:val="clear" w:fill="FFFFFF"/>
        </w:rPr>
        <w:t>是信息公开内容</w:t>
      </w:r>
      <w:r>
        <w:rPr>
          <w:rFonts w:hint="eastAsia" w:ascii="仿宋_GB2312" w:hAnsi="仿宋_GB2312" w:eastAsia="仿宋_GB2312" w:cs="仿宋_GB2312"/>
          <w:i w:val="0"/>
          <w:caps w:val="0"/>
          <w:color w:val="000000"/>
          <w:spacing w:val="0"/>
          <w:sz w:val="32"/>
          <w:szCs w:val="32"/>
          <w:shd w:val="clear" w:fill="FFFFFF"/>
          <w:lang w:val="en-US" w:eastAsia="zh-CN"/>
        </w:rPr>
        <w:t>的覆盖面</w:t>
      </w:r>
      <w:r>
        <w:rPr>
          <w:rFonts w:hint="eastAsia" w:ascii="仿宋_GB2312" w:hAnsi="仿宋_GB2312" w:eastAsia="仿宋_GB2312" w:cs="仿宋_GB2312"/>
          <w:i w:val="0"/>
          <w:caps w:val="0"/>
          <w:color w:val="000000"/>
          <w:spacing w:val="0"/>
          <w:sz w:val="32"/>
          <w:szCs w:val="32"/>
          <w:shd w:val="clear" w:fill="FFFFFF"/>
        </w:rPr>
        <w:t>有待</w:t>
      </w:r>
      <w:r>
        <w:rPr>
          <w:rFonts w:hint="eastAsia" w:ascii="仿宋_GB2312" w:hAnsi="仿宋_GB2312" w:eastAsia="仿宋_GB2312" w:cs="仿宋_GB2312"/>
          <w:i w:val="0"/>
          <w:caps w:val="0"/>
          <w:color w:val="000000"/>
          <w:spacing w:val="0"/>
          <w:sz w:val="32"/>
          <w:szCs w:val="32"/>
          <w:shd w:val="clear" w:fill="FFFFFF"/>
          <w:lang w:val="en-US" w:eastAsia="zh-CN"/>
        </w:rPr>
        <w:t>进一步拓展。因所处乡镇地区，信息</w:t>
      </w:r>
      <w:r>
        <w:rPr>
          <w:rFonts w:hint="eastAsia" w:ascii="仿宋_GB2312" w:hAnsi="仿宋_GB2312" w:eastAsia="仿宋_GB2312" w:cs="仿宋_GB2312"/>
          <w:i w:val="0"/>
          <w:caps w:val="0"/>
          <w:color w:val="000000"/>
          <w:spacing w:val="0"/>
          <w:sz w:val="32"/>
          <w:szCs w:val="32"/>
          <w:shd w:val="clear" w:fill="FFFFFF"/>
        </w:rPr>
        <w:t>公开形式</w:t>
      </w:r>
      <w:r>
        <w:rPr>
          <w:rFonts w:hint="eastAsia" w:ascii="仿宋_GB2312" w:hAnsi="仿宋_GB2312" w:eastAsia="仿宋_GB2312" w:cs="仿宋_GB2312"/>
          <w:i w:val="0"/>
          <w:caps w:val="0"/>
          <w:color w:val="000000"/>
          <w:spacing w:val="0"/>
          <w:sz w:val="32"/>
          <w:szCs w:val="32"/>
          <w:shd w:val="clear" w:fill="FFFFFF"/>
          <w:lang w:val="en-US" w:eastAsia="zh-CN"/>
        </w:rPr>
        <w:t>不完善，与部分群众之间缺乏有效的信息公开交流桥梁，同时信息公开内容的广度及深度</w:t>
      </w:r>
      <w:r>
        <w:rPr>
          <w:rFonts w:hint="eastAsia" w:ascii="仿宋_GB2312" w:hAnsi="仿宋_GB2312" w:eastAsia="仿宋_GB2312" w:cs="仿宋_GB2312"/>
          <w:i w:val="0"/>
          <w:caps w:val="0"/>
          <w:color w:val="000000"/>
          <w:spacing w:val="0"/>
          <w:sz w:val="32"/>
          <w:szCs w:val="32"/>
          <w:shd w:val="clear" w:fill="FFFFFF"/>
        </w:rPr>
        <w:t>有待进一步</w:t>
      </w:r>
      <w:r>
        <w:rPr>
          <w:rFonts w:hint="eastAsia" w:ascii="仿宋_GB2312" w:hAnsi="仿宋_GB2312" w:eastAsia="仿宋_GB2312" w:cs="仿宋_GB2312"/>
          <w:i w:val="0"/>
          <w:caps w:val="0"/>
          <w:color w:val="000000"/>
          <w:spacing w:val="0"/>
          <w:sz w:val="32"/>
          <w:szCs w:val="32"/>
          <w:shd w:val="clear" w:fill="FFFFFF"/>
          <w:lang w:val="en-US" w:eastAsia="zh-CN"/>
        </w:rPr>
        <w:t>精进</w:t>
      </w:r>
      <w:r>
        <w:rPr>
          <w:rFonts w:hint="eastAsia" w:ascii="仿宋_GB2312" w:hAnsi="仿宋_GB2312" w:eastAsia="仿宋_GB2312" w:cs="仿宋_GB2312"/>
          <w:i w:val="0"/>
          <w:caps w:val="0"/>
          <w:color w:val="000000"/>
          <w:spacing w:val="0"/>
          <w:sz w:val="32"/>
          <w:szCs w:val="32"/>
          <w:shd w:val="clear" w:fill="FFFFFF"/>
        </w:rPr>
        <w:t>。</w:t>
      </w:r>
    </w:p>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（二）改进措施</w:t>
      </w:r>
    </w:p>
    <w:p>
      <w:pPr>
        <w:keepNext w:val="0"/>
        <w:keepLines w:val="0"/>
        <w:pageBreakBefore w:val="0"/>
        <w:numPr>
          <w:numId w:val="0"/>
        </w:numPr>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lang w:val="en-US" w:eastAsia="zh-CN"/>
        </w:rPr>
        <w:t>一</w:t>
      </w:r>
      <w:r>
        <w:rPr>
          <w:rFonts w:hint="default" w:ascii="仿宋_GB2312" w:hAnsi="仿宋_GB2312" w:eastAsia="仿宋_GB2312" w:cs="仿宋_GB2312"/>
          <w:i w:val="0"/>
          <w:caps w:val="0"/>
          <w:color w:val="000000"/>
          <w:spacing w:val="0"/>
          <w:sz w:val="32"/>
          <w:szCs w:val="32"/>
          <w:shd w:val="clear" w:fill="FFFFFF"/>
          <w:lang w:val="en-US" w:eastAsia="zh-CN"/>
        </w:rPr>
        <w:t>是着力提升信息公开</w:t>
      </w:r>
      <w:r>
        <w:rPr>
          <w:rFonts w:hint="eastAsia" w:ascii="仿宋_GB2312" w:hAnsi="仿宋_GB2312" w:eastAsia="仿宋_GB2312" w:cs="仿宋_GB2312"/>
          <w:i w:val="0"/>
          <w:caps w:val="0"/>
          <w:color w:val="000000"/>
          <w:spacing w:val="0"/>
          <w:sz w:val="32"/>
          <w:szCs w:val="32"/>
          <w:shd w:val="clear" w:fill="FFFFFF"/>
          <w:lang w:val="en-US" w:eastAsia="zh-CN"/>
        </w:rPr>
        <w:t>工作内容的</w:t>
      </w:r>
      <w:r>
        <w:rPr>
          <w:rFonts w:hint="default" w:ascii="仿宋_GB2312" w:hAnsi="仿宋_GB2312" w:eastAsia="仿宋_GB2312" w:cs="仿宋_GB2312"/>
          <w:i w:val="0"/>
          <w:caps w:val="0"/>
          <w:color w:val="000000"/>
          <w:spacing w:val="0"/>
          <w:sz w:val="32"/>
          <w:szCs w:val="32"/>
          <w:shd w:val="clear" w:fill="FFFFFF"/>
          <w:lang w:val="en-US" w:eastAsia="zh-CN"/>
        </w:rPr>
        <w:t>实效。</w:t>
      </w:r>
      <w:r>
        <w:rPr>
          <w:rFonts w:hint="eastAsia" w:ascii="仿宋_GB2312" w:hAnsi="仿宋_GB2312" w:eastAsia="仿宋_GB2312" w:cs="仿宋_GB2312"/>
          <w:i w:val="0"/>
          <w:caps w:val="0"/>
          <w:color w:val="000000"/>
          <w:spacing w:val="0"/>
          <w:sz w:val="32"/>
          <w:szCs w:val="32"/>
          <w:shd w:val="clear" w:fill="FFFFFF"/>
          <w:lang w:val="en-US" w:eastAsia="zh-CN"/>
        </w:rPr>
        <w:t>加强对相关业务工作人员的培训，严格工作制度，规范工作流程，大力提升与人民群众密切相关问题的实时收录及处理等办事效率；</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lang w:val="en-US" w:eastAsia="zh-CN"/>
        </w:rPr>
        <w:t>二是着力增进信息公开内容的深度及覆盖广度。</w:t>
      </w:r>
      <w:r>
        <w:rPr>
          <w:rFonts w:hint="default" w:ascii="仿宋_GB2312" w:hAnsi="仿宋_GB2312" w:eastAsia="仿宋_GB2312" w:cs="仿宋_GB2312"/>
          <w:i w:val="0"/>
          <w:caps w:val="0"/>
          <w:color w:val="000000"/>
          <w:spacing w:val="0"/>
          <w:sz w:val="32"/>
          <w:szCs w:val="32"/>
          <w:shd w:val="clear" w:fill="FFFFFF"/>
          <w:lang w:val="en-US" w:eastAsia="zh-CN"/>
        </w:rPr>
        <w:t>加大对政府重点工作、重要决策部署、重大改革措施的解读力度，及时关注舆情</w:t>
      </w:r>
      <w:r>
        <w:rPr>
          <w:rFonts w:hint="eastAsia" w:ascii="仿宋_GB2312" w:hAnsi="仿宋_GB2312" w:eastAsia="仿宋_GB2312" w:cs="仿宋_GB2312"/>
          <w:i w:val="0"/>
          <w:caps w:val="0"/>
          <w:color w:val="000000"/>
          <w:spacing w:val="0"/>
          <w:sz w:val="32"/>
          <w:szCs w:val="32"/>
          <w:shd w:val="clear" w:fill="FFFFFF"/>
          <w:lang w:val="en-US" w:eastAsia="zh-CN"/>
        </w:rPr>
        <w:t>，</w:t>
      </w:r>
      <w:r>
        <w:rPr>
          <w:rFonts w:hint="default" w:ascii="仿宋_GB2312" w:hAnsi="仿宋_GB2312" w:eastAsia="仿宋_GB2312" w:cs="仿宋_GB2312"/>
          <w:i w:val="0"/>
          <w:caps w:val="0"/>
          <w:color w:val="000000"/>
          <w:spacing w:val="0"/>
          <w:sz w:val="32"/>
          <w:szCs w:val="32"/>
          <w:shd w:val="clear" w:fill="FFFFFF"/>
          <w:lang w:val="en-US" w:eastAsia="zh-CN"/>
        </w:rPr>
        <w:t>进一步深化群众关注的重点领域信息公开，</w:t>
      </w:r>
      <w:r>
        <w:rPr>
          <w:rFonts w:hint="eastAsia" w:ascii="仿宋_GB2312" w:hAnsi="仿宋_GB2312" w:eastAsia="仿宋_GB2312" w:cs="仿宋_GB2312"/>
          <w:i w:val="0"/>
          <w:caps w:val="0"/>
          <w:color w:val="000000"/>
          <w:spacing w:val="0"/>
          <w:sz w:val="32"/>
          <w:szCs w:val="32"/>
          <w:shd w:val="clear" w:fill="FFFFFF"/>
          <w:lang w:val="en-US" w:eastAsia="zh-CN"/>
        </w:rPr>
        <w:t>同时加强对部分群众</w:t>
      </w:r>
      <w:r>
        <w:rPr>
          <w:rFonts w:hint="eastAsia" w:ascii="仿宋_GB2312" w:hAnsi="仿宋_GB2312" w:eastAsia="仿宋_GB2312" w:cs="仿宋_GB2312"/>
          <w:i w:val="0"/>
          <w:caps w:val="0"/>
          <w:color w:val="000000"/>
          <w:spacing w:val="0"/>
          <w:sz w:val="32"/>
          <w:szCs w:val="32"/>
          <w:shd w:val="clear" w:fill="FFFFFF"/>
        </w:rPr>
        <w:t>政策措施通俗化解读工作</w:t>
      </w:r>
      <w:r>
        <w:rPr>
          <w:rFonts w:hint="eastAsia" w:ascii="仿宋_GB2312" w:hAnsi="仿宋_GB2312" w:eastAsia="仿宋_GB2312" w:cs="仿宋_GB2312"/>
          <w:i w:val="0"/>
          <w:caps w:val="0"/>
          <w:color w:val="000000"/>
          <w:spacing w:val="0"/>
          <w:sz w:val="32"/>
          <w:szCs w:val="32"/>
          <w:shd w:val="clear" w:fill="FFFFFF"/>
          <w:lang w:val="en-US" w:eastAsia="zh-CN"/>
        </w:rPr>
        <w:t>的开展</w:t>
      </w:r>
      <w:r>
        <w:rPr>
          <w:rFonts w:hint="eastAsia" w:ascii="仿宋_GB2312" w:hAnsi="仿宋_GB2312" w:eastAsia="仿宋_GB2312" w:cs="仿宋_GB2312"/>
          <w:i w:val="0"/>
          <w:caps w:val="0"/>
          <w:color w:val="000000"/>
          <w:spacing w:val="0"/>
          <w:sz w:val="32"/>
          <w:szCs w:val="32"/>
          <w:shd w:val="clear" w:fill="FFFFFF"/>
          <w:lang w:eastAsia="zh-CN"/>
        </w:rPr>
        <w:t>。</w:t>
      </w:r>
    </w:p>
    <w:p>
      <w:pPr>
        <w:keepNext w:val="0"/>
        <w:keepLines w:val="0"/>
        <w:pageBreakBefore w:val="0"/>
        <w:numPr>
          <w:ilvl w:val="0"/>
          <w:numId w:val="3"/>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sz w:val="32"/>
          <w:szCs w:val="32"/>
        </w:rPr>
      </w:pPr>
      <w:r>
        <w:rPr>
          <w:rFonts w:hint="eastAsia" w:ascii="黑体" w:hAnsi="黑体" w:eastAsia="黑体"/>
          <w:sz w:val="32"/>
          <w:szCs w:val="32"/>
        </w:rPr>
        <w:t>其他需要报告的事项</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val="en-US" w:eastAsia="zh-CN"/>
        </w:rPr>
      </w:pPr>
      <w:r>
        <w:rPr>
          <w:rFonts w:hint="eastAsia" w:ascii="仿宋_GB2312" w:hAnsi="仿宋_GB2312" w:eastAsia="仿宋_GB2312" w:cs="仿宋_GB2312"/>
          <w:i w:val="0"/>
          <w:caps w:val="0"/>
          <w:color w:val="000000"/>
          <w:spacing w:val="0"/>
          <w:sz w:val="32"/>
          <w:szCs w:val="32"/>
          <w:shd w:val="clear" w:fill="FFFFFF"/>
          <w:lang w:val="en-US" w:eastAsia="zh-CN"/>
        </w:rPr>
        <w:t>本年度我镇暂无其他需要报告的事项。</w:t>
      </w:r>
    </w:p>
    <w:p>
      <w:pPr>
        <w:keepNext w:val="0"/>
        <w:keepLines w:val="0"/>
        <w:pageBreakBefore w:val="0"/>
        <w:kinsoku/>
        <w:wordWrap/>
        <w:overflowPunct/>
        <w:topLinePunct w:val="0"/>
        <w:autoSpaceDE/>
        <w:autoSpaceDN/>
        <w:bidi w:val="0"/>
        <w:adjustRightInd/>
        <w:snapToGrid/>
        <w:spacing w:line="560" w:lineRule="exact"/>
        <w:ind w:firstLine="5440" w:firstLineChars="1700"/>
        <w:textAlignment w:val="auto"/>
        <w:rPr>
          <w:rFonts w:hint="eastAsia" w:ascii="仿宋_GB2312" w:hAnsi="仿宋_GB2312" w:eastAsia="仿宋_GB2312" w:cs="仿宋_GB2312"/>
          <w:i w:val="0"/>
          <w:caps w:val="0"/>
          <w:color w:val="000000"/>
          <w:spacing w:val="0"/>
          <w:sz w:val="32"/>
          <w:szCs w:val="32"/>
          <w:shd w:val="clear" w:fill="FFFFFF"/>
          <w:lang w:val="en-US" w:eastAsia="zh-CN"/>
        </w:rPr>
      </w:pPr>
      <w:r>
        <w:rPr>
          <w:rFonts w:hint="eastAsia" w:ascii="仿宋_GB2312" w:hAnsi="仿宋_GB2312" w:eastAsia="仿宋_GB2312" w:cs="仿宋_GB2312"/>
          <w:i w:val="0"/>
          <w:caps w:val="0"/>
          <w:color w:val="000000"/>
          <w:spacing w:val="0"/>
          <w:sz w:val="32"/>
          <w:szCs w:val="32"/>
          <w:shd w:val="clear" w:fill="FFFFFF"/>
          <w:lang w:val="en-US" w:eastAsia="zh-CN"/>
        </w:rPr>
        <w:t>金岭回族镇人民政府</w:t>
      </w:r>
    </w:p>
    <w:p>
      <w:pPr>
        <w:keepNext w:val="0"/>
        <w:keepLines w:val="0"/>
        <w:pageBreakBefore w:val="0"/>
        <w:kinsoku/>
        <w:wordWrap/>
        <w:overflowPunct/>
        <w:topLinePunct w:val="0"/>
        <w:autoSpaceDE/>
        <w:autoSpaceDN/>
        <w:bidi w:val="0"/>
        <w:adjustRightInd/>
        <w:snapToGrid/>
        <w:spacing w:line="560" w:lineRule="exact"/>
        <w:ind w:firstLine="5760" w:firstLineChars="1800"/>
        <w:textAlignment w:val="auto"/>
        <w:rPr>
          <w:rFonts w:hint="default" w:ascii="仿宋_GB2312" w:hAnsi="仿宋_GB2312" w:eastAsia="仿宋_GB2312" w:cs="仿宋_GB2312"/>
          <w:i w:val="0"/>
          <w:caps w:val="0"/>
          <w:color w:val="000000"/>
          <w:spacing w:val="0"/>
          <w:sz w:val="32"/>
          <w:szCs w:val="32"/>
          <w:shd w:val="clear" w:fill="FFFFFF"/>
          <w:lang w:val="en-US" w:eastAsia="zh-CN"/>
        </w:rPr>
      </w:pPr>
      <w:bookmarkStart w:id="0" w:name="_GoBack"/>
      <w:bookmarkEnd w:id="0"/>
      <w:r>
        <w:rPr>
          <w:rFonts w:hint="eastAsia" w:ascii="仿宋_GB2312" w:hAnsi="仿宋_GB2312" w:eastAsia="仿宋_GB2312" w:cs="仿宋_GB2312"/>
          <w:i w:val="0"/>
          <w:caps w:val="0"/>
          <w:color w:val="000000"/>
          <w:spacing w:val="0"/>
          <w:sz w:val="32"/>
          <w:szCs w:val="32"/>
          <w:shd w:val="clear" w:fill="FFFFFF"/>
          <w:lang w:val="en-US" w:eastAsia="zh-CN"/>
        </w:rPr>
        <w:t>2022年1月13日</w:t>
      </w:r>
    </w:p>
    <w:sectPr>
      <w:footerReference r:id="rId3" w:type="default"/>
      <w:pgSz w:w="11906" w:h="16838"/>
      <w:pgMar w:top="2211" w:right="1531" w:bottom="187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兰亭超细黑简体">
    <w:panose1 w:val="02000000000000000000"/>
    <w:charset w:val="86"/>
    <w:family w:val="auto"/>
    <w:pitch w:val="default"/>
    <w:sig w:usb0="00000001" w:usb1="08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83659"/>
      <w:docPartObj>
        <w:docPartGallery w:val="autotext"/>
      </w:docPartObj>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FC485"/>
    <w:multiLevelType w:val="singleLevel"/>
    <w:tmpl w:val="159FC485"/>
    <w:lvl w:ilvl="0" w:tentative="0">
      <w:start w:val="6"/>
      <w:numFmt w:val="chineseCounting"/>
      <w:suff w:val="nothing"/>
      <w:lvlText w:val="%1、"/>
      <w:lvlJc w:val="left"/>
      <w:rPr>
        <w:rFonts w:hint="eastAsia"/>
      </w:rPr>
    </w:lvl>
  </w:abstractNum>
  <w:abstractNum w:abstractNumId="1">
    <w:nsid w:val="595C33E4"/>
    <w:multiLevelType w:val="singleLevel"/>
    <w:tmpl w:val="595C33E4"/>
    <w:lvl w:ilvl="0" w:tentative="0">
      <w:start w:val="1"/>
      <w:numFmt w:val="chineseCounting"/>
      <w:suff w:val="nothing"/>
      <w:lvlText w:val="%1、"/>
      <w:lvlJc w:val="left"/>
      <w:pPr>
        <w:ind w:left="640" w:leftChars="0" w:firstLine="0" w:firstLineChars="0"/>
      </w:pPr>
      <w:rPr>
        <w:rFonts w:hint="eastAsia"/>
      </w:rPr>
    </w:lvl>
  </w:abstractNum>
  <w:abstractNum w:abstractNumId="2">
    <w:nsid w:val="7D493074"/>
    <w:multiLevelType w:val="singleLevel"/>
    <w:tmpl w:val="7D493074"/>
    <w:lvl w:ilvl="0" w:tentative="0">
      <w:start w:val="1"/>
      <w:numFmt w:val="chineseCounting"/>
      <w:suff w:val="nothing"/>
      <w:lvlText w:val="（%1）"/>
      <w:lvlJc w:val="left"/>
      <w:rPr>
        <w:rFonts w:hint="eastAsia"/>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hideGrammatical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04258"/>
    <w:rsid w:val="00001C9E"/>
    <w:rsid w:val="0000594A"/>
    <w:rsid w:val="00013109"/>
    <w:rsid w:val="00023AAC"/>
    <w:rsid w:val="00024810"/>
    <w:rsid w:val="00030DFB"/>
    <w:rsid w:val="000414C6"/>
    <w:rsid w:val="00042CA0"/>
    <w:rsid w:val="00043D31"/>
    <w:rsid w:val="00046423"/>
    <w:rsid w:val="00052AD6"/>
    <w:rsid w:val="00055473"/>
    <w:rsid w:val="00055E11"/>
    <w:rsid w:val="00056B8B"/>
    <w:rsid w:val="00063220"/>
    <w:rsid w:val="0006628C"/>
    <w:rsid w:val="000706E1"/>
    <w:rsid w:val="00085190"/>
    <w:rsid w:val="00087FF0"/>
    <w:rsid w:val="00092898"/>
    <w:rsid w:val="00094E08"/>
    <w:rsid w:val="00097052"/>
    <w:rsid w:val="000A5D01"/>
    <w:rsid w:val="000B1602"/>
    <w:rsid w:val="000C34FF"/>
    <w:rsid w:val="000C7BD7"/>
    <w:rsid w:val="000D4473"/>
    <w:rsid w:val="000E1057"/>
    <w:rsid w:val="000F497F"/>
    <w:rsid w:val="000F7617"/>
    <w:rsid w:val="00105B3E"/>
    <w:rsid w:val="001108EA"/>
    <w:rsid w:val="001240A4"/>
    <w:rsid w:val="00125C8A"/>
    <w:rsid w:val="00127976"/>
    <w:rsid w:val="00131A3C"/>
    <w:rsid w:val="0013565C"/>
    <w:rsid w:val="00140E3F"/>
    <w:rsid w:val="00143DC5"/>
    <w:rsid w:val="00144ABF"/>
    <w:rsid w:val="00144B5F"/>
    <w:rsid w:val="00170D63"/>
    <w:rsid w:val="00172B20"/>
    <w:rsid w:val="0017420B"/>
    <w:rsid w:val="0017427C"/>
    <w:rsid w:val="00176618"/>
    <w:rsid w:val="00176B17"/>
    <w:rsid w:val="00187315"/>
    <w:rsid w:val="001900C0"/>
    <w:rsid w:val="00196FD6"/>
    <w:rsid w:val="001A21B5"/>
    <w:rsid w:val="001B26AB"/>
    <w:rsid w:val="001B4410"/>
    <w:rsid w:val="001C1DC2"/>
    <w:rsid w:val="001C4706"/>
    <w:rsid w:val="001C6DFA"/>
    <w:rsid w:val="001C6F55"/>
    <w:rsid w:val="001D41A6"/>
    <w:rsid w:val="001E0CBD"/>
    <w:rsid w:val="001E5A28"/>
    <w:rsid w:val="001E72C7"/>
    <w:rsid w:val="002019C6"/>
    <w:rsid w:val="00204AA5"/>
    <w:rsid w:val="00205590"/>
    <w:rsid w:val="002157C1"/>
    <w:rsid w:val="00216261"/>
    <w:rsid w:val="00216DF6"/>
    <w:rsid w:val="0021763D"/>
    <w:rsid w:val="00224377"/>
    <w:rsid w:val="002264B1"/>
    <w:rsid w:val="0023206E"/>
    <w:rsid w:val="00234868"/>
    <w:rsid w:val="0023602C"/>
    <w:rsid w:val="00240EAF"/>
    <w:rsid w:val="00246626"/>
    <w:rsid w:val="002572C0"/>
    <w:rsid w:val="002604BD"/>
    <w:rsid w:val="00270C0E"/>
    <w:rsid w:val="0027691A"/>
    <w:rsid w:val="00276B13"/>
    <w:rsid w:val="00276E5B"/>
    <w:rsid w:val="002774CD"/>
    <w:rsid w:val="0028009A"/>
    <w:rsid w:val="002A188B"/>
    <w:rsid w:val="002A1F5C"/>
    <w:rsid w:val="002B463A"/>
    <w:rsid w:val="002B6F68"/>
    <w:rsid w:val="002D115E"/>
    <w:rsid w:val="002D6A99"/>
    <w:rsid w:val="002D70DF"/>
    <w:rsid w:val="002E594D"/>
    <w:rsid w:val="002E6EDF"/>
    <w:rsid w:val="0031332E"/>
    <w:rsid w:val="003135A4"/>
    <w:rsid w:val="003164F6"/>
    <w:rsid w:val="00316CE4"/>
    <w:rsid w:val="003257C1"/>
    <w:rsid w:val="003318E7"/>
    <w:rsid w:val="00332905"/>
    <w:rsid w:val="00334C65"/>
    <w:rsid w:val="00357E22"/>
    <w:rsid w:val="00357E4E"/>
    <w:rsid w:val="003638D5"/>
    <w:rsid w:val="00363B37"/>
    <w:rsid w:val="0038169B"/>
    <w:rsid w:val="00383519"/>
    <w:rsid w:val="003856CA"/>
    <w:rsid w:val="00390173"/>
    <w:rsid w:val="0039072E"/>
    <w:rsid w:val="00395676"/>
    <w:rsid w:val="00397E9C"/>
    <w:rsid w:val="003A4408"/>
    <w:rsid w:val="003A617F"/>
    <w:rsid w:val="003B4A71"/>
    <w:rsid w:val="003C0527"/>
    <w:rsid w:val="003C44C8"/>
    <w:rsid w:val="003C5789"/>
    <w:rsid w:val="003D6959"/>
    <w:rsid w:val="003D7EB2"/>
    <w:rsid w:val="003E1F92"/>
    <w:rsid w:val="003E6B2B"/>
    <w:rsid w:val="003F2DA8"/>
    <w:rsid w:val="003F38D1"/>
    <w:rsid w:val="003F538D"/>
    <w:rsid w:val="00405DB6"/>
    <w:rsid w:val="00414EEE"/>
    <w:rsid w:val="00420F86"/>
    <w:rsid w:val="00423431"/>
    <w:rsid w:val="00434746"/>
    <w:rsid w:val="00446210"/>
    <w:rsid w:val="00460593"/>
    <w:rsid w:val="0046437F"/>
    <w:rsid w:val="004713FB"/>
    <w:rsid w:val="00473626"/>
    <w:rsid w:val="00481ED7"/>
    <w:rsid w:val="00481FD3"/>
    <w:rsid w:val="004847BC"/>
    <w:rsid w:val="0048518B"/>
    <w:rsid w:val="004936CF"/>
    <w:rsid w:val="00495EBA"/>
    <w:rsid w:val="004A6081"/>
    <w:rsid w:val="004B1B2D"/>
    <w:rsid w:val="004B36CF"/>
    <w:rsid w:val="004B3DE8"/>
    <w:rsid w:val="004B53B3"/>
    <w:rsid w:val="004B7413"/>
    <w:rsid w:val="004D2882"/>
    <w:rsid w:val="004D7633"/>
    <w:rsid w:val="004D788E"/>
    <w:rsid w:val="004E5DF1"/>
    <w:rsid w:val="004F244D"/>
    <w:rsid w:val="004F2625"/>
    <w:rsid w:val="004F39DF"/>
    <w:rsid w:val="005026C8"/>
    <w:rsid w:val="00503B08"/>
    <w:rsid w:val="00504DE1"/>
    <w:rsid w:val="005162AB"/>
    <w:rsid w:val="00523B84"/>
    <w:rsid w:val="0052540C"/>
    <w:rsid w:val="00531036"/>
    <w:rsid w:val="00533338"/>
    <w:rsid w:val="0053359A"/>
    <w:rsid w:val="00540904"/>
    <w:rsid w:val="00543FE0"/>
    <w:rsid w:val="005637BC"/>
    <w:rsid w:val="00564F0C"/>
    <w:rsid w:val="00567AE3"/>
    <w:rsid w:val="0057319B"/>
    <w:rsid w:val="005771DE"/>
    <w:rsid w:val="00580B3B"/>
    <w:rsid w:val="005818BC"/>
    <w:rsid w:val="00582EFB"/>
    <w:rsid w:val="00584920"/>
    <w:rsid w:val="00586957"/>
    <w:rsid w:val="00593F9E"/>
    <w:rsid w:val="0059666D"/>
    <w:rsid w:val="005A3BFA"/>
    <w:rsid w:val="005C071E"/>
    <w:rsid w:val="005D4DA2"/>
    <w:rsid w:val="005D7981"/>
    <w:rsid w:val="005E2D72"/>
    <w:rsid w:val="005E5225"/>
    <w:rsid w:val="005E5EA6"/>
    <w:rsid w:val="005F07DB"/>
    <w:rsid w:val="005F410F"/>
    <w:rsid w:val="005F7CFA"/>
    <w:rsid w:val="006001B7"/>
    <w:rsid w:val="00604767"/>
    <w:rsid w:val="00607754"/>
    <w:rsid w:val="00607BD2"/>
    <w:rsid w:val="00614243"/>
    <w:rsid w:val="00615468"/>
    <w:rsid w:val="0062406E"/>
    <w:rsid w:val="00630352"/>
    <w:rsid w:val="00633AD3"/>
    <w:rsid w:val="00634DDC"/>
    <w:rsid w:val="006359EF"/>
    <w:rsid w:val="006364F7"/>
    <w:rsid w:val="00640DE1"/>
    <w:rsid w:val="006419CD"/>
    <w:rsid w:val="00641A49"/>
    <w:rsid w:val="00641B33"/>
    <w:rsid w:val="00651342"/>
    <w:rsid w:val="0065594E"/>
    <w:rsid w:val="00660AAE"/>
    <w:rsid w:val="006634C0"/>
    <w:rsid w:val="00675D05"/>
    <w:rsid w:val="00677652"/>
    <w:rsid w:val="006821DB"/>
    <w:rsid w:val="00687144"/>
    <w:rsid w:val="0069301A"/>
    <w:rsid w:val="00693534"/>
    <w:rsid w:val="00697E19"/>
    <w:rsid w:val="00697EE4"/>
    <w:rsid w:val="006A1171"/>
    <w:rsid w:val="006A5226"/>
    <w:rsid w:val="006A5288"/>
    <w:rsid w:val="006B72A8"/>
    <w:rsid w:val="006C2EA0"/>
    <w:rsid w:val="006C58BC"/>
    <w:rsid w:val="006C656F"/>
    <w:rsid w:val="006E0094"/>
    <w:rsid w:val="006E2256"/>
    <w:rsid w:val="006E2790"/>
    <w:rsid w:val="006E63B8"/>
    <w:rsid w:val="007011FB"/>
    <w:rsid w:val="007061A3"/>
    <w:rsid w:val="007129AD"/>
    <w:rsid w:val="00714451"/>
    <w:rsid w:val="00717EE3"/>
    <w:rsid w:val="007218A5"/>
    <w:rsid w:val="007234A6"/>
    <w:rsid w:val="00723B47"/>
    <w:rsid w:val="00723D67"/>
    <w:rsid w:val="00724A6A"/>
    <w:rsid w:val="00731CB1"/>
    <w:rsid w:val="00732D81"/>
    <w:rsid w:val="00733F31"/>
    <w:rsid w:val="00736923"/>
    <w:rsid w:val="00736C50"/>
    <w:rsid w:val="00741A40"/>
    <w:rsid w:val="00746739"/>
    <w:rsid w:val="00755418"/>
    <w:rsid w:val="007611C0"/>
    <w:rsid w:val="007720F2"/>
    <w:rsid w:val="00772EA0"/>
    <w:rsid w:val="007745BE"/>
    <w:rsid w:val="00781A3D"/>
    <w:rsid w:val="00791D32"/>
    <w:rsid w:val="007A02B5"/>
    <w:rsid w:val="007A39A8"/>
    <w:rsid w:val="007A3DB5"/>
    <w:rsid w:val="007A46E1"/>
    <w:rsid w:val="007A4F8C"/>
    <w:rsid w:val="007B346E"/>
    <w:rsid w:val="007B68D1"/>
    <w:rsid w:val="007C2141"/>
    <w:rsid w:val="007C53E0"/>
    <w:rsid w:val="007C5C81"/>
    <w:rsid w:val="007D0AF2"/>
    <w:rsid w:val="007D3AB6"/>
    <w:rsid w:val="007D4916"/>
    <w:rsid w:val="007D59C4"/>
    <w:rsid w:val="007D71FE"/>
    <w:rsid w:val="007E07E3"/>
    <w:rsid w:val="007E2505"/>
    <w:rsid w:val="007E55EA"/>
    <w:rsid w:val="007F22F8"/>
    <w:rsid w:val="007F43FC"/>
    <w:rsid w:val="00802361"/>
    <w:rsid w:val="00804E65"/>
    <w:rsid w:val="00805ABE"/>
    <w:rsid w:val="00813BC0"/>
    <w:rsid w:val="00820BB8"/>
    <w:rsid w:val="00830865"/>
    <w:rsid w:val="0083723A"/>
    <w:rsid w:val="00842C3D"/>
    <w:rsid w:val="00842E24"/>
    <w:rsid w:val="00852EEB"/>
    <w:rsid w:val="008556C2"/>
    <w:rsid w:val="00855B3A"/>
    <w:rsid w:val="00856193"/>
    <w:rsid w:val="008579AB"/>
    <w:rsid w:val="008608A2"/>
    <w:rsid w:val="008613A8"/>
    <w:rsid w:val="00873E0F"/>
    <w:rsid w:val="00875291"/>
    <w:rsid w:val="00881404"/>
    <w:rsid w:val="00892DC4"/>
    <w:rsid w:val="008977A9"/>
    <w:rsid w:val="008A0545"/>
    <w:rsid w:val="008A171F"/>
    <w:rsid w:val="008A3BC0"/>
    <w:rsid w:val="008A66F8"/>
    <w:rsid w:val="008B2FD1"/>
    <w:rsid w:val="008B5D19"/>
    <w:rsid w:val="008B6607"/>
    <w:rsid w:val="008C2625"/>
    <w:rsid w:val="008C37A3"/>
    <w:rsid w:val="008D2DBD"/>
    <w:rsid w:val="008D6B7B"/>
    <w:rsid w:val="008F142B"/>
    <w:rsid w:val="008F188C"/>
    <w:rsid w:val="008F51FF"/>
    <w:rsid w:val="00904289"/>
    <w:rsid w:val="00906B9B"/>
    <w:rsid w:val="00912FB0"/>
    <w:rsid w:val="00913531"/>
    <w:rsid w:val="0092086C"/>
    <w:rsid w:val="00920A8C"/>
    <w:rsid w:val="0092182B"/>
    <w:rsid w:val="00930D46"/>
    <w:rsid w:val="00935E77"/>
    <w:rsid w:val="00940C11"/>
    <w:rsid w:val="009515FD"/>
    <w:rsid w:val="0096093C"/>
    <w:rsid w:val="00962CD0"/>
    <w:rsid w:val="00966C94"/>
    <w:rsid w:val="0097065C"/>
    <w:rsid w:val="00975A80"/>
    <w:rsid w:val="0098598B"/>
    <w:rsid w:val="00993C26"/>
    <w:rsid w:val="009B0107"/>
    <w:rsid w:val="009B7848"/>
    <w:rsid w:val="009C460B"/>
    <w:rsid w:val="009D452F"/>
    <w:rsid w:val="009E68DF"/>
    <w:rsid w:val="009F4FD2"/>
    <w:rsid w:val="00A03AC4"/>
    <w:rsid w:val="00A03E53"/>
    <w:rsid w:val="00A06E87"/>
    <w:rsid w:val="00A1342F"/>
    <w:rsid w:val="00A143E6"/>
    <w:rsid w:val="00A22178"/>
    <w:rsid w:val="00A25860"/>
    <w:rsid w:val="00A353B4"/>
    <w:rsid w:val="00A35AE0"/>
    <w:rsid w:val="00A36C3E"/>
    <w:rsid w:val="00A47C35"/>
    <w:rsid w:val="00A55405"/>
    <w:rsid w:val="00A6302E"/>
    <w:rsid w:val="00A65792"/>
    <w:rsid w:val="00A7163D"/>
    <w:rsid w:val="00A75587"/>
    <w:rsid w:val="00A759E5"/>
    <w:rsid w:val="00A82619"/>
    <w:rsid w:val="00A86F1B"/>
    <w:rsid w:val="00A919F7"/>
    <w:rsid w:val="00A93492"/>
    <w:rsid w:val="00A944C5"/>
    <w:rsid w:val="00AA3C78"/>
    <w:rsid w:val="00AA7AEC"/>
    <w:rsid w:val="00AA7B4B"/>
    <w:rsid w:val="00AB031E"/>
    <w:rsid w:val="00AB09E9"/>
    <w:rsid w:val="00AC222F"/>
    <w:rsid w:val="00AD1A81"/>
    <w:rsid w:val="00AD1C82"/>
    <w:rsid w:val="00AD1D6B"/>
    <w:rsid w:val="00AD49B5"/>
    <w:rsid w:val="00AD76B6"/>
    <w:rsid w:val="00AE6C57"/>
    <w:rsid w:val="00AF2313"/>
    <w:rsid w:val="00AF50F4"/>
    <w:rsid w:val="00B0337D"/>
    <w:rsid w:val="00B1769A"/>
    <w:rsid w:val="00B23183"/>
    <w:rsid w:val="00B245B9"/>
    <w:rsid w:val="00B33075"/>
    <w:rsid w:val="00B414D1"/>
    <w:rsid w:val="00B459E2"/>
    <w:rsid w:val="00B53141"/>
    <w:rsid w:val="00B559FA"/>
    <w:rsid w:val="00B811E5"/>
    <w:rsid w:val="00B8236F"/>
    <w:rsid w:val="00B835A5"/>
    <w:rsid w:val="00B91004"/>
    <w:rsid w:val="00BA000D"/>
    <w:rsid w:val="00BA45ED"/>
    <w:rsid w:val="00BA486D"/>
    <w:rsid w:val="00BC0376"/>
    <w:rsid w:val="00BC0DDF"/>
    <w:rsid w:val="00BC34AC"/>
    <w:rsid w:val="00BD1CAC"/>
    <w:rsid w:val="00BD4F6B"/>
    <w:rsid w:val="00BD789A"/>
    <w:rsid w:val="00BE03F8"/>
    <w:rsid w:val="00BE26F0"/>
    <w:rsid w:val="00BE3FA5"/>
    <w:rsid w:val="00BE4FAC"/>
    <w:rsid w:val="00BF3636"/>
    <w:rsid w:val="00BF42A9"/>
    <w:rsid w:val="00C04961"/>
    <w:rsid w:val="00C055A1"/>
    <w:rsid w:val="00C11BC3"/>
    <w:rsid w:val="00C11D2B"/>
    <w:rsid w:val="00C17388"/>
    <w:rsid w:val="00C206ED"/>
    <w:rsid w:val="00C217D5"/>
    <w:rsid w:val="00C234EF"/>
    <w:rsid w:val="00C307E5"/>
    <w:rsid w:val="00C61A42"/>
    <w:rsid w:val="00C63784"/>
    <w:rsid w:val="00C665B4"/>
    <w:rsid w:val="00C71268"/>
    <w:rsid w:val="00C75B28"/>
    <w:rsid w:val="00C762CA"/>
    <w:rsid w:val="00C83C1A"/>
    <w:rsid w:val="00C90488"/>
    <w:rsid w:val="00C90FBF"/>
    <w:rsid w:val="00C957F6"/>
    <w:rsid w:val="00CA24FE"/>
    <w:rsid w:val="00CA4E64"/>
    <w:rsid w:val="00CB7A70"/>
    <w:rsid w:val="00CC09E5"/>
    <w:rsid w:val="00CC51DA"/>
    <w:rsid w:val="00CD6DCF"/>
    <w:rsid w:val="00CE33B0"/>
    <w:rsid w:val="00CE7BFF"/>
    <w:rsid w:val="00CF2399"/>
    <w:rsid w:val="00CF3DD6"/>
    <w:rsid w:val="00CF509B"/>
    <w:rsid w:val="00CF7DF1"/>
    <w:rsid w:val="00D06B46"/>
    <w:rsid w:val="00D16C7E"/>
    <w:rsid w:val="00D17DF3"/>
    <w:rsid w:val="00D201BD"/>
    <w:rsid w:val="00D21479"/>
    <w:rsid w:val="00D2358D"/>
    <w:rsid w:val="00D25962"/>
    <w:rsid w:val="00D33F3A"/>
    <w:rsid w:val="00D4484C"/>
    <w:rsid w:val="00D53AC2"/>
    <w:rsid w:val="00D54B78"/>
    <w:rsid w:val="00D7609C"/>
    <w:rsid w:val="00D7673F"/>
    <w:rsid w:val="00D81D7A"/>
    <w:rsid w:val="00D96A77"/>
    <w:rsid w:val="00DA076B"/>
    <w:rsid w:val="00DA1BF9"/>
    <w:rsid w:val="00DA443C"/>
    <w:rsid w:val="00DA4831"/>
    <w:rsid w:val="00DA546B"/>
    <w:rsid w:val="00DA5691"/>
    <w:rsid w:val="00DC2AFC"/>
    <w:rsid w:val="00DE0CC2"/>
    <w:rsid w:val="00DE7D42"/>
    <w:rsid w:val="00DF0951"/>
    <w:rsid w:val="00DF3C2A"/>
    <w:rsid w:val="00DF59E8"/>
    <w:rsid w:val="00DF60AB"/>
    <w:rsid w:val="00DF7204"/>
    <w:rsid w:val="00E01F0F"/>
    <w:rsid w:val="00E03F11"/>
    <w:rsid w:val="00E04258"/>
    <w:rsid w:val="00E07D70"/>
    <w:rsid w:val="00E377B4"/>
    <w:rsid w:val="00E42C13"/>
    <w:rsid w:val="00E42DE7"/>
    <w:rsid w:val="00E447EA"/>
    <w:rsid w:val="00E54057"/>
    <w:rsid w:val="00E56D7E"/>
    <w:rsid w:val="00E62601"/>
    <w:rsid w:val="00E651F4"/>
    <w:rsid w:val="00E712E4"/>
    <w:rsid w:val="00E7522E"/>
    <w:rsid w:val="00E756BB"/>
    <w:rsid w:val="00E82A61"/>
    <w:rsid w:val="00E86BFA"/>
    <w:rsid w:val="00E9136E"/>
    <w:rsid w:val="00E92569"/>
    <w:rsid w:val="00E9689B"/>
    <w:rsid w:val="00EA0FDD"/>
    <w:rsid w:val="00EA3993"/>
    <w:rsid w:val="00EC48E7"/>
    <w:rsid w:val="00EC7F71"/>
    <w:rsid w:val="00ED1769"/>
    <w:rsid w:val="00ED2198"/>
    <w:rsid w:val="00ED2963"/>
    <w:rsid w:val="00ED4E74"/>
    <w:rsid w:val="00EE3275"/>
    <w:rsid w:val="00EF7239"/>
    <w:rsid w:val="00F00F32"/>
    <w:rsid w:val="00F0322D"/>
    <w:rsid w:val="00F0408E"/>
    <w:rsid w:val="00F22E87"/>
    <w:rsid w:val="00F40BD5"/>
    <w:rsid w:val="00F45E29"/>
    <w:rsid w:val="00F503E6"/>
    <w:rsid w:val="00F60260"/>
    <w:rsid w:val="00F651BF"/>
    <w:rsid w:val="00F6601D"/>
    <w:rsid w:val="00F71A9E"/>
    <w:rsid w:val="00F739B0"/>
    <w:rsid w:val="00F9603E"/>
    <w:rsid w:val="00FA2749"/>
    <w:rsid w:val="00FA3378"/>
    <w:rsid w:val="00FA4017"/>
    <w:rsid w:val="00FA67ED"/>
    <w:rsid w:val="00FB0E1B"/>
    <w:rsid w:val="00FB16F3"/>
    <w:rsid w:val="00FB45EE"/>
    <w:rsid w:val="00FB5467"/>
    <w:rsid w:val="00FB7C20"/>
    <w:rsid w:val="00FC66CE"/>
    <w:rsid w:val="00FD0EE2"/>
    <w:rsid w:val="00FD598D"/>
    <w:rsid w:val="00FD7A66"/>
    <w:rsid w:val="00FE1203"/>
    <w:rsid w:val="00FE1DCB"/>
    <w:rsid w:val="00FE2E48"/>
    <w:rsid w:val="00FE3091"/>
    <w:rsid w:val="071156ED"/>
    <w:rsid w:val="072B44DB"/>
    <w:rsid w:val="12BC0BE4"/>
    <w:rsid w:val="190621AE"/>
    <w:rsid w:val="1E772DB2"/>
    <w:rsid w:val="35575D61"/>
    <w:rsid w:val="3AD567C5"/>
    <w:rsid w:val="45132237"/>
    <w:rsid w:val="4815297A"/>
    <w:rsid w:val="4DE93206"/>
    <w:rsid w:val="4EC112CB"/>
    <w:rsid w:val="597204BD"/>
    <w:rsid w:val="5F8A2368"/>
    <w:rsid w:val="6157197C"/>
    <w:rsid w:val="6B845D32"/>
    <w:rsid w:val="6C921DB2"/>
    <w:rsid w:val="6DFB3DB9"/>
    <w:rsid w:val="6EE92EAA"/>
    <w:rsid w:val="6F0A11AB"/>
    <w:rsid w:val="6FF229B5"/>
    <w:rsid w:val="70967A44"/>
    <w:rsid w:val="757155EF"/>
    <w:rsid w:val="773E6D83"/>
    <w:rsid w:val="79C94DD7"/>
    <w:rsid w:val="7B2F1DB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widowControl/>
      <w:spacing w:before="100" w:beforeAutospacing="1" w:after="100" w:afterAutospacing="1"/>
      <w:jc w:val="left"/>
    </w:pPr>
    <w:rPr>
      <w:rFonts w:hint="eastAsia" w:ascii="宋体" w:hAnsi="宋体" w:eastAsia="宋体" w:cs="宋体"/>
      <w:kern w:val="0"/>
      <w:sz w:val="24"/>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kern w:val="2"/>
      <w:sz w:val="18"/>
      <w:szCs w:val="18"/>
    </w:rPr>
  </w:style>
  <w:style w:type="character" w:customStyle="1" w:styleId="9">
    <w:name w:val="页脚 字符"/>
    <w:basedOn w:val="7"/>
    <w:link w:val="2"/>
    <w:qFormat/>
    <w:uiPriority w:val="99"/>
    <w:rPr>
      <w:kern w:val="2"/>
      <w:sz w:val="18"/>
      <w:szCs w:val="18"/>
    </w:rPr>
  </w:style>
  <w:style w:type="paragraph" w:customStyle="1" w:styleId="10">
    <w:name w:val="正文1"/>
    <w:qFormat/>
    <w:uiPriority w:val="0"/>
    <w:pPr>
      <w:widowControl w:val="0"/>
      <w:jc w:val="both"/>
    </w:pPr>
    <w:rPr>
      <w:rFonts w:hint="eastAsia" w:ascii="Times New Roman" w:hAnsi="Times New Roman" w:eastAsia="宋体" w:cs="Times New Roman"/>
      <w:kern w:val="2"/>
      <w:sz w:val="21"/>
      <w:szCs w:val="22"/>
      <w:lang w:val="en-US" w:eastAsia="zh-CN" w:bidi="ar-SA"/>
    </w:rPr>
  </w:style>
  <w:style w:type="table" w:customStyle="1" w:styleId="11">
    <w:name w:val="Table Normal"/>
    <w:semiHidden/>
    <w:unhideWhenUsed/>
    <w:qFormat/>
    <w:uiPriority w:val="2"/>
    <w:pPr>
      <w:widowControl w:val="0"/>
    </w:pPr>
    <w:rPr>
      <w:sz w:val="22"/>
      <w:szCs w:val="22"/>
      <w:lang w:eastAsia="en-US"/>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3</Pages>
  <Words>218</Words>
  <Characters>1243</Characters>
  <Lines>10</Lines>
  <Paragraphs>2</Paragraphs>
  <TotalTime>11</TotalTime>
  <ScaleCrop>false</ScaleCrop>
  <LinksUpToDate>false</LinksUpToDate>
  <CharactersWithSpaces>1459</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2020-01-06T10:32:00Z</dcterms:created>
  <dc:creator>China</dc:creator>
  <cp:lastModifiedBy>沵啝莪彅誰嗼煳誰視線</cp:lastModifiedBy>
  <dcterms:modified xsi:type="dcterms:W3CDTF">2022-01-13T06:05:32Z</dcterms:modified>
  <cp:revision>1868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42558E9CB7954F5EA4F421D56A767BA5</vt:lpwstr>
  </property>
</Properties>
</file>