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ascii="仿宋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方正小标宋简体" w:cs="方正小标宋简体"/>
          <w:color w:val="000000"/>
          <w:kern w:val="0"/>
          <w:sz w:val="44"/>
          <w:szCs w:val="44"/>
          <w:lang w:eastAsia="zh-CN"/>
        </w:rPr>
        <w:t>金岭回族镇</w:t>
      </w:r>
      <w:r>
        <w:rPr>
          <w:rFonts w:hint="eastAsia" w:ascii="仿宋" w:hAnsi="仿宋" w:eastAsia="方正小标宋简体" w:cs="方正小标宋简体"/>
          <w:color w:val="000000"/>
          <w:kern w:val="0"/>
          <w:sz w:val="44"/>
          <w:szCs w:val="44"/>
        </w:rPr>
        <w:t>全面推行行政指导工作的实施方案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为创新行政管理方式，加快推进法治政府、服务型政府建设，帮助企业依法合规管理，根据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上级有关文件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要求，结合我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实际，</w:t>
      </w:r>
      <w:bookmarkStart w:id="3" w:name="_GoBack"/>
      <w:bookmarkEnd w:id="3"/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制定本方案。</w:t>
      </w:r>
    </w:p>
    <w:p>
      <w:pPr>
        <w:spacing w:line="560" w:lineRule="exact"/>
        <w:ind w:firstLine="640" w:firstLineChars="200"/>
        <w:rPr>
          <w:rFonts w:ascii="仿宋" w:hAnsi="仿宋" w:eastAsia="黑体" w:cs="黑体"/>
          <w:sz w:val="32"/>
          <w:szCs w:val="32"/>
        </w:rPr>
      </w:pPr>
      <w:r>
        <w:rPr>
          <w:rFonts w:hint="eastAsia" w:ascii="仿宋" w:hAnsi="仿宋" w:eastAsia="黑体" w:cs="黑体"/>
          <w:color w:val="000000"/>
          <w:kern w:val="0"/>
          <w:sz w:val="32"/>
          <w:szCs w:val="32"/>
        </w:rPr>
        <w:t>一、基本原则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行政指导具有非强制性、民主性、灵活性等特点，对优化服务、完善监管、维护经济社会秩序和推动经济社会和谐发展，以及为公民、法人和社会组织服务等方面具有重要意义，是行政执法方式的有益补充，要将行政指导融入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我镇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行政执法全领域、全过程。开展行政指导要遵循以下原则: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（一）自愿原则。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实施行政指导应当以行政相对人自愿为前提，能够被当事人认可。不得采取强制或者变相强制等方式迫使行政相对人接受行政指导。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（二）合法原则。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行政指导的工作内容和实施方式应当在法定职责范围内进行，不得超越法定权限，违反法定程序，不得侵害行政相对人的合法权益。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（三）合理原则。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应当优先采取行政指导的方式实现管理目的，采取的方法应当必要、适当。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（四）公正公开原则。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实施行政指导的事项应当公开，对待行政相对人要一律平等。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（五）便民利民原则。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实施行政指导应当针对不同事项采取灵活多样的方法，为行政相对人提供优质便利服务。实施行政指导要兼顾社会效果和个人权益，做到既维护正常的经济社会管理秩序，又能使行政相对人受益。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（六）效能原则。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实施行政指导尽量做到简明高效，以最小的投入取得最大效益。将效率和效益作为衡量行政指导的标准，不得开展无实效或者无实质内容的行政指导，不得给行政相对人带来不必要的负担。</w:t>
      </w:r>
    </w:p>
    <w:p>
      <w:pPr>
        <w:spacing w:line="560" w:lineRule="exact"/>
        <w:ind w:firstLine="640" w:firstLineChars="200"/>
        <w:rPr>
          <w:rFonts w:ascii="仿宋" w:hAnsi="仿宋" w:eastAsia="黑体" w:cs="黑体"/>
          <w:sz w:val="32"/>
          <w:szCs w:val="32"/>
        </w:rPr>
      </w:pPr>
      <w:r>
        <w:rPr>
          <w:rFonts w:hint="eastAsia" w:ascii="仿宋" w:hAnsi="仿宋" w:eastAsia="黑体" w:cs="黑体"/>
          <w:color w:val="000000"/>
          <w:kern w:val="0"/>
          <w:sz w:val="32"/>
          <w:szCs w:val="32"/>
        </w:rPr>
        <w:t>二、实施方式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执法人员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办理行政指导事项，可以根据不同领域、不同事项，采取灵活多样的方式，具体可以采取以下方式: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（一）政策指引。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利用掌握行业政策的优势，通过信息公开等对行政相对人进行引导，提供服务。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（二）意见建议。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根据管理职能和专业知识，为行政相对人“出主意、提建议”，引导其合法经营，建立和完善各项管理制度，规范自身行为，促进健康发展。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（三）提示提醒。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执法检查过程中，对于行政相对人可能出现行政违法、民事侵权或者违约等问题的，可以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制作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行政指导意见书，提示其及时纠正。根据群众投诉举报情况和日常执法数据分析等，对某些时段、某些领域违法频率高或者可能发生违法行为等情形的，及时向行政相对人宣传、解释法律法规，告知管理要求，提示、提醒其按照法律规定和政策要求履行义务，加强自律，最大限度的减少违法违规行为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（四）劝导警示。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对违法情节轻微、无主观故意并及时纠正、没有造成危害后果的，根据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上级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公布的“不罚清单”，告知其立即纠正违法行为，规劝其承诺不再发生类似违法行为。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（五）示范引领。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通过给予行政相对人表扬鼓励等，引导其从事某种特定活动，达到管理目的。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（六）案件回访。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对重大执法案件或者在一定范围、一定领域具有普遍影响的案件，定期或者不定期地进行回访，指导整改。同时举一反三，发布典型案例，指导行政相对人自觉遵守法律法规。</w:t>
      </w:r>
    </w:p>
    <w:p>
      <w:pPr>
        <w:spacing w:line="560" w:lineRule="exact"/>
        <w:ind w:firstLine="640" w:firstLineChars="200"/>
        <w:rPr>
          <w:rFonts w:ascii="仿宋" w:hAnsi="仿宋" w:eastAsia="黑体" w:cs="黑体"/>
          <w:sz w:val="32"/>
          <w:szCs w:val="32"/>
        </w:rPr>
      </w:pPr>
      <w:r>
        <w:rPr>
          <w:rFonts w:hint="eastAsia" w:ascii="仿宋" w:hAnsi="仿宋" w:eastAsia="黑体" w:cs="黑体"/>
          <w:color w:val="000000"/>
          <w:kern w:val="0"/>
          <w:sz w:val="32"/>
          <w:szCs w:val="32"/>
        </w:rPr>
        <w:t>三、措施要求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（一）制定行政指导</w:t>
      </w: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  <w:lang w:val="en-US" w:eastAsia="zh-CN"/>
        </w:rPr>
        <w:t>目录</w:t>
      </w: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省委编办、省委组织部、省民政厅联合印发的《山东省乡镇（街道）职责任务清单指导目录（试行）》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结合全镇工作实际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，按照全领域覆盖的原则梳理编制行政指导事项目录清单，并在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区政府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网站或者通过其他方式向社会公开，同时上传到淄博市涉企检查网络备案系统“行政指导专区”。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（二）全面落实行政指导工作。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将行政指导融入到行政执法全过程，贯穿在行政执法的事前、事中、事后各执法环节，做到行政指导在行政执法的全过程覆盖。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镇司法所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要加强对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全镇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行政指导事项的合法性审查和备案工作，行政执法人员要发挥信息资源和专业优势，在各自执法领域开展行政指导，做到善于使用行政指导开展工作。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（三）加强对行政指导工作的监督检查。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镇司法所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要加强工作指导，推动工作扎实开展，充分利用淄博市涉企检查备案网络平台，规范行政指导文书，切实提高行政指导工作水平；要对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全镇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行政指导开展情况进行监督检查，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并做好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备案审查工作。</w:t>
      </w:r>
    </w:p>
    <w:p>
      <w:pPr>
        <w:spacing w:line="560" w:lineRule="exact"/>
        <w:ind w:firstLine="640" w:firstLineChars="200"/>
        <w:rPr>
          <w:rFonts w:ascii="仿宋" w:hAnsi="仿宋" w:eastAsia="黑体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黑体" w:cs="黑体"/>
          <w:color w:val="000000"/>
          <w:kern w:val="0"/>
          <w:sz w:val="32"/>
          <w:szCs w:val="32"/>
        </w:rPr>
        <w:t>四、保障措施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（一）加强组织领导，健全制度体系。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全镇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执法人员要切实转变观念，提高认识，将行政指导作为</w:t>
      </w:r>
      <w:r>
        <w:rPr>
          <w:rFonts w:ascii="仿宋" w:hAnsi="仿宋" w:eastAsia="仿宋_GB2312" w:cs="仿宋_GB2312"/>
          <w:color w:val="000000"/>
          <w:kern w:val="0"/>
          <w:sz w:val="32"/>
          <w:szCs w:val="32"/>
        </w:rPr>
        <w:t>优化营商环境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、加强管理的重要抓手。建立“一把手”负总责、分管领导重点抓、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司法所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审查指导、执法人员具体实施的工作体制机制。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（二）加大落实力度，稳步推进实施。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要细化工作落实措施，做到行政指导具体化、规范化；要结合工作实际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要避免用行政指导代替行政执法，造成行政不作为或乱作为；要注意行政指导的合法适当，避免因行政指导产生行政纠纷，实现行政指导与规范执法的有效衔接。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楷体_GB2312" w:cs="楷体_GB2312"/>
          <w:color w:val="000000"/>
          <w:kern w:val="0"/>
          <w:sz w:val="32"/>
          <w:szCs w:val="32"/>
        </w:rPr>
        <w:t>（三）积极探索创新，务求工作实效。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要积极探索开展行政指导的有效途径，创新工作思路，对行政指导情况及时进行记录，对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工作经验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及时总结，逐步完善行政指导工作机制。要加强学习培训，确保准确把握行政指导的原则要求和方式方法，提高工作质效。</w:t>
      </w:r>
    </w:p>
    <w:p>
      <w:pPr>
        <w:spacing w:line="560" w:lineRule="exact"/>
        <w:ind w:firstLine="640" w:firstLineChars="200"/>
        <w:rPr>
          <w:rFonts w:ascii="仿宋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附件：1.行政指导文书</w:t>
      </w:r>
    </w:p>
    <w:p>
      <w:pPr>
        <w:spacing w:line="560" w:lineRule="exact"/>
        <w:ind w:firstLine="1600" w:firstLineChars="500"/>
        <w:rPr>
          <w:rFonts w:ascii="仿宋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2.行政指导意见书</w:t>
      </w:r>
    </w:p>
    <w:p>
      <w:pPr>
        <w:spacing w:line="560" w:lineRule="exact"/>
        <w:ind w:firstLine="1600" w:firstLineChars="500"/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</w:rPr>
        <w:t>3.行政指导事项登记</w:t>
      </w:r>
      <w:r>
        <w:rPr>
          <w:rFonts w:hint="eastAsia" w:ascii="仿宋" w:hAnsi="仿宋" w:eastAsia="仿宋_GB2312" w:cs="仿宋_GB2312"/>
          <w:color w:val="000000"/>
          <w:kern w:val="0"/>
          <w:sz w:val="32"/>
          <w:szCs w:val="32"/>
          <w:lang w:val="en-US" w:eastAsia="zh-CN"/>
        </w:rPr>
        <w:t>簿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仿宋" w:hAnsi="仿宋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仿宋" w:hAnsi="仿宋" w:eastAsia="方正小标宋简体" w:cs="方正小标宋简体"/>
          <w:color w:val="000000"/>
          <w:kern w:val="0"/>
          <w:sz w:val="44"/>
          <w:szCs w:val="44"/>
        </w:rPr>
        <w:t>行政指导文书</w:t>
      </w:r>
    </w:p>
    <w:p>
      <w:pPr>
        <w:spacing w:line="560" w:lineRule="exact"/>
        <w:jc w:val="center"/>
        <w:rPr>
          <w:rFonts w:ascii="仿宋" w:hAnsi="仿宋" w:eastAsia="仿宋_GB2312" w:cs="仿宋_GB2312"/>
        </w:rPr>
      </w:pPr>
      <w:r>
        <w:rPr>
          <w:rFonts w:hint="eastAsia" w:ascii="仿宋" w:hAnsi="仿宋" w:eastAsia="仿宋_GB2312"/>
          <w:sz w:val="30"/>
          <w:szCs w:val="30"/>
          <w:u w:val="none"/>
          <w:lang w:val="en-US" w:eastAsia="zh-CN"/>
        </w:rPr>
        <w:t>金岭</w:t>
      </w:r>
      <w:r>
        <w:rPr>
          <w:rFonts w:hint="eastAsia" w:ascii="仿宋" w:hAnsi="仿宋" w:eastAsia="仿宋_GB2312" w:cs="仿宋_GB2312"/>
          <w:sz w:val="30"/>
          <w:szCs w:val="30"/>
        </w:rPr>
        <w:t>指导书</w:t>
      </w:r>
      <w:r>
        <w:rPr>
          <w:rFonts w:hint="eastAsia" w:ascii="仿宋" w:hAnsi="仿宋" w:eastAsia="仿宋_GB2312"/>
          <w:color w:val="000000"/>
          <w:sz w:val="30"/>
          <w:szCs w:val="30"/>
        </w:rPr>
        <w:t>〔</w:t>
      </w:r>
      <w:r>
        <w:rPr>
          <w:rFonts w:hint="eastAsia" w:ascii="仿宋" w:hAnsi="仿宋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_GB2312"/>
          <w:color w:val="000000"/>
          <w:sz w:val="30"/>
          <w:szCs w:val="30"/>
        </w:rPr>
        <w:t>〕</w:t>
      </w:r>
      <w:r>
        <w:rPr>
          <w:rFonts w:hint="eastAsia" w:ascii="仿宋" w:hAnsi="仿宋" w:eastAsia="仿宋_GB2312" w:cs="仿宋_GB2312"/>
          <w:sz w:val="30"/>
          <w:szCs w:val="30"/>
        </w:rPr>
        <w:t xml:space="preserve">     号</w:t>
      </w:r>
    </w:p>
    <w:tbl>
      <w:tblPr>
        <w:tblStyle w:val="5"/>
        <w:tblpPr w:leftFromText="180" w:rightFromText="180" w:vertAnchor="text" w:horzAnchor="page" w:tblpX="1741" w:tblpY="750"/>
        <w:tblOverlap w:val="never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067"/>
        <w:gridCol w:w="1383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0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sz w:val="28"/>
                <w:szCs w:val="28"/>
              </w:rPr>
              <w:t>指导时间</w:t>
            </w: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sz w:val="28"/>
                <w:szCs w:val="28"/>
              </w:rPr>
              <w:t>指导地点</w:t>
            </w:r>
          </w:p>
        </w:tc>
        <w:tc>
          <w:tcPr>
            <w:tcW w:w="38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0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sz w:val="28"/>
                <w:szCs w:val="28"/>
              </w:rPr>
              <w:t>指导人员</w:t>
            </w: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_GB2312" w:cs="仿宋_GB2312"/>
                <w:sz w:val="28"/>
                <w:szCs w:val="28"/>
              </w:rPr>
              <w:t>指导对象</w:t>
            </w:r>
          </w:p>
        </w:tc>
        <w:tc>
          <w:tcPr>
            <w:tcW w:w="38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</w:trPr>
        <w:tc>
          <w:tcPr>
            <w:tcW w:w="8732" w:type="dxa"/>
            <w:gridSpan w:val="4"/>
          </w:tcPr>
          <w:p>
            <w:pPr>
              <w:spacing w:line="560" w:lineRule="exact"/>
              <w:rPr>
                <w:rFonts w:ascii="仿宋" w:hAnsi="仿宋" w:eastAsia="仿宋_GB2312" w:cs="仿宋_GB2312"/>
              </w:rPr>
            </w:pPr>
            <w:r>
              <w:rPr>
                <w:rFonts w:hint="eastAsia" w:ascii="仿宋" w:hAnsi="仿宋" w:eastAsia="仿宋_GB2312" w:cs="仿宋_GB2312"/>
                <w:sz w:val="28"/>
                <w:szCs w:val="28"/>
              </w:rPr>
              <w:t>指导内容（事项）：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8732" w:type="dxa"/>
            <w:gridSpan w:val="4"/>
          </w:tcPr>
          <w:p>
            <w:pPr>
              <w:spacing w:line="560" w:lineRule="exact"/>
              <w:rPr>
                <w:rFonts w:ascii="仿宋" w:hAnsi="仿宋" w:eastAsia="仿宋_GB2312" w:cs="仿宋_GB2312"/>
              </w:rPr>
            </w:pPr>
            <w:r>
              <w:rPr>
                <w:rFonts w:hint="eastAsia" w:ascii="仿宋" w:hAnsi="仿宋" w:eastAsia="仿宋_GB2312" w:cs="仿宋_GB2312"/>
                <w:sz w:val="28"/>
                <w:szCs w:val="28"/>
              </w:rPr>
              <w:t>指导取得的效益、效果：</w:t>
            </w:r>
          </w:p>
        </w:tc>
      </w:tr>
    </w:tbl>
    <w:p>
      <w:pPr>
        <w:spacing w:line="560" w:lineRule="exact"/>
        <w:rPr>
          <w:rFonts w:ascii="仿宋" w:hAnsi="仿宋" w:eastAsia="黑体" w:cs="黑体"/>
          <w:sz w:val="32"/>
          <w:szCs w:val="32"/>
          <w:highlight w:val="yellow"/>
        </w:rPr>
      </w:pPr>
      <w:r>
        <w:rPr>
          <w:rFonts w:hint="eastAsia" w:ascii="仿宋" w:hAnsi="仿宋" w:eastAsia="仿宋_GB2312" w:cs="仿宋_GB2312"/>
          <w:sz w:val="28"/>
          <w:szCs w:val="28"/>
        </w:rPr>
        <w:t>单位：（公章）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ascii="仿宋" w:hAnsi="仿宋" w:eastAsia="黑体" w:cs="黑体"/>
          <w:sz w:val="32"/>
          <w:szCs w:val="32"/>
        </w:rPr>
      </w:pPr>
    </w:p>
    <w:p>
      <w:pPr>
        <w:pStyle w:val="7"/>
        <w:spacing w:after="120" w:line="560" w:lineRule="exact"/>
        <w:ind w:firstLine="2640" w:firstLineChars="600"/>
        <w:jc w:val="both"/>
        <w:rPr>
          <w:rFonts w:ascii="仿宋" w:hAnsi="仿宋" w:eastAsia="方正小标宋简体" w:cs="楷体_GB2312"/>
          <w:lang w:eastAsia="zh-CN"/>
        </w:rPr>
      </w:pPr>
      <w:r>
        <w:rPr>
          <w:rFonts w:hint="eastAsia" w:ascii="仿宋" w:hAnsi="仿宋" w:eastAsia="方正小标宋简体" w:cs="方正小标宋简体"/>
          <w:color w:val="000000"/>
          <w:sz w:val="44"/>
          <w:szCs w:val="44"/>
        </w:rPr>
        <w:t>行政指导意见书</w:t>
      </w:r>
    </w:p>
    <w:p>
      <w:pPr>
        <w:pStyle w:val="8"/>
        <w:tabs>
          <w:tab w:val="left" w:pos="2021"/>
        </w:tabs>
        <w:spacing w:line="560" w:lineRule="exact"/>
        <w:jc w:val="center"/>
        <w:rPr>
          <w:rFonts w:ascii="仿宋" w:hAnsi="仿宋" w:eastAsia="仿宋_GB2312"/>
          <w:color w:val="000000"/>
          <w:sz w:val="24"/>
          <w:szCs w:val="24"/>
        </w:rPr>
      </w:pPr>
      <w:r>
        <w:rPr>
          <w:rFonts w:hint="eastAsia" w:ascii="仿宋" w:hAnsi="仿宋" w:eastAsia="仿宋_GB2312"/>
          <w:color w:val="000000"/>
          <w:sz w:val="28"/>
          <w:szCs w:val="28"/>
          <w:u w:val="none"/>
          <w:lang w:val="en-US" w:eastAsia="zh-CN"/>
        </w:rPr>
        <w:t>金岭</w:t>
      </w:r>
      <w:r>
        <w:rPr>
          <w:rFonts w:hint="eastAsia" w:ascii="仿宋" w:hAnsi="仿宋" w:eastAsia="仿宋_GB2312"/>
          <w:color w:val="000000"/>
          <w:sz w:val="28"/>
          <w:szCs w:val="28"/>
        </w:rPr>
        <w:t>指导</w:t>
      </w:r>
      <w:r>
        <w:rPr>
          <w:rFonts w:hint="eastAsia" w:ascii="仿宋" w:hAnsi="仿宋" w:eastAsia="仿宋_GB2312"/>
          <w:color w:val="000000"/>
          <w:sz w:val="28"/>
          <w:szCs w:val="28"/>
          <w:lang w:eastAsia="zh-CN"/>
        </w:rPr>
        <w:t>书</w:t>
      </w:r>
      <w:r>
        <w:rPr>
          <w:rFonts w:hint="eastAsia" w:ascii="仿宋" w:hAnsi="仿宋" w:eastAsia="仿宋_GB2312"/>
          <w:color w:val="000000"/>
          <w:sz w:val="28"/>
          <w:szCs w:val="28"/>
          <w:lang w:val="en-US" w:eastAsia="zh-CN"/>
        </w:rPr>
        <w:t xml:space="preserve">〔    〕   </w:t>
      </w:r>
      <w:r>
        <w:rPr>
          <w:rFonts w:hint="eastAsia" w:ascii="仿宋" w:hAnsi="仿宋" w:eastAsia="仿宋_GB2312"/>
          <w:color w:val="000000"/>
          <w:sz w:val="28"/>
          <w:szCs w:val="28"/>
        </w:rPr>
        <w:t>号</w:t>
      </w:r>
    </w:p>
    <w:p>
      <w:pPr>
        <w:pStyle w:val="8"/>
        <w:tabs>
          <w:tab w:val="left" w:pos="2021"/>
        </w:tabs>
        <w:spacing w:line="560" w:lineRule="exact"/>
        <w:rPr>
          <w:rFonts w:ascii="仿宋" w:hAnsi="仿宋" w:eastAsia="仿宋_GB2312" w:cs="黑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_GB2312" w:cs="黑体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_GB2312" w:cs="黑体"/>
          <w:color w:val="000000"/>
          <w:sz w:val="28"/>
          <w:szCs w:val="28"/>
          <w:lang w:val="en-US" w:eastAsia="zh-CN"/>
        </w:rPr>
        <w:t xml:space="preserve"> ：</w:t>
      </w:r>
    </w:p>
    <w:p>
      <w:pPr>
        <w:pStyle w:val="8"/>
        <w:tabs>
          <w:tab w:val="left" w:pos="2021"/>
        </w:tabs>
        <w:spacing w:line="560" w:lineRule="exact"/>
        <w:ind w:firstLine="560" w:firstLineChars="200"/>
        <w:rPr>
          <w:rFonts w:ascii="仿宋" w:hAnsi="仿宋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_GB2312"/>
          <w:color w:val="000000"/>
          <w:kern w:val="0"/>
          <w:sz w:val="28"/>
          <w:szCs w:val="28"/>
          <w:lang w:val="en-US" w:eastAsia="zh-CN"/>
        </w:rPr>
        <w:t>关于你（单位）存在的问题，现提出以下指导意见:</w:t>
      </w:r>
    </w:p>
    <w:p>
      <w:pPr>
        <w:pStyle w:val="8"/>
        <w:spacing w:line="560" w:lineRule="exact"/>
        <w:jc w:val="left"/>
        <w:rPr>
          <w:rFonts w:ascii="仿宋" w:hAnsi="仿宋" w:eastAsia="仿宋_GB2312" w:cs="黑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_GB2312" w:cs="黑体"/>
          <w:color w:val="000000"/>
          <w:sz w:val="28"/>
          <w:szCs w:val="28"/>
          <w:lang w:eastAsia="zh-CN"/>
        </w:rPr>
        <w:t>存在问题：</w:t>
      </w:r>
    </w:p>
    <w:p>
      <w:pPr>
        <w:pStyle w:val="8"/>
        <w:spacing w:line="560" w:lineRule="exact"/>
        <w:ind w:firstLine="720" w:firstLineChars="300"/>
        <w:jc w:val="left"/>
        <w:rPr>
          <w:rFonts w:ascii="仿宋" w:hAnsi="仿宋" w:eastAsia="仿宋_GB2312" w:cs="黑体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_GB2312" w:cs="黑体"/>
          <w:color w:val="000000"/>
          <w:sz w:val="24"/>
          <w:szCs w:val="24"/>
          <w:lang w:eastAsia="zh-CN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。</w:t>
      </w:r>
    </w:p>
    <w:p>
      <w:pPr>
        <w:pStyle w:val="8"/>
        <w:spacing w:line="560" w:lineRule="exact"/>
        <w:jc w:val="left"/>
        <w:rPr>
          <w:rFonts w:ascii="仿宋" w:hAnsi="仿宋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_GB2312"/>
          <w:color w:val="000000"/>
          <w:kern w:val="0"/>
          <w:sz w:val="28"/>
          <w:szCs w:val="28"/>
          <w:lang w:val="en-US" w:eastAsia="zh-CN"/>
        </w:rPr>
        <w:t>指导意见：</w:t>
      </w:r>
    </w:p>
    <w:p>
      <w:pPr>
        <w:pStyle w:val="8"/>
        <w:spacing w:line="560" w:lineRule="exact"/>
        <w:ind w:firstLine="720" w:firstLineChars="300"/>
        <w:jc w:val="left"/>
        <w:rPr>
          <w:rFonts w:ascii="仿宋" w:hAnsi="仿宋" w:eastAsia="仿宋_GB2312" w:cs="黑体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_GB2312" w:cs="黑体"/>
          <w:color w:val="000000"/>
          <w:sz w:val="24"/>
          <w:szCs w:val="24"/>
          <w:lang w:eastAsia="zh-CN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。</w:t>
      </w:r>
    </w:p>
    <w:p>
      <w:pPr>
        <w:pStyle w:val="8"/>
        <w:spacing w:line="560" w:lineRule="exact"/>
        <w:ind w:firstLine="560" w:firstLineChars="200"/>
        <w:jc w:val="left"/>
        <w:rPr>
          <w:rFonts w:ascii="仿宋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_GB2312"/>
          <w:color w:val="000000"/>
          <w:sz w:val="28"/>
          <w:szCs w:val="28"/>
          <w:lang w:val="en-US" w:eastAsia="zh-CN"/>
        </w:rPr>
        <w:t xml:space="preserve">你（单位）在落实以上指导意见时遇到问题，请及时与行政指导人员联系，指导联系人：      联系电话：      </w:t>
      </w:r>
    </w:p>
    <w:p>
      <w:pPr>
        <w:pStyle w:val="8"/>
        <w:spacing w:line="560" w:lineRule="exact"/>
        <w:ind w:firstLine="560" w:firstLineChars="200"/>
        <w:jc w:val="left"/>
        <w:rPr>
          <w:rFonts w:ascii="仿宋" w:hAnsi="仿宋" w:eastAsia="仿宋_GB2312"/>
          <w:color w:val="000000"/>
          <w:sz w:val="28"/>
          <w:szCs w:val="28"/>
          <w:lang w:val="en-US" w:eastAsia="zh-CN"/>
        </w:rPr>
      </w:pPr>
    </w:p>
    <w:p>
      <w:pPr>
        <w:pStyle w:val="8"/>
        <w:spacing w:line="560" w:lineRule="exact"/>
        <w:ind w:firstLine="6160" w:firstLineChars="2200"/>
        <w:jc w:val="left"/>
        <w:rPr>
          <w:rFonts w:ascii="仿宋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_GB2312"/>
          <w:color w:val="000000"/>
          <w:sz w:val="28"/>
          <w:szCs w:val="28"/>
          <w:lang w:val="en-US" w:eastAsia="zh-CN"/>
        </w:rPr>
        <w:t>（公章）</w:t>
      </w:r>
    </w:p>
    <w:p>
      <w:pPr>
        <w:pStyle w:val="8"/>
        <w:spacing w:line="560" w:lineRule="exact"/>
        <w:jc w:val="left"/>
        <w:rPr>
          <w:rFonts w:ascii="仿宋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_GB2312"/>
          <w:color w:val="000000"/>
          <w:sz w:val="28"/>
          <w:szCs w:val="28"/>
          <w:lang w:val="en-US" w:eastAsia="zh-CN"/>
        </w:rPr>
        <w:t xml:space="preserve">                                           年   月   日</w:t>
      </w:r>
    </w:p>
    <w:p>
      <w:pPr>
        <w:spacing w:line="560" w:lineRule="exact"/>
        <w:rPr>
          <w:rFonts w:hint="eastAsia" w:ascii="仿宋" w:hAnsi="仿宋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  <w:bookmarkStart w:id="0" w:name="bookmark51"/>
      <w:bookmarkStart w:id="1" w:name="bookmark50"/>
      <w:bookmarkStart w:id="2" w:name="bookmark49"/>
    </w:p>
    <w:p>
      <w:pPr>
        <w:spacing w:line="560" w:lineRule="exact"/>
        <w:rPr>
          <w:rFonts w:ascii="仿宋" w:hAnsi="仿宋" w:eastAsia="黑体" w:cs="黑体"/>
          <w:sz w:val="32"/>
          <w:szCs w:val="32"/>
        </w:rPr>
      </w:pPr>
    </w:p>
    <w:p>
      <w:pPr>
        <w:pStyle w:val="9"/>
        <w:spacing w:after="0" w:line="560" w:lineRule="exact"/>
        <w:rPr>
          <w:rFonts w:ascii="仿宋" w:hAnsi="仿宋" w:eastAsia="方正小标宋简体" w:cs="方正小标宋简体"/>
        </w:rPr>
      </w:pPr>
      <w:r>
        <w:rPr>
          <w:rFonts w:hint="eastAsia" w:ascii="仿宋" w:hAnsi="仿宋" w:eastAsia="方正小标宋简体" w:cs="方正小标宋简体"/>
          <w:color w:val="000000"/>
        </w:rPr>
        <w:t>行政指导</w:t>
      </w:r>
      <w:r>
        <w:rPr>
          <w:rFonts w:hint="eastAsia" w:ascii="仿宋" w:hAnsi="仿宋" w:eastAsia="方正小标宋简体" w:cs="方正小标宋简体"/>
          <w:color w:val="000000"/>
          <w:lang w:eastAsia="zh-CN"/>
        </w:rPr>
        <w:t>事项</w:t>
      </w:r>
      <w:r>
        <w:rPr>
          <w:rFonts w:hint="eastAsia" w:ascii="仿宋" w:hAnsi="仿宋" w:eastAsia="方正小标宋简体" w:cs="方正小标宋简体"/>
          <w:color w:val="000000"/>
        </w:rPr>
        <w:t>登记簿</w:t>
      </w:r>
      <w:bookmarkEnd w:id="0"/>
      <w:bookmarkEnd w:id="1"/>
      <w:bookmarkEnd w:id="2"/>
    </w:p>
    <w:tbl>
      <w:tblPr>
        <w:tblStyle w:val="4"/>
        <w:tblpPr w:leftFromText="180" w:rightFromText="180" w:vertAnchor="text" w:horzAnchor="page" w:tblpX="1418" w:tblpY="167"/>
        <w:tblOverlap w:val="never"/>
        <w:tblW w:w="916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4"/>
        <w:gridCol w:w="1931"/>
        <w:gridCol w:w="3161"/>
        <w:gridCol w:w="1931"/>
        <w:gridCol w:w="13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2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lang w:val="en-US" w:eastAsia="zh-CN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994"/>
              </w:tabs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</w:rPr>
              <w:t>间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</w:rPr>
              <w:t>指导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lang w:eastAsia="zh-CN"/>
              </w:rPr>
              <w:t>事项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</w:rPr>
              <w:t>指导结果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</w:rPr>
              <w:t>指导人员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仿宋" w:hAnsi="仿宋" w:eastAsia="仿宋_GB2312" w:cs="仿宋_GB2312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仿宋" w:hAnsi="仿宋" w:eastAsia="仿宋_GB2312" w:cs="仿宋_GB2312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仿宋" w:hAnsi="仿宋" w:eastAsia="仿宋_GB2312" w:cs="仿宋_GB2312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仿宋" w:hAnsi="仿宋" w:eastAsia="仿宋_GB2312" w:cs="仿宋_GB231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仿宋" w:hAnsi="仿宋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_GB2312" w:cs="仿宋_GB2312"/>
                <w:sz w:val="10"/>
                <w:szCs w:val="1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黑体" w:cs="黑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-415290</wp:posOffset>
              </wp:positionV>
              <wp:extent cx="800735" cy="3702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/>
                            <w:ind w:firstLine="280" w:firstLineChars="100"/>
                            <w:jc w:val="left"/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E-BZ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E-BZ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" w:hAnsi="仿宋" w:eastAsia="仿宋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" w:hAnsi="仿宋" w:eastAsia="仿宋" w:cs="E-BZ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7pt;height:29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1TJqdUAAAAHAQAADwAAAAAAAAABACAAAAAiAAAAZHJzL2Rvd25yZXYu&#10;eG1sUEsBAhQAFAAAAAgAh07iQL10G3Y3AgAAb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/>
                      <w:ind w:firstLine="280" w:firstLineChars="100"/>
                      <w:jc w:val="left"/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E-BZ"/>
                        <w:color w:val="000000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" w:hAnsi="仿宋" w:eastAsia="仿宋" w:cs="E-BZ"/>
                        <w:color w:val="000000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" w:hAnsi="仿宋" w:eastAsia="仿宋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" w:hAnsi="仿宋" w:eastAsia="仿宋" w:cs="E-BZ"/>
                        <w:color w:val="000000"/>
                        <w:kern w:val="0"/>
                        <w:sz w:val="28"/>
                        <w:szCs w:val="28"/>
                      </w:rPr>
                      <w:t xml:space="preserve">— 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2"/>
    <w:rsid w:val="003B23E3"/>
    <w:rsid w:val="005377D2"/>
    <w:rsid w:val="00754589"/>
    <w:rsid w:val="00C3533D"/>
    <w:rsid w:val="06FD031A"/>
    <w:rsid w:val="080E485B"/>
    <w:rsid w:val="096F0BB9"/>
    <w:rsid w:val="0A0B0B08"/>
    <w:rsid w:val="0A2D0B71"/>
    <w:rsid w:val="10510400"/>
    <w:rsid w:val="10956077"/>
    <w:rsid w:val="125973DC"/>
    <w:rsid w:val="1F9E4728"/>
    <w:rsid w:val="21EA3004"/>
    <w:rsid w:val="2A394155"/>
    <w:rsid w:val="2C5E41B3"/>
    <w:rsid w:val="362F4FCA"/>
    <w:rsid w:val="37127970"/>
    <w:rsid w:val="397271B5"/>
    <w:rsid w:val="3AD363B6"/>
    <w:rsid w:val="3C9B602E"/>
    <w:rsid w:val="3DC632C8"/>
    <w:rsid w:val="4050623A"/>
    <w:rsid w:val="41426A34"/>
    <w:rsid w:val="41466048"/>
    <w:rsid w:val="44BB1A2B"/>
    <w:rsid w:val="4D3D2779"/>
    <w:rsid w:val="501A4C36"/>
    <w:rsid w:val="506439CD"/>
    <w:rsid w:val="532229CD"/>
    <w:rsid w:val="587554C4"/>
    <w:rsid w:val="5F862A95"/>
    <w:rsid w:val="61661CE9"/>
    <w:rsid w:val="636521A1"/>
    <w:rsid w:val="657A51CF"/>
    <w:rsid w:val="65D70737"/>
    <w:rsid w:val="67CD4ACA"/>
    <w:rsid w:val="67D65B4E"/>
    <w:rsid w:val="6EA609A1"/>
    <w:rsid w:val="72511C1C"/>
    <w:rsid w:val="72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 text|3"/>
    <w:basedOn w:val="1"/>
    <w:qFormat/>
    <w:uiPriority w:val="0"/>
    <w:pPr>
      <w:spacing w:after="190"/>
      <w:jc w:val="center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8">
    <w:name w:val="Body text|2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spacing w:after="460" w:line="686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4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3323</Words>
  <Characters>3372</Characters>
  <Lines>26</Lines>
  <Paragraphs>7</Paragraphs>
  <TotalTime>1</TotalTime>
  <ScaleCrop>false</ScaleCrop>
  <LinksUpToDate>false</LinksUpToDate>
  <CharactersWithSpaces>3504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2021-04-23T01:14:00Z</dcterms:created>
  <dc:creator>Administrator</dc:creator>
  <cp:lastModifiedBy>马玲</cp:lastModifiedBy>
  <cp:lastPrinted>2021-04-23T01:26:00Z</cp:lastPrinted>
  <dcterms:modified xsi:type="dcterms:W3CDTF">2021-10-20T06:28:05Z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C6F5CAFB3411491BAEB1AC94A3A24535</vt:lpwstr>
  </property>
</Properties>
</file>