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0" w:beforeAutospacing="0" w:after="0" w:afterAutospacing="0" w:line="45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44"/>
          <w:szCs w:val="44"/>
          <w:lang w:val="en-US" w:eastAsia="zh-CN" w:bidi="ar"/>
        </w:rPr>
        <w:t>临淄区金山</w:t>
      </w:r>
      <w:r>
        <w:rPr>
          <w:rFonts w:ascii="方正小标宋简体" w:hAnsi="方正小标宋简体" w:eastAsia="方正小标宋简体" w:cs="方正小标宋简体"/>
          <w:b w:val="0"/>
          <w:color w:val="auto"/>
          <w:kern w:val="2"/>
          <w:sz w:val="44"/>
          <w:szCs w:val="44"/>
          <w:lang w:val="en-US" w:eastAsia="zh-CN" w:bidi="ar"/>
        </w:rPr>
        <w:t>镇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44"/>
          <w:szCs w:val="44"/>
          <w:lang w:val="en-US" w:eastAsia="zh-CN" w:bidi="ar"/>
        </w:rPr>
        <w:t>2020年政府信息公开工作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0" w:beforeAutospacing="0" w:after="0" w:afterAutospacing="0" w:line="450" w:lineRule="atLeast"/>
        <w:ind w:left="0" w:right="0"/>
        <w:jc w:val="center"/>
        <w:rPr>
          <w:color w:val="auto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44"/>
          <w:szCs w:val="44"/>
          <w:lang w:val="en-US" w:eastAsia="zh-CN" w:bidi="ar"/>
        </w:rPr>
        <w:t>年度报告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0" w:beforeAutospacing="0" w:after="0" w:afterAutospacing="0" w:line="450" w:lineRule="atLeast"/>
        <w:ind w:left="0" w:right="0" w:firstLine="640" w:firstLineChars="200"/>
        <w:jc w:val="both"/>
        <w:rPr>
          <w:rFonts w:ascii="仿宋_GB2312" w:hAnsi="微软雅黑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ascii="仿宋_GB2312" w:hAnsi="微软雅黑" w:eastAsia="仿宋_GB2312" w:cs="仿宋_GB2312"/>
          <w:color w:val="auto"/>
          <w:kern w:val="2"/>
          <w:sz w:val="32"/>
          <w:szCs w:val="32"/>
          <w:lang w:val="en-US" w:eastAsia="zh-CN" w:bidi="ar"/>
        </w:rPr>
        <w:t>根据《中华人民共和国政府信息公开条例》（以下简称《条例》）的规定，现公布</w:t>
      </w:r>
      <w:r>
        <w:rPr>
          <w:rFonts w:hint="eastAsia" w:ascii="仿宋_GB2312" w:hAnsi="微软雅黑" w:eastAsia="仿宋_GB2312" w:cs="仿宋_GB2312"/>
          <w:color w:val="auto"/>
          <w:kern w:val="2"/>
          <w:sz w:val="32"/>
          <w:szCs w:val="32"/>
          <w:lang w:val="en-US" w:eastAsia="zh-CN" w:bidi="ar"/>
        </w:rPr>
        <w:t>金山镇人民政府2020年政府信息公开工作年度报告。本报告由总体情况，主动公开政府信息情况，收到和处理政府信息公开申请情况，政府信息公开行政复议、行政诉讼情况，存在的主要问题及改进情况，其他需要报告的事项六个部分组成，起止时间为2020年1月1日至2020年12月31日。如对本报告有任何疑问，请与金山镇党政办公室联系，电话：0533—7500087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20" w:lineRule="exact"/>
        <w:ind w:left="0" w:leftChars="0" w:right="0" w:rightChars="0" w:firstLine="630" w:firstLineChars="300"/>
        <w:jc w:val="both"/>
        <w:textAlignment w:val="auto"/>
        <w:outlineLvl w:val="9"/>
      </w:pPr>
      <w:r>
        <w:t> 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微软雅黑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t xml:space="preserve">      </w:t>
      </w:r>
      <w:r>
        <w:rPr>
          <w:rFonts w:hint="eastAsia" w:ascii="仿宋_GB2312" w:hAnsi="微软雅黑" w:eastAsia="仿宋_GB2312" w:cs="仿宋_GB2312"/>
          <w:color w:val="auto"/>
          <w:kern w:val="2"/>
          <w:sz w:val="32"/>
          <w:szCs w:val="32"/>
          <w:lang w:val="en-US" w:eastAsia="zh-CN" w:bidi="ar"/>
        </w:rPr>
        <w:t> 2020年，金山镇人民政府认真贯彻落实党中央、国务院和省、市开展政府信息公开工作的要求，在区委、区政府的正确领导下，我镇严格按照《中华人民共和国政府信息公开条例》开展政府信息公开工作，积极履行政府信息公开工作主管部门职责，进一步提升政府工作透明度，切实满足社会公众获取和利用政府信息的需求，持续推动打造法治政府、创新政府、廉洁政府和服务型政府，促进经济社会健康发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0" w:leftChars="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"/>
        </w:rPr>
      </w:pPr>
      <w:r>
        <w:t>     </w:t>
      </w:r>
      <w:r>
        <w:rPr>
          <w:rFonts w:hint="eastAsia" w:ascii="仿宋_GB2312" w:hAnsi="微软雅黑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 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"/>
        </w:rPr>
        <w:t>（一）主动公开政府信息情况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微软雅黑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auto"/>
          <w:kern w:val="2"/>
          <w:sz w:val="32"/>
          <w:szCs w:val="32"/>
          <w:lang w:val="en-US" w:eastAsia="zh-CN" w:bidi="ar"/>
        </w:rPr>
        <w:t>　　主动公开信息总数。2020年，我镇严格执行《中华人民共和国政府信息公开条例》有关规定，妥善处理公开与保密的关系，合理界定信息公开范围，通过政府门户网站、政务公开栏、微信公众号及其他新闻媒体等途径主动及时公开村务、政务等相关信息，做到积极主动、公开透明。截至2020年底，我镇累计主动公开政府信息212条，主要包括金山镇机构设置、领导分工、规章文件，规划计划，乡村振兴、精准扶贫、农业等业务工作。主要发布在临淄区人民政府信息网站、镇政府及各村（居）委会、社区的政务公开栏。2020年，我镇收到人大建议124个，政协提案2个,均已按时答复完成，办复率100%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0" w:leftChars="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auto"/>
          <w:kern w:val="2"/>
          <w:sz w:val="32"/>
          <w:szCs w:val="32"/>
          <w:lang w:val="en-US" w:eastAsia="zh-CN" w:bidi="ar"/>
        </w:rPr>
        <w:t>　　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"/>
        </w:rPr>
        <w:t>（二）依申请公开政府信息和不予公开政府信息的情况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微软雅黑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auto"/>
          <w:kern w:val="2"/>
          <w:sz w:val="32"/>
          <w:szCs w:val="32"/>
          <w:lang w:val="en-US" w:eastAsia="zh-CN" w:bidi="ar"/>
        </w:rPr>
        <w:t>　　我镇已明确依申请公开的受理地点（党政办），公布了办公时间、地址、受理程序等。截至目前，金山镇依申请公开政府信息和不予公开政府信息的条数为0。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0" w:leftChars="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auto"/>
          <w:kern w:val="2"/>
          <w:sz w:val="32"/>
          <w:szCs w:val="32"/>
          <w:lang w:val="en-US" w:eastAsia="zh-CN" w:bidi="ar"/>
        </w:rPr>
        <w:t>　　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"/>
        </w:rPr>
        <w:t>（三）政府信息公开的收费及减免情况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微软雅黑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auto"/>
          <w:kern w:val="2"/>
          <w:sz w:val="32"/>
          <w:szCs w:val="32"/>
          <w:lang w:val="en-US" w:eastAsia="zh-CN" w:bidi="ar"/>
        </w:rPr>
        <w:t>　　金山镇认真按照《中华人民共和国政府信息公开条例》的规定公开政府信息，没有收取任何费用。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0" w:leftChars="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auto"/>
          <w:kern w:val="2"/>
          <w:sz w:val="32"/>
          <w:szCs w:val="32"/>
          <w:lang w:val="en-US" w:eastAsia="zh-CN" w:bidi="ar"/>
        </w:rPr>
        <w:t>　　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"/>
        </w:rPr>
        <w:t>（四）平台建设情况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微软雅黑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auto"/>
          <w:kern w:val="2"/>
          <w:sz w:val="32"/>
          <w:szCs w:val="32"/>
          <w:lang w:val="en-US" w:eastAsia="zh-CN" w:bidi="ar"/>
        </w:rPr>
        <w:t>    一是平台操作规范化。网站信息发布的内容具有时效性, 保证信息内容的真实性、完整性、准确性和安全性，准确及时的反映各项工作动态。依照上级要求，做好政务信息栏目的更新和维护，做好分类标准，配合上级部门完成平台建设和更新。二是及时编制更新信息公开指南和信息公开目录。2020年，我镇按照上级有关文件的要求，结合自身实际，在临淄区人民政府信息公开平台上设立并不断完善“业务工作、政府工作报告、机构职能、领导分工、法规公文、规划计划、民生公益、其他”等栏目，不断更新金山镇人民政府政府信息公开目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0" w:leftChars="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"/>
        </w:rPr>
      </w:pPr>
      <w:r>
        <w:t>　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"/>
        </w:rPr>
        <w:t>　（五）监督保障情况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微软雅黑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auto"/>
          <w:kern w:val="2"/>
          <w:sz w:val="32"/>
          <w:szCs w:val="32"/>
          <w:lang w:val="en-US" w:eastAsia="zh-CN" w:bidi="ar"/>
        </w:rPr>
        <w:t>　　一是明确责任，建立健全组织领导机制。2020年，为保证我镇政府信息公开工作的有效实施，加强对政府信息公开工作的领导，我镇及时调整了政府信息（政务）公开工作领导小组成员，安排部署我镇政府信息公开工作，健全了由主要领导负总责，分管领导主抓，办公室具体负责，专人处理政府信息文件的分工及工作机制。二是强化监督，完善公开制度。2020年，我镇进一步完善信息公开机制，建立健全长效管理机制，围绕中心工作，及时、准确填报应公开的信息，重点做好社会关注、群众关心信息的公开，方便群众网上查看。严格遵守信息保密审查制度，确保涉密信息不公开，公开信息不涉密。同时，强化监督检查工作，实行定期检查与不定期检查相结合，鼓励广大干部、群众积极参与监督，积极反映公开过程中存在的突出问题，使公开工作更加扎实、有序开展。</w:t>
      </w:r>
    </w:p>
    <w:p>
      <w:pPr>
        <w:numPr>
          <w:ilvl w:val="0"/>
          <w:numId w:val="1"/>
        </w:numPr>
        <w:tabs>
          <w:tab w:val="left" w:pos="0"/>
        </w:tabs>
        <w:spacing w:line="560" w:lineRule="exact"/>
        <w:ind w:leftChars="20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主动公开政府信息情况</w:t>
      </w:r>
    </w:p>
    <w:tbl>
      <w:tblPr>
        <w:tblStyle w:val="3"/>
        <w:tblW w:w="823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9"/>
        <w:gridCol w:w="1842"/>
        <w:gridCol w:w="1888"/>
        <w:gridCol w:w="19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234" w:type="dxa"/>
            <w:gridSpan w:val="4"/>
            <w:tcBorders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本年新制作数量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本年新公开数量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对外公开总数量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规章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规范性文件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上一年项目数量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本年增/减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行政许可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其他对外管理服务事项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上一年项目数量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本年增/减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行政处罚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行政强制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上一年项目数量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本年增/减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行政事业性收费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第二十条第（九）项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采购项目数量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采购总金额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政府集中采购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4"/>
        <w:tblpPr w:leftFromText="181" w:rightFromText="181" w:vertAnchor="text" w:horzAnchor="page" w:tblpXSpec="center" w:tblpY="284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130"/>
        <w:gridCol w:w="1927"/>
        <w:gridCol w:w="563"/>
        <w:gridCol w:w="631"/>
        <w:gridCol w:w="631"/>
        <w:gridCol w:w="768"/>
        <w:gridCol w:w="768"/>
        <w:gridCol w:w="494"/>
        <w:gridCol w:w="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17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349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17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56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自然人</w:t>
            </w:r>
          </w:p>
        </w:tc>
        <w:tc>
          <w:tcPr>
            <w:tcW w:w="329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法人或其他组织</w:t>
            </w:r>
          </w:p>
        </w:tc>
        <w:tc>
          <w:tcPr>
            <w:tcW w:w="49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417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56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商业企业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科研机构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社会公益组织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法律服务机构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其他</w:t>
            </w:r>
          </w:p>
        </w:tc>
        <w:tc>
          <w:tcPr>
            <w:tcW w:w="494" w:type="dxa"/>
            <w:vMerge w:val="continue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4173" w:type="dxa"/>
            <w:gridSpan w:val="3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73" w:type="dxa"/>
            <w:gridSpan w:val="3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16" w:type="dxa"/>
            <w:vMerge w:val="restart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三、本年度办理结果</w:t>
            </w:r>
          </w:p>
        </w:tc>
        <w:tc>
          <w:tcPr>
            <w:tcW w:w="3057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（一）予以公开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16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57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16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0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（三）不予公开</w:t>
            </w:r>
          </w:p>
        </w:tc>
        <w:tc>
          <w:tcPr>
            <w:tcW w:w="1927" w:type="dxa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1．属于国家秘密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16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27" w:type="dxa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2．其他法律行政法规禁止公开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116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27" w:type="dxa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3．危及“三安全一稳定”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16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27" w:type="dxa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4．保护第三方合法权益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16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27" w:type="dxa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5．属于三类内部事务信息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16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27" w:type="dxa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6．属于四类过程性信息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16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27" w:type="dxa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7．属于行政执法案卷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16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27" w:type="dxa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8．属于行政查询事项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16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0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（四）无法提供</w:t>
            </w:r>
          </w:p>
        </w:tc>
        <w:tc>
          <w:tcPr>
            <w:tcW w:w="1927" w:type="dxa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1．本单位不掌握相关政府信息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16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27" w:type="dxa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2．没有现成信息需要另行制作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116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27" w:type="dxa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3．补正后申请内容仍不明确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16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0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（五）不予处理</w:t>
            </w:r>
          </w:p>
        </w:tc>
        <w:tc>
          <w:tcPr>
            <w:tcW w:w="1927" w:type="dxa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1．信访举报投诉类申请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116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0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27" w:type="dxa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2．重复申请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16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0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27" w:type="dxa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3．要求提供公开出版物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16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0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27" w:type="dxa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4．无正当理由大量反复申请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16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0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27" w:type="dxa"/>
          </w:tcPr>
          <w:p>
            <w:pPr>
              <w:ind w:left="210" w:hanging="210" w:hangingChars="1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5．要求行政机关确认或重新出具已获取信息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16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（六）其他处理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16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（七）总计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4173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四、结转下年度继续办理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tabs>
          <w:tab w:val="left" w:pos="0"/>
        </w:tabs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政府信息公开行政复议、行政诉讼情况</w:t>
      </w:r>
    </w:p>
    <w:tbl>
      <w:tblPr>
        <w:tblStyle w:val="4"/>
        <w:tblpPr w:leftFromText="180" w:rightFromText="180" w:vertAnchor="text" w:horzAnchor="page" w:tblpX="1890" w:tblpY="455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595"/>
        <w:gridCol w:w="595"/>
        <w:gridCol w:w="595"/>
        <w:gridCol w:w="464"/>
        <w:gridCol w:w="594"/>
        <w:gridCol w:w="594"/>
        <w:gridCol w:w="594"/>
        <w:gridCol w:w="594"/>
        <w:gridCol w:w="463"/>
        <w:gridCol w:w="594"/>
        <w:gridCol w:w="594"/>
        <w:gridCol w:w="594"/>
        <w:gridCol w:w="594"/>
        <w:gridCol w:w="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844" w:type="dxa"/>
            <w:gridSpan w:val="5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行政复议</w:t>
            </w:r>
          </w:p>
        </w:tc>
        <w:tc>
          <w:tcPr>
            <w:tcW w:w="5678" w:type="dxa"/>
            <w:gridSpan w:val="10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95" w:type="dxa"/>
            <w:vMerge w:val="restart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结果维持</w:t>
            </w:r>
          </w:p>
        </w:tc>
        <w:tc>
          <w:tcPr>
            <w:tcW w:w="595" w:type="dxa"/>
            <w:vMerge w:val="restart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结果纠正</w:t>
            </w:r>
          </w:p>
        </w:tc>
        <w:tc>
          <w:tcPr>
            <w:tcW w:w="595" w:type="dxa"/>
            <w:vMerge w:val="restart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其他结果</w:t>
            </w:r>
          </w:p>
        </w:tc>
        <w:tc>
          <w:tcPr>
            <w:tcW w:w="595" w:type="dxa"/>
            <w:vMerge w:val="restart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尚未审结</w:t>
            </w:r>
          </w:p>
        </w:tc>
        <w:tc>
          <w:tcPr>
            <w:tcW w:w="464" w:type="dxa"/>
            <w:vMerge w:val="restart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2839" w:type="dxa"/>
            <w:gridSpan w:val="5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未经复议直接起诉</w:t>
            </w:r>
          </w:p>
        </w:tc>
        <w:tc>
          <w:tcPr>
            <w:tcW w:w="2839" w:type="dxa"/>
            <w:gridSpan w:val="5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结果维持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结果纠正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其他结果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尚未审结</w:t>
            </w: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结果维持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结果纠正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其他结果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尚未审结</w:t>
            </w: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0" w:beforeAutospacing="0" w:after="0" w:afterAutospacing="0" w:line="450" w:lineRule="atLeast"/>
        <w:ind w:left="0" w:right="0" w:firstLine="640" w:firstLineChars="200"/>
        <w:jc w:val="left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"/>
        </w:rPr>
        <w:t>（一）存在的主要问题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0" w:beforeAutospacing="0" w:after="0" w:afterAutospacing="0" w:line="450" w:lineRule="atLeast"/>
        <w:ind w:left="0" w:right="0" w:firstLine="640" w:firstLineChars="200"/>
        <w:jc w:val="left"/>
        <w:rPr>
          <w:rFonts w:hint="eastAsia" w:ascii="仿宋_GB2312" w:hAnsi="微软雅黑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auto"/>
          <w:kern w:val="2"/>
          <w:sz w:val="32"/>
          <w:szCs w:val="32"/>
          <w:lang w:val="en-US" w:eastAsia="zh-CN" w:bidi="ar"/>
        </w:rPr>
        <w:t>一是在工作部署安排上不够重视，责任不明确，工作未能落到实处，二是对信息公开属性界定不清、信息格式编制不准，信息公开的流程还有待进一步规范。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0" w:beforeAutospacing="0" w:after="0" w:afterAutospacing="0" w:line="450" w:lineRule="atLeast"/>
        <w:ind w:left="0" w:right="0" w:firstLine="640" w:firstLineChars="200"/>
        <w:jc w:val="left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"/>
        </w:rPr>
        <w:t>（二）解决办法和改进措施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0" w:beforeAutospacing="0" w:after="0" w:afterAutospacing="0" w:line="450" w:lineRule="atLeast"/>
        <w:ind w:left="0" w:right="0" w:firstLine="640" w:firstLineChars="200"/>
        <w:jc w:val="left"/>
        <w:rPr>
          <w:rFonts w:hint="eastAsia" w:ascii="仿宋_GB2312" w:hAnsi="微软雅黑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auto"/>
          <w:kern w:val="2"/>
          <w:sz w:val="32"/>
          <w:szCs w:val="32"/>
          <w:lang w:val="en-US" w:eastAsia="zh-CN" w:bidi="ar"/>
        </w:rPr>
        <w:t>一是充实公开内容。按照“以公开为原则，不公开为例外”的总体要求，进一步按照政府公开信息目录，重点推进政府的信息公开公众。二是规范工作流程。进一步规范提高依申请公开的处理流程，开展政府信息公开的咨询服务工作，方便公众查阅、申请、获取政府信息。三是建立长效机制。着力建立和完善内容审查、更新维护、考核评估、监督检查评议、培训宣传和工作年报等工作制度，促进信息公开工作制度化、规范化发展。四是不断提高政务信息工作人员的综合素质，增强处理信息的能力，提高信息质量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0" w:beforeAutospacing="0" w:after="0" w:afterAutospacing="0" w:line="450" w:lineRule="atLeast"/>
        <w:ind w:left="0" w:right="0" w:firstLine="640" w:firstLineChars="20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450" w:lineRule="atLeast"/>
        <w:ind w:left="300" w:right="300" w:firstLine="420"/>
        <w:rPr>
          <w:rFonts w:hint="eastAsia" w:ascii="仿宋_GB2312" w:hAnsi="微软雅黑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无其他需要报告的事项。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450" w:lineRule="atLeast"/>
        <w:ind w:left="300" w:right="300" w:firstLine="420"/>
        <w:rPr>
          <w:rFonts w:hint="eastAsia" w:ascii="仿宋_GB2312" w:hAnsi="微软雅黑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00" w:lineRule="exact"/>
        <w:ind w:right="300" w:rightChars="0" w:firstLine="5120" w:firstLineChars="1600"/>
        <w:jc w:val="left"/>
        <w:textAlignment w:val="auto"/>
        <w:outlineLvl w:val="9"/>
        <w:rPr>
          <w:rFonts w:hint="eastAsia" w:ascii="仿宋_GB2312" w:hAnsi="微软雅黑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auto"/>
          <w:kern w:val="2"/>
          <w:sz w:val="32"/>
          <w:szCs w:val="32"/>
          <w:lang w:val="en-US" w:eastAsia="zh-CN" w:bidi="ar"/>
        </w:rPr>
        <w:t>金山镇人民政府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00" w:lineRule="exact"/>
        <w:ind w:right="300" w:rightChars="0" w:firstLine="5120" w:firstLineChars="1600"/>
        <w:jc w:val="left"/>
        <w:textAlignment w:val="auto"/>
        <w:outlineLvl w:val="9"/>
        <w:rPr>
          <w:rFonts w:hint="eastAsia" w:ascii="仿宋_GB2312" w:hAnsi="微软雅黑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auto"/>
          <w:kern w:val="2"/>
          <w:sz w:val="32"/>
          <w:szCs w:val="32"/>
          <w:lang w:val="en-US" w:eastAsia="zh-CN" w:bidi="ar"/>
        </w:rPr>
        <w:t>2020年1月18日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450" w:lineRule="atLeast"/>
        <w:ind w:right="300"/>
        <w:rPr>
          <w:rFonts w:hint="eastAsia" w:ascii="仿宋_GB2312" w:hAnsi="微软雅黑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/>
    <w:sectPr>
      <w:pgSz w:w="11906" w:h="16838"/>
      <w:pgMar w:top="2098" w:right="1531" w:bottom="175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053D1A"/>
    <w:multiLevelType w:val="singleLevel"/>
    <w:tmpl w:val="60053D1A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MjIyMjQ4OTQ4MDhhZWQzMDc1N2YwNDVlMzE4YjUifQ=="/>
  </w:docVars>
  <w:rsids>
    <w:rsidRoot w:val="064631FF"/>
    <w:rsid w:val="064631FF"/>
    <w:rsid w:val="6ABA4C4F"/>
    <w:rsid w:val="74E4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  <w:rPr>
      <w:i/>
    </w:rPr>
  </w:style>
  <w:style w:type="character" w:styleId="9">
    <w:name w:val="HTML Definition"/>
    <w:basedOn w:val="5"/>
    <w:qFormat/>
    <w:uiPriority w:val="0"/>
    <w:rPr>
      <w:i/>
    </w:rPr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  <w:rPr>
      <w:i/>
    </w:rPr>
  </w:style>
  <w:style w:type="character" w:styleId="12">
    <w:name w:val="Hyperlink"/>
    <w:basedOn w:val="5"/>
    <w:qFormat/>
    <w:uiPriority w:val="0"/>
    <w:rPr>
      <w:color w:val="333333"/>
      <w:u w:val="none"/>
    </w:rPr>
  </w:style>
  <w:style w:type="character" w:styleId="13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4">
    <w:name w:val="HTML Cite"/>
    <w:basedOn w:val="5"/>
    <w:uiPriority w:val="0"/>
    <w:rPr>
      <w:i/>
    </w:rPr>
  </w:style>
  <w:style w:type="character" w:styleId="15">
    <w:name w:val="HTML Keyboard"/>
    <w:basedOn w:val="5"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6">
    <w:name w:val="HTML Sample"/>
    <w:basedOn w:val="5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7">
    <w:name w:val="calendar-head__next-month-btn"/>
    <w:basedOn w:val="5"/>
    <w:qFormat/>
    <w:uiPriority w:val="0"/>
  </w:style>
  <w:style w:type="character" w:customStyle="1" w:styleId="18">
    <w:name w:val="calendar-head__text-display"/>
    <w:basedOn w:val="5"/>
    <w:qFormat/>
    <w:uiPriority w:val="0"/>
    <w:rPr>
      <w:vanish/>
    </w:rPr>
  </w:style>
  <w:style w:type="character" w:customStyle="1" w:styleId="19">
    <w:name w:val="hover"/>
    <w:basedOn w:val="5"/>
    <w:qFormat/>
    <w:uiPriority w:val="0"/>
    <w:rPr>
      <w:color w:val="2F6EA2"/>
    </w:rPr>
  </w:style>
  <w:style w:type="character" w:customStyle="1" w:styleId="20">
    <w:name w:val="calendar-head__year-range"/>
    <w:basedOn w:val="5"/>
    <w:qFormat/>
    <w:uiPriority w:val="0"/>
    <w:rPr>
      <w:vanish/>
    </w:rPr>
  </w:style>
  <w:style w:type="character" w:customStyle="1" w:styleId="21">
    <w:name w:val="calendar-head__next-range-btn"/>
    <w:basedOn w:val="5"/>
    <w:qFormat/>
    <w:uiPriority w:val="0"/>
    <w:rPr>
      <w:vanish/>
    </w:rPr>
  </w:style>
  <w:style w:type="character" w:customStyle="1" w:styleId="22">
    <w:name w:val="calendar-head__prev-range-btn"/>
    <w:basedOn w:val="5"/>
    <w:qFormat/>
    <w:uiPriority w:val="0"/>
    <w:rPr>
      <w:vanish/>
    </w:rPr>
  </w:style>
  <w:style w:type="character" w:customStyle="1" w:styleId="23">
    <w:name w:val="calendar-head__next-year-btn"/>
    <w:basedOn w:val="5"/>
    <w:qFormat/>
    <w:uiPriority w:val="0"/>
  </w:style>
  <w:style w:type="character" w:customStyle="1" w:styleId="24">
    <w:name w:val="ld-01"/>
    <w:basedOn w:val="5"/>
    <w:qFormat/>
    <w:uiPriority w:val="0"/>
  </w:style>
  <w:style w:type="character" w:customStyle="1" w:styleId="25">
    <w:name w:val="time"/>
    <w:basedOn w:val="5"/>
    <w:qFormat/>
    <w:uiPriority w:val="0"/>
    <w:rPr>
      <w:color w:val="999999"/>
      <w:sz w:val="18"/>
      <w:szCs w:val="18"/>
    </w:rPr>
  </w:style>
  <w:style w:type="character" w:customStyle="1" w:styleId="26">
    <w:name w:val="wx-space"/>
    <w:basedOn w:val="5"/>
    <w:qFormat/>
    <w:uiPriority w:val="0"/>
  </w:style>
  <w:style w:type="character" w:customStyle="1" w:styleId="27">
    <w:name w:val="wx-space1"/>
    <w:basedOn w:val="5"/>
    <w:qFormat/>
    <w:uiPriority w:val="0"/>
  </w:style>
  <w:style w:type="character" w:customStyle="1" w:styleId="28">
    <w:name w:val="ld-02"/>
    <w:basedOn w:val="5"/>
    <w:qFormat/>
    <w:uiPriority w:val="0"/>
    <w:rPr>
      <w:b/>
    </w:rPr>
  </w:style>
  <w:style w:type="character" w:customStyle="1" w:styleId="29">
    <w:name w:val="hover54"/>
    <w:basedOn w:val="5"/>
    <w:qFormat/>
    <w:uiPriority w:val="0"/>
    <w:rPr>
      <w:color w:val="000000"/>
      <w:shd w:val="clear" w:fill="FFFFFF"/>
    </w:rPr>
  </w:style>
  <w:style w:type="character" w:customStyle="1" w:styleId="30">
    <w:name w:val="bsharete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2681</Words>
  <Characters>2736</Characters>
  <Lines>0</Lines>
  <Paragraphs>0</Paragraphs>
  <TotalTime>15</TotalTime>
  <ScaleCrop>false</ScaleCrop>
  <LinksUpToDate>false</LinksUpToDate>
  <CharactersWithSpaces>2773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2021-01-18T06:50:00Z</dcterms:created>
  <dc:creator>Lenovo</dc:creator>
  <cp:lastModifiedBy>金山</cp:lastModifiedBy>
  <dcterms:modified xsi:type="dcterms:W3CDTF">2024-12-09T07:00:39Z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05785F73B50941DDAF58A548845B3086_12</vt:lpwstr>
  </property>
</Properties>
</file>