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临淄区金山镇人民政府</w:t>
      </w:r>
      <w:r>
        <w:rPr>
          <w:rFonts w:hint="default" w:ascii="Times New Roman" w:hAnsi="Times New Roman" w:eastAsia="方正小标宋简体" w:cs="Times New Roman"/>
          <w:sz w:val="44"/>
          <w:szCs w:val="44"/>
          <w:lang w:val="en-US" w:eastAsia="zh-CN"/>
        </w:rPr>
        <w:t>2023年政府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spacing w:val="0"/>
          <w:kern w:val="0"/>
          <w:sz w:val="32"/>
          <w:szCs w:val="32"/>
          <w:shd w:val="clear" w:fill="FFFFFF"/>
          <w:lang w:val="en-US" w:eastAsia="zh-CN" w:bidi="ar"/>
        </w:rPr>
        <w:t>本报告按照《国务院办公厅政府信息与政务公开办公室关于印发</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w:t>
      </w:r>
      <w:r>
        <w:rPr>
          <w:rFonts w:hint="default" w:ascii="Times New Roman" w:hAnsi="Times New Roman" w:eastAsia="仿宋_GB2312" w:cs="Times New Roman"/>
          <w:sz w:val="32"/>
          <w:szCs w:val="32"/>
          <w:lang w:val="en-US" w:eastAsia="zh-CN"/>
        </w:rPr>
        <w:t>本年度报告中所列数据的统计期限自2023年1月1日起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至2023年12月31日止</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如对报告内容有疑问，请与</w:t>
      </w:r>
      <w:r>
        <w:rPr>
          <w:rFonts w:hint="default" w:ascii="Times New Roman" w:hAnsi="Times New Roman" w:eastAsia="仿宋_GB2312" w:cs="Times New Roman"/>
          <w:sz w:val="32"/>
          <w:szCs w:val="32"/>
          <w:lang w:val="en-US" w:eastAsia="zh-CN"/>
        </w:rPr>
        <w:t>金山镇人民政府党政办公室</w:t>
      </w:r>
      <w:r>
        <w:rPr>
          <w:rFonts w:hint="default" w:ascii="Times New Roman" w:hAnsi="Times New Roman" w:eastAsia="仿宋_GB2312" w:cs="Times New Roman"/>
          <w:sz w:val="32"/>
          <w:szCs w:val="32"/>
          <w:lang w:val="en-US" w:eastAsia="zh-CN"/>
        </w:rPr>
        <w:t>联系（地址：</w:t>
      </w:r>
      <w:r>
        <w:rPr>
          <w:rFonts w:hint="default" w:ascii="Times New Roman" w:hAnsi="Times New Roman" w:eastAsia="仿宋_GB2312" w:cs="Times New Roman"/>
          <w:sz w:val="32"/>
          <w:szCs w:val="32"/>
          <w:lang w:val="en-US" w:eastAsia="zh-CN"/>
        </w:rPr>
        <w:t>金山镇十化建淄博化建医院北院区对面</w:t>
      </w:r>
      <w:r>
        <w:rPr>
          <w:rFonts w:hint="default" w:ascii="Times New Roman" w:hAnsi="Times New Roman" w:eastAsia="仿宋_GB2312" w:cs="Times New Roman"/>
          <w:sz w:val="32"/>
          <w:szCs w:val="32"/>
          <w:lang w:val="en-US" w:eastAsia="zh-CN"/>
        </w:rPr>
        <w:t>；邮编：</w:t>
      </w:r>
      <w:r>
        <w:rPr>
          <w:rFonts w:hint="default" w:ascii="Times New Roman" w:hAnsi="Times New Roman" w:eastAsia="仿宋_GB2312" w:cs="Times New Roman"/>
          <w:sz w:val="32"/>
          <w:szCs w:val="32"/>
          <w:lang w:val="en-US" w:eastAsia="zh-CN"/>
        </w:rPr>
        <w:t>255438</w:t>
      </w:r>
      <w:r>
        <w:rPr>
          <w:rFonts w:hint="default" w:ascii="Times New Roman" w:hAnsi="Times New Roman" w:eastAsia="仿宋_GB2312" w:cs="Times New Roman"/>
          <w:sz w:val="32"/>
          <w:szCs w:val="32"/>
          <w:lang w:val="en-US" w:eastAsia="zh-CN"/>
        </w:rPr>
        <w:t>；电话：0533-</w:t>
      </w:r>
      <w:r>
        <w:rPr>
          <w:rFonts w:hint="default" w:ascii="Times New Roman" w:hAnsi="Times New Roman" w:eastAsia="仿宋_GB2312" w:cs="Times New Roman"/>
          <w:sz w:val="32"/>
          <w:szCs w:val="32"/>
          <w:lang w:val="en-US" w:eastAsia="zh-CN"/>
        </w:rPr>
        <w:t>7500087</w:t>
      </w: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lang w:val="en-US" w:eastAsia="zh-CN"/>
        </w:rPr>
        <w:t>金山镇</w:t>
      </w:r>
      <w:r>
        <w:rPr>
          <w:rFonts w:hint="default" w:ascii="Times New Roman" w:hAnsi="Times New Roman" w:eastAsia="仿宋_GB2312" w:cs="Times New Roman"/>
          <w:sz w:val="32"/>
          <w:szCs w:val="32"/>
          <w:lang w:val="en-US" w:eastAsia="zh-CN"/>
        </w:rPr>
        <w:t>全面贯彻落实党的二十大精神，高度重视信息公开工作，坚持以公开为常态、不公开为例外，积极有序推进政府信息公开的各项工作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实现政府信息发布、依申请公开受理、政府信息咨询等工作的一体化管理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切实保障人民群众的知情权、参与权、监督权和表达权。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楷体_GB2312" w:cs="Times New Roman"/>
          <w:sz w:val="32"/>
          <w:szCs w:val="32"/>
          <w:lang w:val="en-US" w:eastAsia="zh-CN"/>
        </w:rPr>
        <w:t>（一）主动公开信息情况。</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lang w:val="en-US" w:eastAsia="zh-CN"/>
        </w:rPr>
        <w:t>，金山镇累计</w:t>
      </w:r>
      <w:bookmarkStart w:id="0" w:name="_GoBack"/>
      <w:bookmarkEnd w:id="0"/>
      <w:r>
        <w:rPr>
          <w:rFonts w:hint="default" w:ascii="Times New Roman" w:hAnsi="Times New Roman" w:eastAsia="仿宋_GB2312" w:cs="Times New Roman"/>
          <w:sz w:val="32"/>
          <w:szCs w:val="32"/>
          <w:lang w:val="en-US" w:eastAsia="zh-CN"/>
        </w:rPr>
        <w:t>主动公开信息74条，其中业务工作13条、规划计划9条、政府信息公开指南2条、机构职能4条、法规公文4条、政府会议6条、政府工作报告1条、重大建设项目4条、公共资源配置5条、民生公益10条、农业农村5条、重要部署执行公开1条、财政信息3条、管理和服务公开1条、政府信息公开年度报告1条、政务公开保障机制3条、主动公开基本目录1条、政府信息公开制度1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依申请公开工作</w:t>
      </w:r>
      <w:r>
        <w:rPr>
          <w:rFonts w:hint="default" w:ascii="Times New Roman" w:hAnsi="Times New Roman" w:eastAsia="楷体_GB2312" w:cs="Times New Roman"/>
          <w:sz w:val="32"/>
          <w:szCs w:val="32"/>
          <w:lang w:val="en-US" w:eastAsia="zh-CN"/>
        </w:rPr>
        <w:t>情况</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lang w:val="en-US" w:eastAsia="zh-CN"/>
        </w:rPr>
        <w:t>我镇</w:t>
      </w:r>
      <w:r>
        <w:rPr>
          <w:rFonts w:hint="default" w:ascii="Times New Roman" w:hAnsi="Times New Roman" w:eastAsia="仿宋_GB2312" w:cs="Times New Roman"/>
          <w:sz w:val="32"/>
          <w:szCs w:val="32"/>
          <w:lang w:val="en-US" w:eastAsia="zh-CN"/>
        </w:rPr>
        <w:t>收到政府信息</w:t>
      </w:r>
      <w:r>
        <w:rPr>
          <w:rFonts w:hint="default" w:ascii="Times New Roman" w:hAnsi="Times New Roman" w:eastAsia="仿宋_GB2312" w:cs="Times New Roman"/>
          <w:sz w:val="32"/>
          <w:szCs w:val="32"/>
          <w:lang w:val="en-US" w:eastAsia="zh-CN"/>
        </w:rPr>
        <w:t>依</w:t>
      </w:r>
      <w:r>
        <w:rPr>
          <w:rFonts w:hint="default" w:ascii="Times New Roman" w:hAnsi="Times New Roman" w:eastAsia="仿宋_GB2312" w:cs="Times New Roman"/>
          <w:sz w:val="32"/>
          <w:szCs w:val="32"/>
          <w:lang w:val="en-US" w:eastAsia="zh-CN"/>
        </w:rPr>
        <w:t>申请公开</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US" w:eastAsia="zh-CN"/>
        </w:rPr>
        <w:t>与去年相比增长4件，已</w:t>
      </w:r>
      <w:r>
        <w:rPr>
          <w:rFonts w:hint="default" w:ascii="Times New Roman" w:hAnsi="Times New Roman" w:eastAsia="仿宋_GB2312" w:cs="Times New Roman"/>
          <w:sz w:val="32"/>
          <w:szCs w:val="32"/>
          <w:lang w:val="en-US" w:eastAsia="zh-CN"/>
        </w:rPr>
        <w:t>全部依法依规予以办理。因依申请公开引发的行政复议案件</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件，行政诉讼案件</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政府信息管理</w:t>
      </w:r>
      <w:r>
        <w:rPr>
          <w:rFonts w:hint="default" w:ascii="Times New Roman" w:hAnsi="Times New Roman" w:eastAsia="楷体_GB2312" w:cs="Times New Roman"/>
          <w:sz w:val="32"/>
          <w:szCs w:val="32"/>
          <w:lang w:val="en-US" w:eastAsia="zh-CN"/>
        </w:rPr>
        <w:t>情况。</w:t>
      </w:r>
      <w:r>
        <w:rPr>
          <w:rFonts w:hint="default" w:ascii="Times New Roman" w:hAnsi="Times New Roman" w:eastAsia="仿宋_GB2312" w:cs="Times New Roman"/>
          <w:sz w:val="32"/>
          <w:szCs w:val="32"/>
          <w:lang w:val="en-US" w:eastAsia="zh-CN"/>
        </w:rPr>
        <w:t>根据《中华人民共和国政府信息公开条例》，我镇及时完善更新《</w:t>
      </w:r>
      <w:r>
        <w:rPr>
          <w:rFonts w:hint="default" w:ascii="Times New Roman" w:hAnsi="Times New Roman" w:eastAsia="仿宋_GB2312" w:cs="Times New Roman"/>
          <w:sz w:val="32"/>
          <w:szCs w:val="32"/>
          <w:lang w:val="en-US" w:eastAsia="zh-CN"/>
        </w:rPr>
        <w:t>临淄区金山镇</w:t>
      </w:r>
      <w:r>
        <w:rPr>
          <w:rFonts w:hint="default" w:ascii="Times New Roman" w:hAnsi="Times New Roman" w:eastAsia="仿宋_GB2312" w:cs="Times New Roman"/>
          <w:sz w:val="32"/>
          <w:szCs w:val="32"/>
          <w:lang w:val="en-US" w:eastAsia="zh-CN"/>
        </w:rPr>
        <w:t>人民政府信息公开指南》、《</w:t>
      </w:r>
      <w:r>
        <w:rPr>
          <w:rFonts w:hint="default" w:ascii="Times New Roman" w:hAnsi="Times New Roman" w:eastAsia="仿宋_GB2312" w:cs="Times New Roman"/>
          <w:sz w:val="32"/>
          <w:szCs w:val="32"/>
          <w:lang w:val="en-US" w:eastAsia="zh-CN"/>
        </w:rPr>
        <w:t>临淄区金山镇</w:t>
      </w:r>
      <w:r>
        <w:rPr>
          <w:rFonts w:hint="default" w:ascii="Times New Roman" w:hAnsi="Times New Roman" w:eastAsia="仿宋_GB2312" w:cs="Times New Roman"/>
          <w:sz w:val="32"/>
          <w:szCs w:val="32"/>
          <w:lang w:val="en-US" w:eastAsia="zh-CN"/>
        </w:rPr>
        <w:t>人民政府信息公开目录》等内容，方便</w:t>
      </w:r>
      <w:r>
        <w:rPr>
          <w:rFonts w:hint="default" w:ascii="Times New Roman" w:hAnsi="Times New Roman" w:eastAsia="仿宋_GB2312" w:cs="Times New Roman"/>
          <w:sz w:val="32"/>
          <w:szCs w:val="32"/>
          <w:lang w:val="en-US" w:eastAsia="zh-CN"/>
        </w:rPr>
        <w:t>群众</w:t>
      </w:r>
      <w:r>
        <w:rPr>
          <w:rFonts w:hint="default" w:ascii="Times New Roman" w:hAnsi="Times New Roman" w:eastAsia="仿宋_GB2312" w:cs="Times New Roman"/>
          <w:sz w:val="32"/>
          <w:szCs w:val="32"/>
          <w:lang w:val="en-US" w:eastAsia="zh-CN"/>
        </w:rPr>
        <w:t>及时、准确、有效地获得</w:t>
      </w:r>
      <w:r>
        <w:rPr>
          <w:rFonts w:hint="default" w:ascii="Times New Roman" w:hAnsi="Times New Roman" w:eastAsia="仿宋_GB2312" w:cs="Times New Roman"/>
          <w:sz w:val="32"/>
          <w:szCs w:val="32"/>
          <w:lang w:val="en-US" w:eastAsia="zh-CN"/>
        </w:rPr>
        <w:t>金山镇人民</w:t>
      </w:r>
      <w:r>
        <w:rPr>
          <w:rFonts w:hint="default" w:ascii="Times New Roman" w:hAnsi="Times New Roman" w:eastAsia="仿宋_GB2312" w:cs="Times New Roman"/>
          <w:sz w:val="32"/>
          <w:szCs w:val="32"/>
          <w:lang w:val="en-US" w:eastAsia="zh-CN"/>
        </w:rPr>
        <w:t>政府信息。明确全年重点工作和责任分工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动态更新政府信息主动公开目录，对拟公开的政府信息依法依规做好保密审查，切实做到“涉密信息不上网、上网信息不涉密”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推动全年政府信息公开工作稳妥有序开展。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（四）政府信息公开平台建设情况。</w:t>
      </w:r>
      <w:r>
        <w:rPr>
          <w:rFonts w:hint="default" w:ascii="Times New Roman" w:hAnsi="Times New Roman" w:eastAsia="仿宋_GB2312" w:cs="Times New Roman"/>
          <w:sz w:val="32"/>
          <w:szCs w:val="32"/>
          <w:lang w:val="en-US" w:eastAsia="zh-CN"/>
        </w:rPr>
        <w:t>切实发挥政府网站政务公开主平台的积极作用，加强政务发布与解读，加大网站信息发布和更新力度，积极回应社会关切，推进政民互动，做到无空白栏目、无延时更新</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充分发挥政务新媒体推介宣传作用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截至目前</w:t>
      </w:r>
      <w:r>
        <w:rPr>
          <w:rFonts w:hint="default" w:ascii="Times New Roman" w:hAnsi="Times New Roman" w:eastAsia="仿宋_GB2312" w:cs="Times New Roman"/>
          <w:sz w:val="32"/>
          <w:szCs w:val="32"/>
          <w:lang w:val="en-US" w:eastAsia="zh-CN"/>
        </w:rPr>
        <w:t>，大美金山公众号</w:t>
      </w:r>
      <w:r>
        <w:rPr>
          <w:rFonts w:hint="default" w:ascii="Times New Roman" w:hAnsi="Times New Roman" w:eastAsia="仿宋_GB2312" w:cs="Times New Roman"/>
          <w:sz w:val="32"/>
          <w:szCs w:val="32"/>
          <w:lang w:val="en-US" w:eastAsia="zh-CN"/>
        </w:rPr>
        <w:t>关注人数</w:t>
      </w:r>
      <w:r>
        <w:rPr>
          <w:rFonts w:hint="default" w:ascii="Times New Roman" w:hAnsi="Times New Roman" w:eastAsia="仿宋_GB2312" w:cs="Times New Roman"/>
          <w:sz w:val="32"/>
          <w:szCs w:val="32"/>
          <w:lang w:val="en-US" w:eastAsia="zh-CN"/>
        </w:rPr>
        <w:t>7418</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lang w:val="en-US" w:eastAsia="zh-CN"/>
        </w:rPr>
        <w:t>视频号1593人，</w:t>
      </w:r>
      <w:r>
        <w:rPr>
          <w:rFonts w:hint="default" w:ascii="Times New Roman" w:hAnsi="Times New Roman" w:eastAsia="仿宋_GB2312" w:cs="Times New Roman"/>
          <w:sz w:val="32"/>
          <w:szCs w:val="32"/>
          <w:lang w:val="en-US" w:eastAsia="zh-CN"/>
        </w:rPr>
        <w:t>全年发布</w:t>
      </w:r>
      <w:r>
        <w:rPr>
          <w:rFonts w:hint="default" w:ascii="Times New Roman" w:hAnsi="Times New Roman" w:eastAsia="仿宋_GB2312" w:cs="Times New Roman"/>
          <w:sz w:val="32"/>
          <w:szCs w:val="32"/>
          <w:lang w:val="en-US" w:eastAsia="zh-CN"/>
        </w:rPr>
        <w:t>推文543篇，</w:t>
      </w:r>
      <w:r>
        <w:rPr>
          <w:rFonts w:hint="default" w:ascii="Times New Roman" w:hAnsi="Times New Roman" w:eastAsia="仿宋_GB2312" w:cs="Times New Roman"/>
          <w:sz w:val="32"/>
          <w:szCs w:val="32"/>
          <w:lang w:val="en-US" w:eastAsia="zh-CN"/>
        </w:rPr>
        <w:t>视频资料</w:t>
      </w:r>
      <w:r>
        <w:rPr>
          <w:rFonts w:hint="default" w:ascii="Times New Roman" w:hAnsi="Times New Roman" w:eastAsia="仿宋_GB2312" w:cs="Times New Roman"/>
          <w:sz w:val="32"/>
          <w:szCs w:val="32"/>
          <w:lang w:val="en-US" w:eastAsia="zh-CN"/>
        </w:rPr>
        <w:t>81条。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（五）政府信息公开监督保障情况。</w:t>
      </w:r>
      <w:r>
        <w:rPr>
          <w:rFonts w:hint="default" w:ascii="Times New Roman" w:hAnsi="Times New Roman" w:eastAsia="仿宋_GB2312" w:cs="Times New Roman"/>
          <w:sz w:val="32"/>
          <w:szCs w:val="32"/>
          <w:lang w:val="en-US" w:eastAsia="zh-CN"/>
        </w:rPr>
        <w:t>调整政务公开工作领导小组，明确主要负责同志对政务公开工作负总责，指定专人负责更新维护</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认真做好公开专栏的运营监管工作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制定2023年政务公开培训计划，全年开展专题培训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次</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sz w:val="32"/>
          <w:szCs w:val="32"/>
          <w:lang w:val="en-US" w:eastAsia="zh-CN"/>
        </w:rPr>
        <w:t>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tbl>
      <w:tblPr>
        <w:tblStyle w:val="3"/>
        <w:tblW w:w="8124" w:type="dxa"/>
        <w:tblInd w:w="214" w:type="dxa"/>
        <w:tblLayout w:type="autofit"/>
        <w:tblCellMar>
          <w:top w:w="15" w:type="dxa"/>
          <w:left w:w="15" w:type="dxa"/>
          <w:bottom w:w="15" w:type="dxa"/>
          <w:right w:w="15" w:type="dxa"/>
        </w:tblCellMar>
      </w:tblPr>
      <w:tblGrid>
        <w:gridCol w:w="3284"/>
        <w:gridCol w:w="1686"/>
        <w:gridCol w:w="1803"/>
        <w:gridCol w:w="1351"/>
      </w:tblGrid>
      <w:tr>
        <w:tblPrEx>
          <w:tblCellMar>
            <w:top w:w="15" w:type="dxa"/>
            <w:left w:w="15" w:type="dxa"/>
            <w:bottom w:w="15" w:type="dxa"/>
            <w:right w:w="15" w:type="dxa"/>
          </w:tblCellMar>
        </w:tblPrEx>
        <w:trPr>
          <w:trHeight w:val="621" w:hRule="atLeast"/>
        </w:trPr>
        <w:tc>
          <w:tcPr>
            <w:tcW w:w="8124" w:type="dxa"/>
            <w:gridSpan w:val="4"/>
            <w:tcBorders>
              <w:top w:val="single" w:color="2B283F" w:sz="8" w:space="0"/>
              <w:left w:val="single" w:color="3B3B44" w:sz="8" w:space="0"/>
              <w:bottom w:val="single" w:color="64647C" w:sz="8" w:space="0"/>
              <w:right w:val="single" w:color="3B3B44" w:sz="8" w:space="0"/>
            </w:tcBorders>
            <w:shd w:val="clear" w:color="auto" w:fill="auto"/>
            <w:tcMar>
              <w:top w:w="0" w:type="dxa"/>
              <w:left w:w="0" w:type="dxa"/>
              <w:bottom w:w="0" w:type="dxa"/>
              <w:right w:w="0" w:type="dxa"/>
            </w:tcMar>
          </w:tcPr>
          <w:p>
            <w:pPr>
              <w:pStyle w:val="2"/>
              <w:widowControl/>
              <w:autoSpaceDE w:val="0"/>
              <w:spacing w:line="560" w:lineRule="atLeast"/>
              <w:ind w:left="-1" w:right="1"/>
              <w:jc w:val="center"/>
              <w:rPr>
                <w:rFonts w:hint="default" w:ascii="Times New Roman" w:hAnsi="Times New Roman" w:cs="Times New Roman"/>
              </w:rPr>
            </w:pPr>
            <w:r>
              <w:rPr>
                <w:rFonts w:hint="default" w:ascii="Times New Roman" w:hAnsi="Times New Roman" w:cs="Times New Roman"/>
                <w:sz w:val="21"/>
                <w:szCs w:val="21"/>
              </w:rPr>
              <w:t>第二十条 第（一</w:t>
            </w:r>
            <w:r>
              <w:rPr>
                <w:rFonts w:hint="default" w:ascii="Times New Roman" w:hAnsi="Times New Roman" w:eastAsia="宋体" w:cs="Times New Roman"/>
                <w:sz w:val="21"/>
                <w:szCs w:val="21"/>
              </w:rPr>
              <w:t>）</w:t>
            </w:r>
            <w:r>
              <w:rPr>
                <w:rFonts w:hint="default" w:ascii="Times New Roman" w:hAnsi="Times New Roman" w:cs="Times New Roman"/>
                <w:sz w:val="21"/>
                <w:szCs w:val="21"/>
              </w:rPr>
              <w:t>项</w:t>
            </w:r>
          </w:p>
        </w:tc>
      </w:tr>
      <w:tr>
        <w:tblPrEx>
          <w:tblCellMar>
            <w:top w:w="15" w:type="dxa"/>
            <w:left w:w="15" w:type="dxa"/>
            <w:bottom w:w="15" w:type="dxa"/>
            <w:right w:w="15" w:type="dxa"/>
          </w:tblCellMar>
        </w:tblPrEx>
        <w:trPr>
          <w:trHeight w:val="616" w:hRule="atLeast"/>
        </w:trPr>
        <w:tc>
          <w:tcPr>
            <w:tcW w:w="3284" w:type="dxa"/>
            <w:tcBorders>
              <w:top w:val="nil"/>
              <w:left w:val="single" w:color="3B3B44" w:sz="8" w:space="0"/>
              <w:bottom w:val="single" w:color="707790" w:sz="8" w:space="0"/>
              <w:right w:val="single" w:color="7C7C83" w:sz="8" w:space="0"/>
            </w:tcBorders>
            <w:shd w:val="clear" w:color="auto" w:fill="auto"/>
            <w:tcMar>
              <w:top w:w="0" w:type="dxa"/>
              <w:left w:w="0" w:type="dxa"/>
              <w:bottom w:w="0" w:type="dxa"/>
              <w:right w:w="0" w:type="dxa"/>
            </w:tcMar>
          </w:tcPr>
          <w:p>
            <w:pPr>
              <w:pStyle w:val="2"/>
              <w:widowControl/>
              <w:autoSpaceDE w:val="0"/>
              <w:spacing w:line="560" w:lineRule="atLeast"/>
              <w:ind w:right="27"/>
              <w:jc w:val="center"/>
              <w:rPr>
                <w:rFonts w:hint="default" w:ascii="Times New Roman" w:hAnsi="Times New Roman" w:cs="Times New Roman"/>
              </w:rPr>
            </w:pPr>
            <w:r>
              <w:rPr>
                <w:rFonts w:hint="default" w:ascii="Times New Roman" w:hAnsi="Times New Roman" w:cs="Times New Roman"/>
                <w:sz w:val="21"/>
                <w:szCs w:val="21"/>
              </w:rPr>
              <w:t>信息内容</w:t>
            </w:r>
          </w:p>
        </w:tc>
        <w:tc>
          <w:tcPr>
            <w:tcW w:w="1686" w:type="dxa"/>
            <w:tcBorders>
              <w:top w:val="single" w:color="64647C" w:sz="8" w:space="0"/>
              <w:left w:val="nil"/>
              <w:bottom w:val="single" w:color="707790" w:sz="8" w:space="0"/>
              <w:right w:val="single" w:color="777780" w:sz="8" w:space="0"/>
            </w:tcBorders>
            <w:shd w:val="clear" w:color="auto" w:fill="auto"/>
            <w:tcMar>
              <w:top w:w="0" w:type="dxa"/>
              <w:left w:w="0" w:type="dxa"/>
              <w:bottom w:w="0" w:type="dxa"/>
              <w:right w:w="0" w:type="dxa"/>
            </w:tcMar>
          </w:tcPr>
          <w:p>
            <w:pPr>
              <w:pStyle w:val="2"/>
              <w:widowControl/>
              <w:autoSpaceDE w:val="0"/>
              <w:spacing w:line="560" w:lineRule="atLeast"/>
              <w:ind w:left="216"/>
              <w:rPr>
                <w:rFonts w:hint="default" w:ascii="Times New Roman" w:hAnsi="Times New Roman" w:cs="Times New Roman"/>
              </w:rPr>
            </w:pPr>
            <w:r>
              <w:rPr>
                <w:rFonts w:hint="default" w:ascii="Times New Roman" w:hAnsi="Times New Roman" w:cs="Times New Roman"/>
                <w:sz w:val="21"/>
                <w:szCs w:val="21"/>
              </w:rPr>
              <w:t>本年制发件数</w:t>
            </w:r>
          </w:p>
        </w:tc>
        <w:tc>
          <w:tcPr>
            <w:tcW w:w="1803" w:type="dxa"/>
            <w:tcBorders>
              <w:top w:val="single" w:color="64647C" w:sz="8" w:space="0"/>
              <w:left w:val="nil"/>
              <w:bottom w:val="single" w:color="835B67" w:sz="8" w:space="0"/>
              <w:right w:val="single" w:color="606064" w:sz="8" w:space="0"/>
            </w:tcBorders>
            <w:shd w:val="clear" w:color="auto" w:fill="auto"/>
            <w:tcMar>
              <w:top w:w="0" w:type="dxa"/>
              <w:left w:w="0" w:type="dxa"/>
              <w:bottom w:w="0" w:type="dxa"/>
              <w:right w:w="0" w:type="dxa"/>
            </w:tcMar>
          </w:tcPr>
          <w:p>
            <w:pPr>
              <w:pStyle w:val="2"/>
              <w:widowControl/>
              <w:autoSpaceDE w:val="0"/>
              <w:spacing w:line="560" w:lineRule="atLeast"/>
              <w:ind w:left="275"/>
              <w:rPr>
                <w:rFonts w:hint="default" w:ascii="Times New Roman" w:hAnsi="Times New Roman" w:cs="Times New Roman"/>
              </w:rPr>
            </w:pPr>
            <w:r>
              <w:rPr>
                <w:rFonts w:hint="default" w:ascii="Times New Roman" w:hAnsi="Times New Roman" w:cs="Times New Roman"/>
                <w:sz w:val="21"/>
                <w:szCs w:val="21"/>
              </w:rPr>
              <w:t>本年废止件数</w:t>
            </w:r>
          </w:p>
        </w:tc>
        <w:tc>
          <w:tcPr>
            <w:tcW w:w="1351" w:type="dxa"/>
            <w:tcBorders>
              <w:top w:val="single" w:color="64647C" w:sz="8" w:space="0"/>
              <w:left w:val="nil"/>
              <w:bottom w:val="single" w:color="835B67" w:sz="8" w:space="0"/>
              <w:right w:val="single" w:color="3B3B44"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cs="Times New Roman"/>
                <w:sz w:val="21"/>
                <w:szCs w:val="21"/>
              </w:rPr>
              <w:t>现行有效件数</w:t>
            </w:r>
          </w:p>
        </w:tc>
      </w:tr>
      <w:tr>
        <w:tblPrEx>
          <w:tblCellMar>
            <w:top w:w="15" w:type="dxa"/>
            <w:left w:w="15" w:type="dxa"/>
            <w:bottom w:w="15" w:type="dxa"/>
            <w:right w:w="15" w:type="dxa"/>
          </w:tblCellMar>
        </w:tblPrEx>
        <w:trPr>
          <w:trHeight w:val="628" w:hRule="atLeast"/>
        </w:trPr>
        <w:tc>
          <w:tcPr>
            <w:tcW w:w="3284" w:type="dxa"/>
            <w:tcBorders>
              <w:top w:val="nil"/>
              <w:left w:val="single" w:color="3B3B44" w:sz="8" w:space="0"/>
              <w:bottom w:val="single" w:color="747487" w:sz="8" w:space="0"/>
              <w:right w:val="single" w:color="97979C" w:sz="8" w:space="0"/>
            </w:tcBorders>
            <w:shd w:val="clear" w:color="auto" w:fill="auto"/>
            <w:tcMar>
              <w:top w:w="0" w:type="dxa"/>
              <w:left w:w="0" w:type="dxa"/>
              <w:bottom w:w="0" w:type="dxa"/>
              <w:right w:w="0" w:type="dxa"/>
            </w:tcMar>
          </w:tcPr>
          <w:p>
            <w:pPr>
              <w:pStyle w:val="2"/>
              <w:widowControl/>
              <w:autoSpaceDE w:val="0"/>
              <w:spacing w:line="560" w:lineRule="atLeast"/>
              <w:ind w:left="93"/>
              <w:jc w:val="center"/>
              <w:rPr>
                <w:rFonts w:hint="default" w:ascii="Times New Roman" w:hAnsi="Times New Roman" w:cs="Times New Roman"/>
              </w:rPr>
            </w:pPr>
            <w:r>
              <w:rPr>
                <w:rFonts w:hint="default" w:ascii="Times New Roman" w:hAnsi="Times New Roman" w:cs="Times New Roman"/>
                <w:sz w:val="21"/>
                <w:szCs w:val="21"/>
              </w:rPr>
              <w:t>规章</w:t>
            </w:r>
          </w:p>
        </w:tc>
        <w:tc>
          <w:tcPr>
            <w:tcW w:w="1686" w:type="dxa"/>
            <w:tcBorders>
              <w:top w:val="nil"/>
              <w:left w:val="nil"/>
              <w:bottom w:val="single" w:color="747487" w:sz="8" w:space="0"/>
              <w:right w:val="single" w:color="939397"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c>
          <w:tcPr>
            <w:tcW w:w="1803" w:type="dxa"/>
            <w:tcBorders>
              <w:top w:val="nil"/>
              <w:left w:val="nil"/>
              <w:bottom w:val="single" w:color="546080" w:sz="8" w:space="0"/>
              <w:right w:val="single" w:color="97939C"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c>
          <w:tcPr>
            <w:tcW w:w="1351" w:type="dxa"/>
            <w:tcBorders>
              <w:top w:val="nil"/>
              <w:left w:val="nil"/>
              <w:bottom w:val="single" w:color="74778C"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r>
      <w:tr>
        <w:tblPrEx>
          <w:tblCellMar>
            <w:top w:w="15" w:type="dxa"/>
            <w:left w:w="15" w:type="dxa"/>
            <w:bottom w:w="15" w:type="dxa"/>
            <w:right w:w="15" w:type="dxa"/>
          </w:tblCellMar>
        </w:tblPrEx>
        <w:trPr>
          <w:trHeight w:val="621" w:hRule="atLeast"/>
        </w:trPr>
        <w:tc>
          <w:tcPr>
            <w:tcW w:w="3284" w:type="dxa"/>
            <w:tcBorders>
              <w:top w:val="nil"/>
              <w:left w:val="single" w:color="3B3B44" w:sz="8" w:space="0"/>
              <w:bottom w:val="single" w:color="5B6080" w:sz="8" w:space="0"/>
              <w:right w:val="single" w:color="97979C" w:sz="8" w:space="0"/>
            </w:tcBorders>
            <w:shd w:val="clear" w:color="auto" w:fill="auto"/>
            <w:tcMar>
              <w:top w:w="0" w:type="dxa"/>
              <w:left w:w="0" w:type="dxa"/>
              <w:bottom w:w="0" w:type="dxa"/>
              <w:right w:w="0" w:type="dxa"/>
            </w:tcMar>
          </w:tcPr>
          <w:p>
            <w:pPr>
              <w:pStyle w:val="2"/>
              <w:widowControl/>
              <w:autoSpaceDE w:val="0"/>
              <w:spacing w:line="560" w:lineRule="atLeast"/>
              <w:ind w:left="93"/>
              <w:jc w:val="center"/>
              <w:rPr>
                <w:rFonts w:hint="default" w:ascii="Times New Roman" w:hAnsi="Times New Roman" w:cs="Times New Roman"/>
              </w:rPr>
            </w:pPr>
            <w:r>
              <w:rPr>
                <w:rFonts w:hint="default" w:ascii="Times New Roman" w:hAnsi="Times New Roman" w:cs="Times New Roman"/>
                <w:sz w:val="21"/>
                <w:szCs w:val="21"/>
              </w:rPr>
              <w:t>行政规范性文件</w:t>
            </w:r>
          </w:p>
        </w:tc>
        <w:tc>
          <w:tcPr>
            <w:tcW w:w="1686" w:type="dxa"/>
            <w:tcBorders>
              <w:top w:val="nil"/>
              <w:left w:val="nil"/>
              <w:bottom w:val="single" w:color="5B6080" w:sz="8" w:space="0"/>
              <w:right w:val="single" w:color="939397"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c>
          <w:tcPr>
            <w:tcW w:w="1803" w:type="dxa"/>
            <w:tcBorders>
              <w:top w:val="nil"/>
              <w:left w:val="nil"/>
              <w:bottom w:val="single" w:color="5B6080" w:sz="8" w:space="0"/>
              <w:right w:val="single" w:color="97939C"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c>
          <w:tcPr>
            <w:tcW w:w="1351" w:type="dxa"/>
            <w:tcBorders>
              <w:top w:val="nil"/>
              <w:left w:val="nil"/>
              <w:bottom w:val="single" w:color="5B6080"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r>
      <w:tr>
        <w:tblPrEx>
          <w:tblCellMar>
            <w:top w:w="15" w:type="dxa"/>
            <w:left w:w="15" w:type="dxa"/>
            <w:bottom w:w="15" w:type="dxa"/>
            <w:right w:w="15" w:type="dxa"/>
          </w:tblCellMar>
        </w:tblPrEx>
        <w:trPr>
          <w:trHeight w:val="621" w:hRule="atLeast"/>
        </w:trPr>
        <w:tc>
          <w:tcPr>
            <w:tcW w:w="8124" w:type="dxa"/>
            <w:gridSpan w:val="4"/>
            <w:tcBorders>
              <w:top w:val="nil"/>
              <w:left w:val="single" w:color="3B3B44" w:sz="8" w:space="0"/>
              <w:bottom w:val="single" w:color="646B80"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ind w:left="5"/>
              <w:jc w:val="center"/>
              <w:rPr>
                <w:rFonts w:hint="default" w:ascii="Times New Roman" w:hAnsi="Times New Roman" w:cs="Times New Roman"/>
              </w:rPr>
            </w:pPr>
            <w:r>
              <w:rPr>
                <w:rFonts w:hint="default" w:ascii="Times New Roman" w:hAnsi="Times New Roman" w:cs="Times New Roman"/>
                <w:sz w:val="21"/>
                <w:szCs w:val="21"/>
              </w:rPr>
              <w:t>第二十条 第（五</w:t>
            </w:r>
            <w:r>
              <w:rPr>
                <w:rFonts w:hint="default" w:ascii="Times New Roman" w:hAnsi="Times New Roman" w:eastAsia="宋体" w:cs="Times New Roman"/>
                <w:sz w:val="21"/>
                <w:szCs w:val="21"/>
              </w:rPr>
              <w:t>）</w:t>
            </w:r>
            <w:r>
              <w:rPr>
                <w:rFonts w:hint="default" w:ascii="Times New Roman" w:hAnsi="Times New Roman" w:cs="Times New Roman"/>
                <w:sz w:val="21"/>
                <w:szCs w:val="21"/>
              </w:rPr>
              <w:t>项</w:t>
            </w:r>
          </w:p>
        </w:tc>
      </w:tr>
      <w:tr>
        <w:tblPrEx>
          <w:tblCellMar>
            <w:top w:w="15" w:type="dxa"/>
            <w:left w:w="15" w:type="dxa"/>
            <w:bottom w:w="15" w:type="dxa"/>
            <w:right w:w="15" w:type="dxa"/>
          </w:tblCellMar>
        </w:tblPrEx>
        <w:trPr>
          <w:trHeight w:val="621" w:hRule="atLeast"/>
        </w:trPr>
        <w:tc>
          <w:tcPr>
            <w:tcW w:w="3284" w:type="dxa"/>
            <w:tcBorders>
              <w:top w:val="nil"/>
              <w:left w:val="single" w:color="3B3B44" w:sz="8" w:space="0"/>
              <w:bottom w:val="single" w:color="80676B" w:sz="8" w:space="0"/>
              <w:right w:val="single" w:color="878787" w:sz="8" w:space="0"/>
            </w:tcBorders>
            <w:shd w:val="clear" w:color="auto" w:fill="auto"/>
            <w:tcMar>
              <w:top w:w="0" w:type="dxa"/>
              <w:left w:w="0" w:type="dxa"/>
              <w:bottom w:w="0" w:type="dxa"/>
              <w:right w:w="0" w:type="dxa"/>
            </w:tcMar>
          </w:tcPr>
          <w:p>
            <w:pPr>
              <w:pStyle w:val="2"/>
              <w:widowControl/>
              <w:autoSpaceDE w:val="0"/>
              <w:spacing w:line="560" w:lineRule="atLeast"/>
              <w:ind w:right="17"/>
              <w:jc w:val="center"/>
              <w:rPr>
                <w:rFonts w:hint="default" w:ascii="Times New Roman" w:hAnsi="Times New Roman" w:cs="Times New Roman"/>
              </w:rPr>
            </w:pPr>
            <w:r>
              <w:rPr>
                <w:rFonts w:hint="default" w:ascii="Times New Roman" w:hAnsi="Times New Roman" w:cs="Times New Roman"/>
                <w:sz w:val="21"/>
                <w:szCs w:val="21"/>
              </w:rPr>
              <w:t>信息内容</w:t>
            </w:r>
          </w:p>
        </w:tc>
        <w:tc>
          <w:tcPr>
            <w:tcW w:w="4840" w:type="dxa"/>
            <w:gridSpan w:val="3"/>
            <w:tcBorders>
              <w:top w:val="single" w:color="646B80" w:sz="8" w:space="0"/>
              <w:left w:val="nil"/>
              <w:bottom w:val="single" w:color="7C7474"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ind w:right="16"/>
              <w:jc w:val="center"/>
              <w:rPr>
                <w:rFonts w:hint="default" w:ascii="Times New Roman" w:hAnsi="Times New Roman" w:cs="Times New Roman"/>
              </w:rPr>
            </w:pPr>
            <w:r>
              <w:rPr>
                <w:rFonts w:hint="default" w:ascii="Times New Roman" w:hAnsi="Times New Roman" w:cs="Times New Roman"/>
                <w:sz w:val="21"/>
                <w:szCs w:val="21"/>
              </w:rPr>
              <w:t>本年处理决定数量</w:t>
            </w:r>
          </w:p>
        </w:tc>
      </w:tr>
      <w:tr>
        <w:tblPrEx>
          <w:tblCellMar>
            <w:top w:w="15" w:type="dxa"/>
            <w:left w:w="15" w:type="dxa"/>
            <w:bottom w:w="15" w:type="dxa"/>
            <w:right w:w="15" w:type="dxa"/>
          </w:tblCellMar>
        </w:tblPrEx>
        <w:trPr>
          <w:trHeight w:val="621" w:hRule="atLeast"/>
        </w:trPr>
        <w:tc>
          <w:tcPr>
            <w:tcW w:w="3284" w:type="dxa"/>
            <w:tcBorders>
              <w:top w:val="nil"/>
              <w:left w:val="single" w:color="3B3B44" w:sz="8" w:space="0"/>
              <w:bottom w:val="single" w:color="646487" w:sz="8" w:space="0"/>
              <w:right w:val="single" w:color="878787" w:sz="8" w:space="0"/>
            </w:tcBorders>
            <w:shd w:val="clear" w:color="auto" w:fill="auto"/>
            <w:tcMar>
              <w:top w:w="0" w:type="dxa"/>
              <w:left w:w="0" w:type="dxa"/>
              <w:bottom w:w="0" w:type="dxa"/>
              <w:right w:w="0" w:type="dxa"/>
            </w:tcMar>
          </w:tcPr>
          <w:p>
            <w:pPr>
              <w:pStyle w:val="2"/>
              <w:widowControl/>
              <w:autoSpaceDE w:val="0"/>
              <w:spacing w:line="560" w:lineRule="atLeast"/>
              <w:ind w:left="98"/>
              <w:jc w:val="center"/>
              <w:rPr>
                <w:rFonts w:hint="default" w:ascii="Times New Roman" w:hAnsi="Times New Roman" w:cs="Times New Roman"/>
              </w:rPr>
            </w:pPr>
            <w:r>
              <w:rPr>
                <w:rFonts w:hint="default" w:ascii="Times New Roman" w:hAnsi="Times New Roman" w:cs="Times New Roman"/>
                <w:sz w:val="21"/>
                <w:szCs w:val="21"/>
              </w:rPr>
              <w:t>行政许可</w:t>
            </w:r>
          </w:p>
        </w:tc>
        <w:tc>
          <w:tcPr>
            <w:tcW w:w="4840" w:type="dxa"/>
            <w:gridSpan w:val="3"/>
            <w:tcBorders>
              <w:top w:val="nil"/>
              <w:left w:val="nil"/>
              <w:bottom w:val="single" w:color="646487"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r>
      <w:tr>
        <w:tblPrEx>
          <w:tblCellMar>
            <w:top w:w="15" w:type="dxa"/>
            <w:left w:w="15" w:type="dxa"/>
            <w:bottom w:w="15" w:type="dxa"/>
            <w:right w:w="15" w:type="dxa"/>
          </w:tblCellMar>
        </w:tblPrEx>
        <w:trPr>
          <w:trHeight w:val="623" w:hRule="atLeast"/>
        </w:trPr>
        <w:tc>
          <w:tcPr>
            <w:tcW w:w="8124" w:type="dxa"/>
            <w:gridSpan w:val="4"/>
            <w:tcBorders>
              <w:top w:val="nil"/>
              <w:left w:val="single" w:color="3B3B44" w:sz="8" w:space="0"/>
              <w:bottom w:val="single" w:color="607087"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ind w:left="15"/>
              <w:jc w:val="center"/>
              <w:rPr>
                <w:rFonts w:hint="default" w:ascii="Times New Roman" w:hAnsi="Times New Roman" w:cs="Times New Roman"/>
              </w:rPr>
            </w:pPr>
            <w:r>
              <w:rPr>
                <w:rFonts w:hint="default" w:ascii="Times New Roman" w:hAnsi="Times New Roman" w:cs="Times New Roman"/>
                <w:sz w:val="21"/>
                <w:szCs w:val="21"/>
              </w:rPr>
              <w:t>第二十条 第（六</w:t>
            </w:r>
            <w:r>
              <w:rPr>
                <w:rFonts w:hint="default" w:ascii="Times New Roman" w:hAnsi="Times New Roman" w:eastAsia="宋体" w:cs="Times New Roman"/>
                <w:sz w:val="21"/>
                <w:szCs w:val="21"/>
              </w:rPr>
              <w:t>）</w:t>
            </w:r>
            <w:r>
              <w:rPr>
                <w:rFonts w:hint="default" w:ascii="Times New Roman" w:hAnsi="Times New Roman" w:cs="Times New Roman"/>
                <w:sz w:val="21"/>
                <w:szCs w:val="21"/>
              </w:rPr>
              <w:t>项</w:t>
            </w:r>
          </w:p>
        </w:tc>
      </w:tr>
      <w:tr>
        <w:tblPrEx>
          <w:tblCellMar>
            <w:top w:w="15" w:type="dxa"/>
            <w:left w:w="15" w:type="dxa"/>
            <w:bottom w:w="15" w:type="dxa"/>
            <w:right w:w="15" w:type="dxa"/>
          </w:tblCellMar>
        </w:tblPrEx>
        <w:trPr>
          <w:trHeight w:val="627" w:hRule="atLeast"/>
        </w:trPr>
        <w:tc>
          <w:tcPr>
            <w:tcW w:w="3284" w:type="dxa"/>
            <w:tcBorders>
              <w:top w:val="nil"/>
              <w:left w:val="single" w:color="3B3B44" w:sz="8" w:space="0"/>
              <w:bottom w:val="single" w:color="8C7774" w:sz="8" w:space="0"/>
              <w:right w:val="single" w:color="909093" w:sz="8" w:space="0"/>
            </w:tcBorders>
            <w:shd w:val="clear" w:color="auto" w:fill="auto"/>
            <w:tcMar>
              <w:top w:w="0" w:type="dxa"/>
              <w:left w:w="0" w:type="dxa"/>
              <w:bottom w:w="0" w:type="dxa"/>
              <w:right w:w="0" w:type="dxa"/>
            </w:tcMar>
          </w:tcPr>
          <w:p>
            <w:pPr>
              <w:pStyle w:val="2"/>
              <w:widowControl/>
              <w:autoSpaceDE w:val="0"/>
              <w:spacing w:line="560" w:lineRule="atLeast"/>
              <w:ind w:right="8"/>
              <w:jc w:val="center"/>
              <w:rPr>
                <w:rFonts w:hint="default" w:ascii="Times New Roman" w:hAnsi="Times New Roman" w:cs="Times New Roman"/>
              </w:rPr>
            </w:pPr>
            <w:r>
              <w:rPr>
                <w:rFonts w:hint="default" w:ascii="Times New Roman" w:hAnsi="Times New Roman" w:cs="Times New Roman"/>
                <w:sz w:val="21"/>
                <w:szCs w:val="21"/>
              </w:rPr>
              <w:t>信息内容</w:t>
            </w:r>
          </w:p>
        </w:tc>
        <w:tc>
          <w:tcPr>
            <w:tcW w:w="4840" w:type="dxa"/>
            <w:gridSpan w:val="3"/>
            <w:tcBorders>
              <w:top w:val="single" w:color="607087" w:sz="8" w:space="0"/>
              <w:left w:val="nil"/>
              <w:bottom w:val="single" w:color="747074"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ind w:right="13"/>
              <w:jc w:val="center"/>
              <w:rPr>
                <w:rFonts w:hint="default" w:ascii="Times New Roman" w:hAnsi="Times New Roman" w:cs="Times New Roman"/>
              </w:rPr>
            </w:pPr>
            <w:r>
              <w:rPr>
                <w:rFonts w:hint="default" w:ascii="Times New Roman" w:hAnsi="Times New Roman" w:cs="Times New Roman"/>
                <w:sz w:val="21"/>
                <w:szCs w:val="21"/>
              </w:rPr>
              <w:t>本年处理决定数量</w:t>
            </w:r>
          </w:p>
        </w:tc>
      </w:tr>
      <w:tr>
        <w:tblPrEx>
          <w:tblCellMar>
            <w:top w:w="15" w:type="dxa"/>
            <w:left w:w="15" w:type="dxa"/>
            <w:bottom w:w="15" w:type="dxa"/>
            <w:right w:w="15" w:type="dxa"/>
          </w:tblCellMar>
        </w:tblPrEx>
        <w:trPr>
          <w:trHeight w:val="624" w:hRule="atLeast"/>
        </w:trPr>
        <w:tc>
          <w:tcPr>
            <w:tcW w:w="3284" w:type="dxa"/>
            <w:tcBorders>
              <w:top w:val="nil"/>
              <w:left w:val="single" w:color="3B3B44" w:sz="8" w:space="0"/>
              <w:bottom w:val="single" w:color="7C6B74" w:sz="8" w:space="0"/>
              <w:right w:val="single" w:color="909093" w:sz="8" w:space="0"/>
            </w:tcBorders>
            <w:shd w:val="clear" w:color="auto" w:fill="auto"/>
            <w:tcMar>
              <w:top w:w="0" w:type="dxa"/>
              <w:left w:w="0" w:type="dxa"/>
              <w:bottom w:w="0" w:type="dxa"/>
              <w:right w:w="0" w:type="dxa"/>
            </w:tcMar>
          </w:tcPr>
          <w:p>
            <w:pPr>
              <w:pStyle w:val="2"/>
              <w:widowControl/>
              <w:autoSpaceDE w:val="0"/>
              <w:spacing w:line="560" w:lineRule="atLeast"/>
              <w:ind w:left="102"/>
              <w:jc w:val="center"/>
              <w:rPr>
                <w:rFonts w:hint="default" w:ascii="Times New Roman" w:hAnsi="Times New Roman" w:cs="Times New Roman"/>
              </w:rPr>
            </w:pPr>
            <w:r>
              <w:rPr>
                <w:rFonts w:hint="default" w:ascii="Times New Roman" w:hAnsi="Times New Roman" w:cs="Times New Roman"/>
                <w:sz w:val="21"/>
                <w:szCs w:val="21"/>
              </w:rPr>
              <w:t>行政处罚</w:t>
            </w:r>
          </w:p>
        </w:tc>
        <w:tc>
          <w:tcPr>
            <w:tcW w:w="4840" w:type="dxa"/>
            <w:gridSpan w:val="3"/>
            <w:tcBorders>
              <w:top w:val="nil"/>
              <w:left w:val="nil"/>
              <w:bottom w:val="single" w:color="7C6B74"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r>
      <w:tr>
        <w:tblPrEx>
          <w:tblCellMar>
            <w:top w:w="15" w:type="dxa"/>
            <w:left w:w="15" w:type="dxa"/>
            <w:bottom w:w="15" w:type="dxa"/>
            <w:right w:w="15" w:type="dxa"/>
          </w:tblCellMar>
        </w:tblPrEx>
        <w:trPr>
          <w:trHeight w:val="618" w:hRule="atLeast"/>
        </w:trPr>
        <w:tc>
          <w:tcPr>
            <w:tcW w:w="3284" w:type="dxa"/>
            <w:tcBorders>
              <w:top w:val="nil"/>
              <w:left w:val="single" w:color="3B3B44" w:sz="8" w:space="0"/>
              <w:bottom w:val="single" w:color="646080" w:sz="8" w:space="0"/>
              <w:right w:val="single" w:color="909093" w:sz="8" w:space="0"/>
            </w:tcBorders>
            <w:shd w:val="clear" w:color="auto" w:fill="auto"/>
            <w:tcMar>
              <w:top w:w="0" w:type="dxa"/>
              <w:left w:w="0" w:type="dxa"/>
              <w:bottom w:w="0" w:type="dxa"/>
              <w:right w:w="0" w:type="dxa"/>
            </w:tcMar>
          </w:tcPr>
          <w:p>
            <w:pPr>
              <w:pStyle w:val="2"/>
              <w:widowControl/>
              <w:autoSpaceDE w:val="0"/>
              <w:spacing w:line="560" w:lineRule="atLeast"/>
              <w:ind w:left="107"/>
              <w:jc w:val="center"/>
              <w:rPr>
                <w:rFonts w:hint="default" w:ascii="Times New Roman" w:hAnsi="Times New Roman" w:cs="Times New Roman"/>
              </w:rPr>
            </w:pPr>
            <w:r>
              <w:rPr>
                <w:rFonts w:hint="default" w:ascii="Times New Roman" w:hAnsi="Times New Roman" w:cs="Times New Roman"/>
                <w:sz w:val="21"/>
                <w:szCs w:val="21"/>
              </w:rPr>
              <w:t>行政强制</w:t>
            </w:r>
          </w:p>
        </w:tc>
        <w:tc>
          <w:tcPr>
            <w:tcW w:w="4840" w:type="dxa"/>
            <w:gridSpan w:val="3"/>
            <w:tcBorders>
              <w:top w:val="nil"/>
              <w:left w:val="nil"/>
              <w:bottom w:val="single" w:color="646080" w:sz="8" w:space="0"/>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r>
      <w:tr>
        <w:tblPrEx>
          <w:tblCellMar>
            <w:top w:w="15" w:type="dxa"/>
            <w:left w:w="15" w:type="dxa"/>
            <w:bottom w:w="15" w:type="dxa"/>
            <w:right w:w="15" w:type="dxa"/>
          </w:tblCellMar>
        </w:tblPrEx>
        <w:trPr>
          <w:trHeight w:val="626" w:hRule="atLeast"/>
        </w:trPr>
        <w:tc>
          <w:tcPr>
            <w:tcW w:w="8124" w:type="dxa"/>
            <w:gridSpan w:val="4"/>
            <w:tcBorders>
              <w:top w:val="nil"/>
              <w:left w:val="single" w:color="3B3B44" w:sz="8" w:space="0"/>
              <w:bottom w:val="nil"/>
              <w:right w:val="single" w:color="3B3B3F" w:sz="8" w:space="0"/>
            </w:tcBorders>
            <w:shd w:val="clear" w:color="auto" w:fill="auto"/>
            <w:tcMar>
              <w:top w:w="0" w:type="dxa"/>
              <w:left w:w="0" w:type="dxa"/>
              <w:bottom w:w="0" w:type="dxa"/>
              <w:right w:w="0" w:type="dxa"/>
            </w:tcMar>
          </w:tcPr>
          <w:p>
            <w:pPr>
              <w:pStyle w:val="2"/>
              <w:widowControl/>
              <w:autoSpaceDE w:val="0"/>
              <w:spacing w:line="560" w:lineRule="atLeast"/>
              <w:ind w:left="25"/>
              <w:jc w:val="center"/>
              <w:rPr>
                <w:rFonts w:hint="default" w:ascii="Times New Roman" w:hAnsi="Times New Roman" w:cs="Times New Roman"/>
              </w:rPr>
            </w:pPr>
            <w:r>
              <w:rPr>
                <w:rFonts w:hint="default" w:ascii="Times New Roman" w:hAnsi="Times New Roman" w:cs="Times New Roman"/>
                <w:sz w:val="21"/>
                <w:szCs w:val="21"/>
              </w:rPr>
              <w:t>第二十条 第 （八） 项</w:t>
            </w:r>
          </w:p>
        </w:tc>
      </w:tr>
      <w:tr>
        <w:tblPrEx>
          <w:tblCellMar>
            <w:top w:w="15" w:type="dxa"/>
            <w:left w:w="15" w:type="dxa"/>
            <w:bottom w:w="15" w:type="dxa"/>
            <w:right w:w="15" w:type="dxa"/>
          </w:tblCellMar>
        </w:tblPrEx>
        <w:trPr>
          <w:trHeight w:val="621" w:hRule="atLeast"/>
        </w:trPr>
        <w:tc>
          <w:tcPr>
            <w:tcW w:w="3284" w:type="dxa"/>
            <w:tcBorders>
              <w:top w:val="single" w:color="6B747C" w:sz="8" w:space="0"/>
              <w:left w:val="single" w:color="5B5B60" w:sz="8" w:space="0"/>
              <w:bottom w:val="single" w:color="77778C" w:sz="8" w:space="0"/>
              <w:right w:val="single" w:color="auto" w:sz="8" w:space="0"/>
            </w:tcBorders>
            <w:shd w:val="clear" w:color="auto" w:fill="auto"/>
            <w:tcMar>
              <w:top w:w="0" w:type="dxa"/>
              <w:left w:w="0" w:type="dxa"/>
              <w:bottom w:w="0" w:type="dxa"/>
              <w:right w:w="0" w:type="dxa"/>
            </w:tcMar>
          </w:tcPr>
          <w:p>
            <w:pPr>
              <w:pStyle w:val="2"/>
              <w:widowControl/>
              <w:autoSpaceDE w:val="0"/>
              <w:spacing w:line="560" w:lineRule="atLeast"/>
              <w:ind w:right="1"/>
              <w:jc w:val="center"/>
              <w:rPr>
                <w:rFonts w:hint="default" w:ascii="Times New Roman" w:hAnsi="Times New Roman" w:cs="Times New Roman"/>
              </w:rPr>
            </w:pPr>
            <w:r>
              <w:rPr>
                <w:rFonts w:hint="default" w:ascii="Times New Roman" w:hAnsi="Times New Roman" w:cs="Times New Roman"/>
                <w:sz w:val="21"/>
                <w:szCs w:val="21"/>
              </w:rPr>
              <w:t>信息内容</w:t>
            </w:r>
          </w:p>
        </w:tc>
        <w:tc>
          <w:tcPr>
            <w:tcW w:w="4840" w:type="dxa"/>
            <w:gridSpan w:val="3"/>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tcPr>
          <w:p>
            <w:pPr>
              <w:pStyle w:val="2"/>
              <w:widowControl/>
              <w:autoSpaceDE w:val="0"/>
              <w:spacing w:line="560" w:lineRule="atLeast"/>
              <w:ind w:left="1446"/>
              <w:rPr>
                <w:rFonts w:hint="default" w:ascii="Times New Roman" w:hAnsi="Times New Roman" w:cs="Times New Roman"/>
              </w:rPr>
            </w:pPr>
            <w:r>
              <w:rPr>
                <w:rFonts w:hint="default" w:ascii="Times New Roman" w:hAnsi="Times New Roman" w:cs="Times New Roman"/>
                <w:sz w:val="21"/>
                <w:szCs w:val="21"/>
              </w:rPr>
              <w:t>本年收费金额  （单位 ：万元</w:t>
            </w:r>
            <w:r>
              <w:rPr>
                <w:rFonts w:hint="default" w:ascii="Times New Roman" w:hAnsi="Times New Roman" w:eastAsia="宋体" w:cs="Times New Roman"/>
                <w:sz w:val="21"/>
                <w:szCs w:val="21"/>
              </w:rPr>
              <w:t>）</w:t>
            </w:r>
          </w:p>
        </w:tc>
      </w:tr>
      <w:tr>
        <w:tblPrEx>
          <w:tblCellMar>
            <w:top w:w="15" w:type="dxa"/>
            <w:left w:w="15" w:type="dxa"/>
            <w:bottom w:w="15" w:type="dxa"/>
            <w:right w:w="15" w:type="dxa"/>
          </w:tblCellMar>
        </w:tblPrEx>
        <w:trPr>
          <w:trHeight w:val="626" w:hRule="atLeast"/>
        </w:trPr>
        <w:tc>
          <w:tcPr>
            <w:tcW w:w="3284" w:type="dxa"/>
            <w:tcBorders>
              <w:top w:val="nil"/>
              <w:left w:val="single" w:color="5B5B60" w:sz="8" w:space="0"/>
              <w:bottom w:val="single" w:color="3B383F" w:sz="8" w:space="0"/>
              <w:right w:val="single" w:color="8C8C93" w:sz="8" w:space="0"/>
            </w:tcBorders>
            <w:shd w:val="clear" w:color="auto" w:fill="auto"/>
            <w:tcMar>
              <w:top w:w="0" w:type="dxa"/>
              <w:left w:w="0" w:type="dxa"/>
              <w:bottom w:w="0" w:type="dxa"/>
              <w:right w:w="0" w:type="dxa"/>
            </w:tcMar>
          </w:tcPr>
          <w:p>
            <w:pPr>
              <w:pStyle w:val="2"/>
              <w:widowControl/>
              <w:autoSpaceDE w:val="0"/>
              <w:spacing w:line="560" w:lineRule="atLeast"/>
              <w:ind w:left="107"/>
              <w:jc w:val="center"/>
              <w:rPr>
                <w:rFonts w:hint="default" w:ascii="Times New Roman" w:hAnsi="Times New Roman" w:cs="Times New Roman"/>
              </w:rPr>
            </w:pPr>
            <w:r>
              <w:rPr>
                <w:rFonts w:hint="default" w:ascii="Times New Roman" w:hAnsi="Times New Roman" w:cs="Times New Roman"/>
                <w:sz w:val="21"/>
                <w:szCs w:val="21"/>
              </w:rPr>
              <w:t>行政事业性收费</w:t>
            </w:r>
          </w:p>
        </w:tc>
        <w:tc>
          <w:tcPr>
            <w:tcW w:w="4840" w:type="dxa"/>
            <w:gridSpan w:val="3"/>
            <w:tcBorders>
              <w:top w:val="nil"/>
              <w:left w:val="nil"/>
              <w:bottom w:val="single" w:color="3B383F" w:sz="8" w:space="0"/>
              <w:right w:val="single" w:color="3B3B44" w:sz="8" w:space="0"/>
            </w:tcBorders>
            <w:shd w:val="clear" w:color="auto" w:fill="auto"/>
            <w:tcMar>
              <w:top w:w="0" w:type="dxa"/>
              <w:left w:w="0" w:type="dxa"/>
              <w:bottom w:w="0" w:type="dxa"/>
              <w:right w:w="0" w:type="dxa"/>
            </w:tcMa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tbl>
      <w:tblPr>
        <w:tblStyle w:val="3"/>
        <w:tblW w:w="93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36"/>
        <w:gridCol w:w="1510"/>
        <w:gridCol w:w="2599"/>
        <w:gridCol w:w="552"/>
        <w:gridCol w:w="688"/>
        <w:gridCol w:w="687"/>
        <w:gridCol w:w="688"/>
        <w:gridCol w:w="688"/>
        <w:gridCol w:w="690"/>
        <w:gridCol w:w="6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4745"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（本列数据的勾稽关系为：第一项加第二项之和，等于第三项加第四项之和）</w:t>
            </w:r>
          </w:p>
        </w:tc>
        <w:tc>
          <w:tcPr>
            <w:tcW w:w="465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474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55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自然人</w:t>
            </w:r>
          </w:p>
        </w:tc>
        <w:tc>
          <w:tcPr>
            <w:tcW w:w="3441"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法人或其他组织</w:t>
            </w:r>
          </w:p>
        </w:tc>
        <w:tc>
          <w:tcPr>
            <w:tcW w:w="66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jc w:val="center"/>
        </w:trPr>
        <w:tc>
          <w:tcPr>
            <w:tcW w:w="474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55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商业企业</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科研机构</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法律服务机构</w:t>
            </w:r>
          </w:p>
        </w:tc>
        <w:tc>
          <w:tcPr>
            <w:tcW w:w="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其他</w:t>
            </w:r>
          </w:p>
        </w:tc>
        <w:tc>
          <w:tcPr>
            <w:tcW w:w="66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8" w:hRule="atLeast"/>
          <w:jc w:val="center"/>
        </w:trPr>
        <w:tc>
          <w:tcPr>
            <w:tcW w:w="474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一、本年新收政府信息公开申请数量</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4</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jc w:val="center"/>
        </w:trPr>
        <w:tc>
          <w:tcPr>
            <w:tcW w:w="474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二、上年结转政府信息公开申请数量</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7"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三、本年度办理结果</w:t>
            </w:r>
          </w:p>
        </w:tc>
        <w:tc>
          <w:tcPr>
            <w:tcW w:w="41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（一）予以公开</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41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（二）部分公开（区分处理的，只计这一情形，不计其他情形）</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（三）不予公开</w:t>
            </w: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1．属于国家秘密</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2．其他法律行政法规禁止公开</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3．危及“三安全一稳定”</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4．保护第三方合法权益</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5．属于三类内部事务信息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6．属于四类过程性信息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7．属于行政执法案卷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8．属于行政查询事项</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1"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（四）无法提供</w:t>
            </w: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1．本机关不掌握相关政府信息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3</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7"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2．没有现成信息需要另行制作</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3．补正后申请内容仍不明确</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（五）不予处理</w:t>
            </w: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1．信访举报投诉类申请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2．重复申请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2"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3．要求提供公开出版物</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4．无正当理由大量反复申请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ind w:left="180" w:hanging="180"/>
              <w:rPr>
                <w:rFonts w:hint="default" w:ascii="Times New Roman" w:hAnsi="Times New Roman" w:cs="Times New Roman"/>
              </w:rPr>
            </w:pPr>
            <w:r>
              <w:rPr>
                <w:rFonts w:hint="default" w:ascii="Times New Roman" w:hAnsi="Times New Roman" w:eastAsia="宋体" w:cs="Times New Roman"/>
                <w:sz w:val="18"/>
                <w:szCs w:val="18"/>
              </w:rPr>
              <w:t>5．要求行政机关确认或重新出具已获取信息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（六）其他处理</w:t>
            </w: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ind w:left="180" w:hanging="180"/>
              <w:rPr>
                <w:rFonts w:hint="default" w:ascii="Times New Roman" w:hAnsi="Times New Roman" w:cs="Times New Roman"/>
              </w:rPr>
            </w:pPr>
            <w:r>
              <w:rPr>
                <w:rFonts w:hint="default" w:ascii="Times New Roman" w:hAnsi="Times New Roman" w:eastAsia="宋体" w:cs="Times New Roman"/>
                <w:sz w:val="18"/>
                <w:szCs w:val="18"/>
              </w:rPr>
              <w:t>1.申请人无正当理由逾期不补正、行政机关不再处理其政府信息公开申请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ind w:left="180" w:hanging="180"/>
              <w:rPr>
                <w:rFonts w:hint="default" w:ascii="Times New Roman" w:hAnsi="Times New Roman" w:cs="Times New Roman"/>
              </w:rPr>
            </w:pPr>
            <w:r>
              <w:rPr>
                <w:rFonts w:hint="default" w:ascii="Times New Roman" w:hAnsi="Times New Roman" w:eastAsia="宋体" w:cs="Times New Roman"/>
                <w:sz w:val="18"/>
                <w:szCs w:val="18"/>
              </w:rPr>
              <w:t>2.申请人逾期未按收费通知 要求缴纳费用、行政机关不再处理其政府信息公开申请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15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2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ind w:left="180" w:hanging="180"/>
              <w:rPr>
                <w:rFonts w:hint="default" w:ascii="Times New Roman" w:hAnsi="Times New Roman" w:cs="Times New Roman"/>
              </w:rPr>
            </w:pPr>
            <w:r>
              <w:rPr>
                <w:rFonts w:hint="default" w:ascii="Times New Roman" w:hAnsi="Times New Roman" w:eastAsia="宋体" w:cs="Times New Roman"/>
                <w:sz w:val="18"/>
                <w:szCs w:val="18"/>
              </w:rPr>
              <w:t>3.其他</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41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（七）总计</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4</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474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四、结转下年度继续办理</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sz w:val="32"/>
          <w:szCs w:val="32"/>
          <w:lang w:val="en-US" w:eastAsia="zh-CN"/>
        </w:rPr>
        <w:t>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tbl>
      <w:tblPr>
        <w:tblStyle w:val="3"/>
        <w:tblW w:w="971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54"/>
        <w:gridCol w:w="708"/>
        <w:gridCol w:w="709"/>
        <w:gridCol w:w="706"/>
        <w:gridCol w:w="428"/>
        <w:gridCol w:w="708"/>
        <w:gridCol w:w="709"/>
        <w:gridCol w:w="709"/>
        <w:gridCol w:w="709"/>
        <w:gridCol w:w="426"/>
        <w:gridCol w:w="709"/>
        <w:gridCol w:w="708"/>
        <w:gridCol w:w="709"/>
        <w:gridCol w:w="694"/>
        <w:gridCol w:w="4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320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行政复议</w:t>
            </w:r>
          </w:p>
        </w:tc>
        <w:tc>
          <w:tcPr>
            <w:tcW w:w="650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jc w:val="center"/>
        </w:trPr>
        <w:tc>
          <w:tcPr>
            <w:tcW w:w="65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结果维持</w:t>
            </w:r>
          </w:p>
        </w:tc>
        <w:tc>
          <w:tcPr>
            <w:tcW w:w="70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结果纠正</w:t>
            </w:r>
          </w:p>
        </w:tc>
        <w:tc>
          <w:tcPr>
            <w:tcW w:w="70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其他结果</w:t>
            </w:r>
          </w:p>
        </w:tc>
        <w:tc>
          <w:tcPr>
            <w:tcW w:w="706"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尚未审结</w:t>
            </w:r>
          </w:p>
        </w:tc>
        <w:tc>
          <w:tcPr>
            <w:tcW w:w="42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总计</w:t>
            </w:r>
          </w:p>
        </w:tc>
        <w:tc>
          <w:tcPr>
            <w:tcW w:w="3261"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未经复议直接起诉</w:t>
            </w:r>
          </w:p>
        </w:tc>
        <w:tc>
          <w:tcPr>
            <w:tcW w:w="3246"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 w:hRule="atLeast"/>
          <w:jc w:val="center"/>
        </w:trPr>
        <w:tc>
          <w:tcPr>
            <w:tcW w:w="6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7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70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706"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42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rPr>
            </w:pP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结果维持</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结果纠正</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其他结果</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尚未审结</w:t>
            </w:r>
          </w:p>
        </w:tc>
        <w:tc>
          <w:tcPr>
            <w:tcW w:w="4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总计</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结果维持</w:t>
            </w:r>
          </w:p>
        </w:tc>
        <w:tc>
          <w:tcPr>
            <w:tcW w:w="7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结果纠正</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其他结果</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尚未审结</w:t>
            </w:r>
          </w:p>
        </w:tc>
        <w:tc>
          <w:tcPr>
            <w:tcW w:w="4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jc w:val="center"/>
              <w:rPr>
                <w:rFonts w:hint="default" w:ascii="Times New Roman" w:hAnsi="Times New Roman" w:cs="Times New Roman"/>
              </w:rPr>
            </w:pPr>
            <w:r>
              <w:rPr>
                <w:rFonts w:hint="default" w:ascii="Times New Roman" w:hAnsi="Times New Roman" w:eastAsia="宋体"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6" w:hRule="atLeast"/>
          <w:jc w:val="center"/>
        </w:trPr>
        <w:tc>
          <w:tcPr>
            <w:tcW w:w="6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0</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18"/>
                <w:szCs w:val="18"/>
              </w:rPr>
              <w:t>0</w:t>
            </w:r>
          </w:p>
        </w:tc>
        <w:tc>
          <w:tcPr>
            <w:tcW w:w="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eastAsia="宋体" w:cs="Times New Roman"/>
                <w:lang w:val="en-US" w:eastAsia="zh-CN"/>
              </w:rPr>
            </w:pPr>
            <w:r>
              <w:rPr>
                <w:rFonts w:hint="default" w:ascii="Times New Roman" w:hAnsi="Times New Roman" w:eastAsia="宋体" w:cs="Times New Roman"/>
                <w:sz w:val="21"/>
                <w:szCs w:val="21"/>
                <w:lang w:val="en-US" w:eastAsia="zh-CN"/>
              </w:rPr>
              <w:t>1(撤诉）</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eastAsiaTheme="minorEastAsia"/>
                <w:lang w:eastAsia="zh-CN"/>
              </w:rPr>
            </w:pPr>
            <w:r>
              <w:rPr>
                <w:rFonts w:hint="default" w:ascii="Times New Roman" w:hAnsi="Times New Roman" w:eastAsia="宋体" w:cs="Times New Roman"/>
                <w:sz w:val="21"/>
                <w:szCs w:val="21"/>
                <w:lang w:val="en-US" w:eastAsia="zh-CN"/>
              </w:rPr>
              <w:t>1</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c>
          <w:tcPr>
            <w:tcW w:w="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widowControl/>
              <w:autoSpaceDE w:val="0"/>
              <w:spacing w:line="560" w:lineRule="atLeast"/>
              <w:rPr>
                <w:rFonts w:hint="default" w:ascii="Times New Roman" w:hAnsi="Times New Roman" w:cs="Times New Roman"/>
              </w:rPr>
            </w:pPr>
            <w:r>
              <w:rPr>
                <w:rFonts w:hint="default" w:ascii="Times New Roman" w:hAnsi="Times New Roman" w:eastAsia="宋体" w:cs="Times New Roman"/>
                <w:sz w:val="21"/>
                <w:szCs w:val="21"/>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（一）存在问题。</w:t>
      </w:r>
      <w:r>
        <w:rPr>
          <w:rFonts w:hint="default" w:ascii="Times New Roman" w:hAnsi="Times New Roman" w:eastAsia="仿宋_GB2312" w:cs="Times New Roman"/>
          <w:sz w:val="32"/>
          <w:szCs w:val="32"/>
          <w:lang w:val="en-US" w:eastAsia="zh-CN"/>
        </w:rPr>
        <w:t>一是受工作人员变动影响，公开存在更新时间上的滞后性。上半年，因工作调整影响，负责政务公开的工作人员变动情况多，造成很长一段时间内政务公开工作人员捋顺不清单位需要公开的信息事项，办局工作人员有信息找不到公开的方式渠道，致使部分信息发布混乱、公开延迟。二是信息公开力度不够大，范围不够广。栏目更新力度不一，公开不均衡，往往围绕个别重点栏目更新，导致信息公开范围小，公开栏目单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（二）改进措施。</w:t>
      </w:r>
      <w:r>
        <w:rPr>
          <w:rFonts w:hint="default" w:ascii="Times New Roman" w:hAnsi="Times New Roman" w:eastAsia="仿宋_GB2312" w:cs="Times New Roman"/>
          <w:sz w:val="32"/>
          <w:szCs w:val="32"/>
          <w:lang w:val="en-US" w:eastAsia="zh-CN"/>
        </w:rPr>
        <w:t>一是紧跟上级步伐，及时公开、更新相关政策和信息，加强信息审核和办局间信息资源互通互享，确保信息数据发布不遗漏、不重复、有质量。二是做好做实信息公开，尽量多公开，丰富公开的栏目，针对群众关注的问题领域，做到“能公开多公开，应公开尽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收取信息</w:t>
      </w:r>
      <w:r>
        <w:rPr>
          <w:rFonts w:hint="default" w:ascii="Times New Roman" w:hAnsi="Times New Roman" w:eastAsia="楷体_GB2312" w:cs="Times New Roman"/>
          <w:sz w:val="32"/>
          <w:szCs w:val="32"/>
          <w:lang w:val="en-US" w:eastAsia="zh-CN"/>
        </w:rPr>
        <w:t>处理费情况。</w:t>
      </w:r>
      <w:r>
        <w:rPr>
          <w:rFonts w:hint="default" w:ascii="Times New Roman" w:hAnsi="Times New Roman" w:eastAsia="仿宋_GB2312" w:cs="Times New Roman"/>
          <w:color w:val="000000"/>
          <w:sz w:val="32"/>
          <w:szCs w:val="32"/>
        </w:rPr>
        <w:t>本年度未有收取信息处理费情况。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本年度建议</w:t>
      </w:r>
      <w:r>
        <w:rPr>
          <w:rFonts w:hint="default" w:ascii="Times New Roman" w:hAnsi="Times New Roman" w:eastAsia="楷体_GB2312" w:cs="Times New Roman"/>
          <w:sz w:val="32"/>
          <w:szCs w:val="32"/>
          <w:lang w:val="en-US" w:eastAsia="zh-CN"/>
        </w:rPr>
        <w:t>提案办理情况。</w:t>
      </w:r>
      <w:r>
        <w:rPr>
          <w:rFonts w:hint="default" w:ascii="Times New Roman" w:hAnsi="Times New Roman" w:eastAsia="仿宋_GB2312" w:cs="Times New Roman"/>
          <w:color w:val="000000"/>
          <w:sz w:val="32"/>
          <w:szCs w:val="32"/>
          <w:lang w:val="en-US" w:eastAsia="zh-CN"/>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年，共承办人大代表建议</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承办政协提案</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年度工作要点落实情况</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2023年，金山镇</w:t>
      </w:r>
      <w:r>
        <w:rPr>
          <w:rFonts w:hint="default" w:ascii="Times New Roman" w:hAnsi="Times New Roman" w:eastAsia="仿宋_GB2312" w:cs="Times New Roman"/>
          <w:color w:val="000000"/>
          <w:sz w:val="32"/>
          <w:szCs w:val="32"/>
        </w:rPr>
        <w:t>配齐配强承担政务公开工作人员，加大政务公开工作指导力度，</w:t>
      </w:r>
      <w:r>
        <w:rPr>
          <w:rFonts w:hint="default" w:ascii="Times New Roman" w:hAnsi="Times New Roman" w:eastAsia="仿宋_GB2312" w:cs="Times New Roman"/>
          <w:color w:val="000000"/>
          <w:sz w:val="32"/>
          <w:szCs w:val="32"/>
          <w:lang w:eastAsia="zh-CN"/>
        </w:rPr>
        <w:t>严格按照《中华人民共和国政府信息公开条例》等有关法规文件要求，依法依规做好政府信息依申请公开答复工作，持续深化政策高质量解读和舆情回应，推进更高水平政府信息公开。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政务公开工作创新情况</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color w:val="000000"/>
          <w:sz w:val="32"/>
          <w:szCs w:val="32"/>
        </w:rPr>
        <w:t>围绕</w:t>
      </w:r>
      <w:r>
        <w:rPr>
          <w:rFonts w:hint="default" w:ascii="Times New Roman" w:hAnsi="Times New Roman" w:eastAsia="仿宋_GB2312" w:cs="Times New Roman"/>
          <w:color w:val="000000"/>
          <w:sz w:val="32"/>
          <w:szCs w:val="32"/>
          <w:lang w:eastAsia="zh-CN"/>
        </w:rPr>
        <w:t>全镇</w:t>
      </w:r>
      <w:r>
        <w:rPr>
          <w:rFonts w:hint="default" w:ascii="Times New Roman" w:hAnsi="Times New Roman" w:eastAsia="仿宋_GB2312" w:cs="Times New Roman"/>
          <w:color w:val="000000"/>
          <w:sz w:val="32"/>
          <w:szCs w:val="32"/>
        </w:rPr>
        <w:t>重点工作、</w:t>
      </w:r>
      <w:r>
        <w:rPr>
          <w:rFonts w:hint="default" w:ascii="Times New Roman" w:hAnsi="Times New Roman" w:eastAsia="仿宋_GB2312" w:cs="Times New Roman"/>
          <w:color w:val="000000"/>
          <w:sz w:val="32"/>
          <w:szCs w:val="32"/>
          <w:lang w:eastAsia="zh-CN"/>
        </w:rPr>
        <w:t>特色</w:t>
      </w:r>
      <w:r>
        <w:rPr>
          <w:rFonts w:hint="default" w:ascii="Times New Roman" w:hAnsi="Times New Roman" w:eastAsia="仿宋_GB2312" w:cs="Times New Roman"/>
          <w:color w:val="000000"/>
          <w:sz w:val="32"/>
          <w:szCs w:val="32"/>
        </w:rPr>
        <w:t>活动，充分调动</w:t>
      </w:r>
      <w:r>
        <w:rPr>
          <w:rFonts w:hint="default" w:ascii="Times New Roman" w:hAnsi="Times New Roman" w:eastAsia="仿宋_GB2312" w:cs="Times New Roman"/>
          <w:color w:val="000000"/>
          <w:sz w:val="32"/>
          <w:szCs w:val="32"/>
          <w:lang w:eastAsia="zh-CN"/>
        </w:rPr>
        <w:t>大众</w:t>
      </w:r>
      <w:r>
        <w:rPr>
          <w:rFonts w:hint="default" w:ascii="Times New Roman" w:hAnsi="Times New Roman" w:eastAsia="仿宋_GB2312" w:cs="Times New Roman"/>
          <w:color w:val="000000"/>
          <w:sz w:val="32"/>
          <w:szCs w:val="32"/>
        </w:rPr>
        <w:t>媒体聚焦赋能</w:t>
      </w:r>
      <w:r>
        <w:rPr>
          <w:rFonts w:hint="default" w:ascii="Times New Roman" w:hAnsi="Times New Roman" w:eastAsia="仿宋_GB2312" w:cs="Times New Roman"/>
          <w:color w:val="000000"/>
          <w:sz w:val="32"/>
          <w:szCs w:val="32"/>
          <w:lang w:eastAsia="zh-CN"/>
        </w:rPr>
        <w:t>镇经济</w:t>
      </w:r>
      <w:r>
        <w:rPr>
          <w:rFonts w:hint="default" w:ascii="Times New Roman" w:hAnsi="Times New Roman" w:eastAsia="仿宋_GB2312" w:cs="Times New Roman"/>
          <w:color w:val="000000"/>
          <w:sz w:val="32"/>
          <w:szCs w:val="32"/>
        </w:rPr>
        <w:t>发展</w:t>
      </w:r>
      <w:r>
        <w:rPr>
          <w:rFonts w:hint="default" w:ascii="Times New Roman" w:hAnsi="Times New Roman" w:eastAsia="仿宋_GB2312" w:cs="Times New Roman"/>
          <w:color w:val="000000"/>
          <w:sz w:val="32"/>
          <w:szCs w:val="32"/>
          <w:lang w:eastAsia="zh-CN"/>
        </w:rPr>
        <w:t>、乡村振兴</w:t>
      </w:r>
      <w:r>
        <w:rPr>
          <w:rFonts w:hint="default" w:ascii="Times New Roman" w:hAnsi="Times New Roman" w:eastAsia="仿宋_GB2312" w:cs="Times New Roman"/>
          <w:color w:val="000000"/>
          <w:sz w:val="32"/>
          <w:szCs w:val="32"/>
        </w:rPr>
        <w:t>，挖掘亮点、创新形式，</w:t>
      </w:r>
      <w:r>
        <w:rPr>
          <w:rFonts w:hint="default" w:ascii="Times New Roman" w:hAnsi="Times New Roman" w:eastAsia="仿宋_GB2312" w:cs="Times New Roman"/>
          <w:color w:val="000000"/>
          <w:sz w:val="32"/>
          <w:szCs w:val="32"/>
          <w:lang w:eastAsia="zh-CN"/>
        </w:rPr>
        <w:t>丰富线上信息公开渠道</w:t>
      </w:r>
      <w:r>
        <w:rPr>
          <w:rFonts w:hint="default" w:ascii="Times New Roman" w:hAnsi="Times New Roman" w:eastAsia="仿宋_GB2312" w:cs="Times New Roman"/>
          <w:color w:val="000000"/>
          <w:sz w:val="32"/>
          <w:szCs w:val="32"/>
        </w:rPr>
        <w:t>。</w:t>
      </w:r>
    </w:p>
    <w:sectPr>
      <w:pgSz w:w="11906" w:h="16838"/>
      <w:pgMar w:top="2098"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MWQ3NDk1YTY2OTIzNzA3ODRkNmJkMzEyZGIyOWQifQ=="/>
  </w:docVars>
  <w:rsids>
    <w:rsidRoot w:val="07C517ED"/>
    <w:rsid w:val="07C517ED"/>
    <w:rsid w:val="0F046B18"/>
    <w:rsid w:val="0F67431B"/>
    <w:rsid w:val="25EB6B6E"/>
    <w:rsid w:val="36A32EC1"/>
    <w:rsid w:val="3FC46504"/>
    <w:rsid w:val="6CEA2DB4"/>
    <w:rsid w:val="E27B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2024-01-08T14:19:00Z</dcterms:created>
  <dc:creator>玛卡巴卡</dc:creator>
  <cp:lastModifiedBy>玛卡巴卡</cp:lastModifiedBy>
  <dcterms:modified xsi:type="dcterms:W3CDTF">2024-01-23T03:13:17Z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A6B5DE6A14394B2988CCA0B37204E93E_11</vt:lpwstr>
  </property>
</Properties>
</file>