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54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淄博市临淄中学</w:t>
      </w:r>
    </w:p>
    <w:p>
      <w:pPr>
        <w:suppressAutoHyphens/>
        <w:snapToGrid w:val="0"/>
        <w:spacing w:line="54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2022年体育、艺术特长生中考招生方案</w:t>
      </w:r>
    </w:p>
    <w:p>
      <w:pPr>
        <w:adjustRightInd w:val="0"/>
        <w:snapToGrid w:val="0"/>
        <w:spacing w:before="156" w:beforeLines="50" w:line="520" w:lineRule="exact"/>
        <w:ind w:firstLine="640" w:firstLineChars="200"/>
        <w:rPr>
          <w:rFonts w:ascii="仿宋" w:hAnsi="仿宋" w:eastAsia="仿宋" w:cs="仿宋"/>
          <w:sz w:val="32"/>
          <w:szCs w:val="32"/>
        </w:rPr>
      </w:pPr>
      <w:r>
        <w:rPr>
          <w:rFonts w:hint="eastAsia" w:ascii="仿宋" w:hAnsi="仿宋" w:eastAsia="仿宋" w:cs="仿宋"/>
          <w:sz w:val="32"/>
          <w:szCs w:val="32"/>
        </w:rPr>
        <w:t>为圆满完成我校2022年体育、艺术特长生中考招生工作，根据《</w:t>
      </w:r>
      <w:r>
        <w:rPr>
          <w:rFonts w:ascii="仿宋" w:hAnsi="仿宋" w:eastAsia="仿宋" w:cs="仿宋"/>
          <w:sz w:val="32"/>
          <w:szCs w:val="32"/>
        </w:rPr>
        <w:t>淄博市20</w:t>
      </w:r>
      <w:r>
        <w:rPr>
          <w:rFonts w:hint="eastAsia" w:ascii="仿宋" w:hAnsi="仿宋" w:eastAsia="仿宋" w:cs="仿宋"/>
          <w:sz w:val="32"/>
          <w:szCs w:val="32"/>
        </w:rPr>
        <w:t>22</w:t>
      </w:r>
      <w:r>
        <w:rPr>
          <w:rFonts w:ascii="仿宋" w:hAnsi="仿宋" w:eastAsia="仿宋" w:cs="仿宋"/>
          <w:sz w:val="32"/>
          <w:szCs w:val="32"/>
        </w:rPr>
        <w:t>年中考招生工作意见</w:t>
      </w:r>
      <w:r>
        <w:rPr>
          <w:rFonts w:hint="eastAsia" w:ascii="仿宋" w:hAnsi="仿宋" w:eastAsia="仿宋" w:cs="仿宋"/>
          <w:sz w:val="32"/>
          <w:szCs w:val="32"/>
        </w:rPr>
        <w:t>》文件精神，经淄博市教育局、临淄</w:t>
      </w:r>
      <w:r>
        <w:rPr>
          <w:rFonts w:ascii="仿宋" w:hAnsi="仿宋" w:eastAsia="仿宋" w:cs="仿宋"/>
          <w:sz w:val="32"/>
          <w:szCs w:val="32"/>
        </w:rPr>
        <w:t>区教育</w:t>
      </w:r>
      <w:r>
        <w:rPr>
          <w:rFonts w:hint="eastAsia" w:ascii="仿宋" w:hAnsi="仿宋" w:eastAsia="仿宋" w:cs="仿宋"/>
          <w:sz w:val="32"/>
          <w:szCs w:val="32"/>
        </w:rPr>
        <w:t>和体育局批准，结合学校实际，本着“公正、公平、公开”的原则，特制定本方案。</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招生工作领导小组</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组 </w:t>
      </w:r>
      <w:r>
        <w:rPr>
          <w:rFonts w:ascii="仿宋" w:hAnsi="仿宋" w:eastAsia="仿宋" w:cs="仿宋"/>
          <w:sz w:val="32"/>
          <w:szCs w:val="32"/>
        </w:rPr>
        <w:t xml:space="preserve"> </w:t>
      </w:r>
      <w:r>
        <w:rPr>
          <w:rFonts w:hint="eastAsia" w:ascii="仿宋" w:hAnsi="仿宋" w:eastAsia="仿宋" w:cs="仿宋"/>
          <w:sz w:val="32"/>
          <w:szCs w:val="32"/>
        </w:rPr>
        <w:t>长：杨希亮</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副组长：吕少学</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组 </w:t>
      </w:r>
      <w:r>
        <w:rPr>
          <w:rFonts w:ascii="仿宋" w:hAnsi="仿宋" w:eastAsia="仿宋" w:cs="仿宋"/>
          <w:sz w:val="32"/>
          <w:szCs w:val="32"/>
        </w:rPr>
        <w:t xml:space="preserve"> </w:t>
      </w:r>
      <w:r>
        <w:rPr>
          <w:rFonts w:hint="eastAsia" w:ascii="仿宋" w:hAnsi="仿宋" w:eastAsia="仿宋" w:cs="仿宋"/>
          <w:sz w:val="32"/>
          <w:szCs w:val="32"/>
        </w:rPr>
        <w:t xml:space="preserve">员：张仁成  王洪学 </w:t>
      </w:r>
      <w:r>
        <w:rPr>
          <w:rFonts w:ascii="仿宋" w:hAnsi="仿宋" w:eastAsia="仿宋" w:cs="仿宋"/>
          <w:sz w:val="32"/>
          <w:szCs w:val="32"/>
        </w:rPr>
        <w:t xml:space="preserve"> </w:t>
      </w:r>
      <w:r>
        <w:rPr>
          <w:rFonts w:hint="eastAsia" w:ascii="仿宋" w:hAnsi="仿宋" w:eastAsia="仿宋" w:cs="仿宋"/>
          <w:sz w:val="32"/>
          <w:szCs w:val="32"/>
        </w:rPr>
        <w:t xml:space="preserve">安敬国 </w:t>
      </w:r>
      <w:r>
        <w:rPr>
          <w:rFonts w:ascii="仿宋" w:hAnsi="仿宋" w:eastAsia="仿宋" w:cs="仿宋"/>
          <w:sz w:val="32"/>
          <w:szCs w:val="32"/>
        </w:rPr>
        <w:t xml:space="preserve"> </w:t>
      </w:r>
      <w:r>
        <w:rPr>
          <w:rFonts w:hint="eastAsia" w:ascii="仿宋" w:hAnsi="仿宋" w:eastAsia="仿宋" w:cs="仿宋"/>
          <w:sz w:val="32"/>
          <w:szCs w:val="32"/>
        </w:rPr>
        <w:t xml:space="preserve">吕建亮 </w:t>
      </w:r>
    </w:p>
    <w:p>
      <w:pPr>
        <w:widowControl/>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 xml:space="preserve">孙叶光 </w:t>
      </w:r>
      <w:r>
        <w:rPr>
          <w:rFonts w:ascii="仿宋" w:hAnsi="仿宋" w:eastAsia="仿宋" w:cs="仿宋"/>
          <w:sz w:val="32"/>
          <w:szCs w:val="32"/>
        </w:rPr>
        <w:t xml:space="preserve"> </w:t>
      </w:r>
      <w:r>
        <w:rPr>
          <w:rFonts w:hint="eastAsia" w:ascii="仿宋" w:hAnsi="仿宋" w:eastAsia="仿宋" w:cs="仿宋"/>
          <w:sz w:val="32"/>
          <w:szCs w:val="32"/>
        </w:rPr>
        <w:t xml:space="preserve">杨建同 </w:t>
      </w:r>
      <w:r>
        <w:rPr>
          <w:rFonts w:ascii="仿宋" w:hAnsi="仿宋" w:eastAsia="仿宋" w:cs="仿宋"/>
          <w:sz w:val="32"/>
          <w:szCs w:val="32"/>
        </w:rPr>
        <w:t xml:space="preserve"> </w:t>
      </w:r>
      <w:r>
        <w:rPr>
          <w:rFonts w:hint="eastAsia" w:ascii="仿宋" w:hAnsi="仿宋" w:eastAsia="仿宋" w:cs="仿宋"/>
          <w:sz w:val="32"/>
          <w:szCs w:val="32"/>
        </w:rPr>
        <w:t xml:space="preserve">崔准志 </w:t>
      </w:r>
      <w:r>
        <w:rPr>
          <w:rFonts w:ascii="仿宋" w:hAnsi="仿宋" w:eastAsia="仿宋" w:cs="仿宋"/>
          <w:sz w:val="32"/>
          <w:szCs w:val="32"/>
        </w:rPr>
        <w:t xml:space="preserve"> </w:t>
      </w:r>
      <w:r>
        <w:rPr>
          <w:rFonts w:hint="eastAsia" w:ascii="仿宋" w:hAnsi="仿宋" w:eastAsia="仿宋" w:cs="仿宋"/>
          <w:sz w:val="32"/>
          <w:szCs w:val="32"/>
        </w:rPr>
        <w:t xml:space="preserve">葛新成 </w:t>
      </w:r>
      <w:r>
        <w:rPr>
          <w:rFonts w:ascii="仿宋" w:hAnsi="仿宋" w:eastAsia="仿宋" w:cs="仿宋"/>
          <w:sz w:val="32"/>
          <w:szCs w:val="32"/>
        </w:rPr>
        <w:t xml:space="preserve"> </w:t>
      </w:r>
      <w:r>
        <w:rPr>
          <w:rFonts w:hint="eastAsia" w:ascii="仿宋" w:hAnsi="仿宋" w:eastAsia="仿宋" w:cs="仿宋"/>
          <w:sz w:val="32"/>
          <w:szCs w:val="32"/>
        </w:rPr>
        <w:t>刘希斌</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职  责：在学校党委会领导下开展工作，全面负责学校艺体特长生招生过程中的组织、协调、监督等工作；对疫情防控下的2022年体育、艺术特长生中考招生方案进行审定并组织实施。</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招生项目与计划</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（一）体育</w:t>
      </w:r>
    </w:p>
    <w:tbl>
      <w:tblPr>
        <w:tblStyle w:val="8"/>
        <w:tblW w:w="8822" w:type="dxa"/>
        <w:tblInd w:w="-5" w:type="dxa"/>
        <w:tblLayout w:type="autofit"/>
        <w:tblCellMar>
          <w:top w:w="0" w:type="dxa"/>
          <w:left w:w="108" w:type="dxa"/>
          <w:bottom w:w="0" w:type="dxa"/>
          <w:right w:w="108" w:type="dxa"/>
        </w:tblCellMar>
      </w:tblPr>
      <w:tblGrid>
        <w:gridCol w:w="911"/>
        <w:gridCol w:w="597"/>
        <w:gridCol w:w="597"/>
        <w:gridCol w:w="597"/>
        <w:gridCol w:w="597"/>
        <w:gridCol w:w="597"/>
        <w:gridCol w:w="597"/>
        <w:gridCol w:w="597"/>
        <w:gridCol w:w="648"/>
        <w:gridCol w:w="680"/>
        <w:gridCol w:w="538"/>
        <w:gridCol w:w="699"/>
        <w:gridCol w:w="1167"/>
      </w:tblGrid>
      <w:tr>
        <w:tblPrEx>
          <w:tblCellMar>
            <w:top w:w="0" w:type="dxa"/>
            <w:left w:w="108" w:type="dxa"/>
            <w:bottom w:w="0" w:type="dxa"/>
            <w:right w:w="108" w:type="dxa"/>
          </w:tblCellMar>
        </w:tblPrEx>
        <w:trPr>
          <w:trHeight w:val="980" w:hRule="atLeast"/>
        </w:trPr>
        <w:tc>
          <w:tcPr>
            <w:tcW w:w="91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项目</w:t>
            </w:r>
          </w:p>
        </w:tc>
        <w:tc>
          <w:tcPr>
            <w:tcW w:w="597"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田径</w:t>
            </w:r>
          </w:p>
        </w:tc>
        <w:tc>
          <w:tcPr>
            <w:tcW w:w="597"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男篮</w:t>
            </w:r>
          </w:p>
        </w:tc>
        <w:tc>
          <w:tcPr>
            <w:tcW w:w="597"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女篮</w:t>
            </w:r>
          </w:p>
        </w:tc>
        <w:tc>
          <w:tcPr>
            <w:tcW w:w="597"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男排</w:t>
            </w:r>
          </w:p>
        </w:tc>
        <w:tc>
          <w:tcPr>
            <w:tcW w:w="597"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女排</w:t>
            </w:r>
          </w:p>
        </w:tc>
        <w:tc>
          <w:tcPr>
            <w:tcW w:w="597"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男足</w:t>
            </w:r>
          </w:p>
        </w:tc>
        <w:tc>
          <w:tcPr>
            <w:tcW w:w="597"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女足</w:t>
            </w:r>
          </w:p>
        </w:tc>
        <w:tc>
          <w:tcPr>
            <w:tcW w:w="648"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健美操</w:t>
            </w:r>
          </w:p>
        </w:tc>
        <w:tc>
          <w:tcPr>
            <w:tcW w:w="680"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羽毛球</w:t>
            </w:r>
          </w:p>
        </w:tc>
        <w:tc>
          <w:tcPr>
            <w:tcW w:w="538"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网球</w:t>
            </w:r>
          </w:p>
        </w:tc>
        <w:tc>
          <w:tcPr>
            <w:tcW w:w="699" w:type="dxa"/>
            <w:tcBorders>
              <w:top w:val="single" w:color="auto" w:sz="4" w:space="0"/>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乒乓球</w:t>
            </w:r>
          </w:p>
        </w:tc>
        <w:tc>
          <w:tcPr>
            <w:tcW w:w="1167" w:type="dxa"/>
            <w:tcBorders>
              <w:top w:val="single" w:color="auto" w:sz="4" w:space="0"/>
              <w:left w:val="nil"/>
              <w:bottom w:val="single" w:color="auto" w:sz="4" w:space="0"/>
              <w:right w:val="single" w:color="auto" w:sz="4" w:space="0"/>
            </w:tcBorders>
            <w:vAlign w:val="center"/>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合计</w:t>
            </w:r>
          </w:p>
        </w:tc>
      </w:tr>
      <w:tr>
        <w:tblPrEx>
          <w:tblCellMar>
            <w:top w:w="0" w:type="dxa"/>
            <w:left w:w="108" w:type="dxa"/>
            <w:bottom w:w="0" w:type="dxa"/>
            <w:right w:w="108" w:type="dxa"/>
          </w:tblCellMar>
        </w:tblPrEx>
        <w:trPr>
          <w:trHeight w:val="630" w:hRule="atLeast"/>
        </w:trPr>
        <w:tc>
          <w:tcPr>
            <w:tcW w:w="911"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计划</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30</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2</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5</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ascii="仿宋_GB2312" w:hAnsi="仿宋" w:eastAsia="仿宋_GB2312" w:cs="仿宋"/>
                <w:sz w:val="32"/>
                <w:szCs w:val="32"/>
              </w:rPr>
              <w:t>8</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ascii="仿宋_GB2312" w:hAnsi="仿宋" w:eastAsia="仿宋_GB2312" w:cs="仿宋"/>
                <w:sz w:val="32"/>
                <w:szCs w:val="32"/>
              </w:rPr>
              <w:t>8</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3</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3</w:t>
            </w:r>
          </w:p>
        </w:tc>
        <w:tc>
          <w:tcPr>
            <w:tcW w:w="648"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ascii="仿宋_GB2312" w:hAnsi="仿宋" w:eastAsia="仿宋_GB2312" w:cs="仿宋"/>
                <w:sz w:val="32"/>
                <w:szCs w:val="32"/>
              </w:rPr>
              <w:t>18</w:t>
            </w:r>
          </w:p>
        </w:tc>
        <w:tc>
          <w:tcPr>
            <w:tcW w:w="680"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5</w:t>
            </w:r>
          </w:p>
        </w:tc>
        <w:tc>
          <w:tcPr>
            <w:tcW w:w="538"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5</w:t>
            </w:r>
          </w:p>
        </w:tc>
        <w:tc>
          <w:tcPr>
            <w:tcW w:w="699" w:type="dxa"/>
            <w:tcBorders>
              <w:top w:val="nil"/>
              <w:left w:val="nil"/>
              <w:bottom w:val="single" w:color="auto" w:sz="4" w:space="0"/>
              <w:right w:val="single" w:color="auto" w:sz="4" w:space="0"/>
            </w:tcBorders>
            <w:noWrap/>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5</w:t>
            </w:r>
          </w:p>
        </w:tc>
        <w:tc>
          <w:tcPr>
            <w:tcW w:w="1167" w:type="dxa"/>
            <w:tcBorders>
              <w:top w:val="nil"/>
              <w:left w:val="nil"/>
              <w:bottom w:val="single" w:color="auto" w:sz="4" w:space="0"/>
              <w:right w:val="single" w:color="auto" w:sz="4" w:space="0"/>
            </w:tcBorders>
            <w:vAlign w:val="center"/>
          </w:tcPr>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13</w:t>
            </w:r>
            <w:r>
              <w:rPr>
                <w:rFonts w:ascii="仿宋_GB2312" w:hAnsi="仿宋" w:eastAsia="仿宋_GB2312" w:cs="仿宋"/>
                <w:sz w:val="32"/>
                <w:szCs w:val="32"/>
              </w:rPr>
              <w:t>2</w:t>
            </w:r>
          </w:p>
        </w:tc>
      </w:tr>
      <w:tr>
        <w:tblPrEx>
          <w:tblCellMar>
            <w:top w:w="0" w:type="dxa"/>
            <w:left w:w="108" w:type="dxa"/>
            <w:bottom w:w="0" w:type="dxa"/>
            <w:right w:w="108" w:type="dxa"/>
          </w:tblCellMar>
        </w:tblPrEx>
        <w:trPr>
          <w:trHeight w:val="630" w:hRule="atLeast"/>
        </w:trPr>
        <w:tc>
          <w:tcPr>
            <w:tcW w:w="911"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备注</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w:t>
            </w:r>
          </w:p>
        </w:tc>
        <w:tc>
          <w:tcPr>
            <w:tcW w:w="59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w:t>
            </w:r>
          </w:p>
        </w:tc>
        <w:tc>
          <w:tcPr>
            <w:tcW w:w="648"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p>
        </w:tc>
        <w:tc>
          <w:tcPr>
            <w:tcW w:w="680"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w:t>
            </w:r>
          </w:p>
        </w:tc>
        <w:tc>
          <w:tcPr>
            <w:tcW w:w="538"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r>
              <w:rPr>
                <w:rFonts w:hint="eastAsia" w:ascii="仿宋_GB2312" w:hAnsi="仿宋" w:eastAsia="仿宋_GB2312" w:cs="仿宋"/>
                <w:sz w:val="32"/>
                <w:szCs w:val="32"/>
              </w:rPr>
              <w:t>△</w:t>
            </w:r>
          </w:p>
        </w:tc>
        <w:tc>
          <w:tcPr>
            <w:tcW w:w="699" w:type="dxa"/>
            <w:tcBorders>
              <w:top w:val="nil"/>
              <w:left w:val="nil"/>
              <w:bottom w:val="single" w:color="auto" w:sz="4" w:space="0"/>
              <w:right w:val="single" w:color="auto" w:sz="4" w:space="0"/>
            </w:tcBorders>
            <w:noWrap/>
            <w:vAlign w:val="center"/>
          </w:tcPr>
          <w:p>
            <w:pPr>
              <w:widowControl/>
              <w:spacing w:line="560" w:lineRule="exact"/>
              <w:rPr>
                <w:rFonts w:ascii="仿宋_GB2312" w:hAnsi="仿宋" w:eastAsia="仿宋_GB2312" w:cs="仿宋"/>
                <w:sz w:val="32"/>
                <w:szCs w:val="32"/>
              </w:rPr>
            </w:pPr>
          </w:p>
        </w:tc>
        <w:tc>
          <w:tcPr>
            <w:tcW w:w="1167" w:type="dxa"/>
            <w:tcBorders>
              <w:top w:val="nil"/>
              <w:left w:val="nil"/>
              <w:bottom w:val="single" w:color="auto" w:sz="4" w:space="0"/>
              <w:right w:val="single" w:color="auto" w:sz="4" w:space="0"/>
            </w:tcBorders>
            <w:vAlign w:val="center"/>
          </w:tcPr>
          <w:p>
            <w:pPr>
              <w:widowControl/>
              <w:spacing w:line="560" w:lineRule="exact"/>
              <w:rPr>
                <w:rFonts w:ascii="仿宋_GB2312" w:hAnsi="仿宋" w:eastAsia="仿宋_GB2312" w:cs="仿宋"/>
                <w:sz w:val="32"/>
                <w:szCs w:val="32"/>
              </w:rPr>
            </w:pPr>
          </w:p>
        </w:tc>
      </w:tr>
    </w:tbl>
    <w:p>
      <w:pPr>
        <w:widowControl/>
        <w:spacing w:line="560" w:lineRule="exact"/>
        <w:ind w:firstLine="640" w:firstLineChars="200"/>
        <w:rPr>
          <w:rFonts w:ascii="仿宋_GB2312" w:hAnsi="仿宋" w:eastAsia="仿宋_GB2312" w:cs="仿宋"/>
          <w:sz w:val="32"/>
          <w:szCs w:val="32"/>
        </w:rPr>
      </w:pPr>
    </w:p>
    <w:p>
      <w:pPr>
        <w:widowControl/>
        <w:spacing w:line="560" w:lineRule="exact"/>
        <w:ind w:firstLine="640" w:firstLineChars="200"/>
        <w:rPr>
          <w:rFonts w:ascii="仿宋_GB2312" w:hAnsi="仿宋" w:eastAsia="仿宋_GB2312" w:cs="仿宋"/>
          <w:sz w:val="32"/>
          <w:szCs w:val="32"/>
        </w:rPr>
      </w:pP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（二）艺术</w:t>
      </w:r>
    </w:p>
    <w:tbl>
      <w:tblPr>
        <w:tblStyle w:val="8"/>
        <w:tblW w:w="8789" w:type="dxa"/>
        <w:tblInd w:w="-5" w:type="dxa"/>
        <w:tblLayout w:type="autofit"/>
        <w:tblCellMar>
          <w:top w:w="0" w:type="dxa"/>
          <w:left w:w="108" w:type="dxa"/>
          <w:bottom w:w="0" w:type="dxa"/>
          <w:right w:w="108" w:type="dxa"/>
        </w:tblCellMar>
      </w:tblPr>
      <w:tblGrid>
        <w:gridCol w:w="1459"/>
        <w:gridCol w:w="1093"/>
        <w:gridCol w:w="899"/>
        <w:gridCol w:w="1652"/>
        <w:gridCol w:w="1276"/>
        <w:gridCol w:w="1276"/>
        <w:gridCol w:w="1134"/>
      </w:tblGrid>
      <w:tr>
        <w:tblPrEx>
          <w:tblCellMar>
            <w:top w:w="0" w:type="dxa"/>
            <w:left w:w="108" w:type="dxa"/>
            <w:bottom w:w="0" w:type="dxa"/>
            <w:right w:w="108" w:type="dxa"/>
          </w:tblCellMar>
        </w:tblPrEx>
        <w:trPr>
          <w:trHeight w:val="563" w:hRule="atLeast"/>
        </w:trPr>
        <w:tc>
          <w:tcPr>
            <w:tcW w:w="1459" w:type="dxa"/>
            <w:vMerge w:val="restart"/>
            <w:tcBorders>
              <w:top w:val="single" w:color="auto" w:sz="4" w:space="0"/>
              <w:left w:val="single" w:color="auto" w:sz="4" w:space="0"/>
              <w:right w:val="single" w:color="auto" w:sz="4" w:space="0"/>
            </w:tcBorders>
            <w:noWrap/>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专业</w:t>
            </w:r>
          </w:p>
        </w:tc>
        <w:tc>
          <w:tcPr>
            <w:tcW w:w="1093" w:type="dxa"/>
            <w:vMerge w:val="restart"/>
            <w:tcBorders>
              <w:top w:val="single" w:color="auto" w:sz="4" w:space="0"/>
              <w:left w:val="nil"/>
              <w:right w:val="single" w:color="auto" w:sz="4" w:space="0"/>
            </w:tcBorders>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音乐</w:t>
            </w:r>
          </w:p>
        </w:tc>
        <w:tc>
          <w:tcPr>
            <w:tcW w:w="2551"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综合</w:t>
            </w:r>
          </w:p>
        </w:tc>
        <w:tc>
          <w:tcPr>
            <w:tcW w:w="1276" w:type="dxa"/>
            <w:vMerge w:val="restart"/>
            <w:tcBorders>
              <w:top w:val="single" w:color="auto" w:sz="4" w:space="0"/>
              <w:left w:val="nil"/>
              <w:right w:val="single" w:color="auto" w:sz="4" w:space="0"/>
            </w:tcBorders>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书法</w:t>
            </w:r>
          </w:p>
        </w:tc>
        <w:tc>
          <w:tcPr>
            <w:tcW w:w="1276" w:type="dxa"/>
            <w:vMerge w:val="restart"/>
            <w:tcBorders>
              <w:top w:val="single" w:color="auto" w:sz="4" w:space="0"/>
              <w:left w:val="nil"/>
              <w:right w:val="single" w:color="auto" w:sz="4" w:space="0"/>
            </w:tcBorders>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美术</w:t>
            </w:r>
          </w:p>
        </w:tc>
        <w:tc>
          <w:tcPr>
            <w:tcW w:w="1134" w:type="dxa"/>
            <w:vMerge w:val="restart"/>
            <w:tcBorders>
              <w:top w:val="single" w:color="auto" w:sz="4" w:space="0"/>
              <w:left w:val="nil"/>
              <w:right w:val="single" w:color="auto" w:sz="4" w:space="0"/>
            </w:tcBorders>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合计</w:t>
            </w:r>
          </w:p>
        </w:tc>
      </w:tr>
      <w:tr>
        <w:tblPrEx>
          <w:tblCellMar>
            <w:top w:w="0" w:type="dxa"/>
            <w:left w:w="108" w:type="dxa"/>
            <w:bottom w:w="0" w:type="dxa"/>
            <w:right w:w="108" w:type="dxa"/>
          </w:tblCellMar>
        </w:tblPrEx>
        <w:trPr>
          <w:trHeight w:val="562" w:hRule="atLeast"/>
        </w:trPr>
        <w:tc>
          <w:tcPr>
            <w:tcW w:w="1459" w:type="dxa"/>
            <w:vMerge w:val="continue"/>
            <w:tcBorders>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仿宋" w:eastAsia="仿宋_GB2312" w:cs="仿宋"/>
                <w:sz w:val="32"/>
                <w:szCs w:val="32"/>
              </w:rPr>
            </w:pPr>
          </w:p>
        </w:tc>
        <w:tc>
          <w:tcPr>
            <w:tcW w:w="1093" w:type="dxa"/>
            <w:vMerge w:val="continue"/>
            <w:tcBorders>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p>
        </w:tc>
        <w:tc>
          <w:tcPr>
            <w:tcW w:w="89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舞蹈</w:t>
            </w:r>
          </w:p>
        </w:tc>
        <w:tc>
          <w:tcPr>
            <w:tcW w:w="165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播音主持</w:t>
            </w:r>
          </w:p>
        </w:tc>
        <w:tc>
          <w:tcPr>
            <w:tcW w:w="1276" w:type="dxa"/>
            <w:vMerge w:val="continue"/>
            <w:tcBorders>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p>
        </w:tc>
        <w:tc>
          <w:tcPr>
            <w:tcW w:w="1276" w:type="dxa"/>
            <w:vMerge w:val="continue"/>
            <w:tcBorders>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p>
        </w:tc>
        <w:tc>
          <w:tcPr>
            <w:tcW w:w="1134" w:type="dxa"/>
            <w:vMerge w:val="continue"/>
            <w:tcBorders>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p>
        </w:tc>
      </w:tr>
      <w:tr>
        <w:tblPrEx>
          <w:tblCellMar>
            <w:top w:w="0" w:type="dxa"/>
            <w:left w:w="108" w:type="dxa"/>
            <w:bottom w:w="0" w:type="dxa"/>
            <w:right w:w="108" w:type="dxa"/>
          </w:tblCellMar>
        </w:tblPrEx>
        <w:trPr>
          <w:trHeight w:val="630" w:hRule="atLeast"/>
        </w:trPr>
        <w:tc>
          <w:tcPr>
            <w:tcW w:w="145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计划</w:t>
            </w:r>
          </w:p>
        </w:tc>
        <w:tc>
          <w:tcPr>
            <w:tcW w:w="109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r>
              <w:rPr>
                <w:rFonts w:ascii="仿宋_GB2312" w:hAnsi="仿宋" w:eastAsia="仿宋_GB2312" w:cs="仿宋"/>
                <w:sz w:val="32"/>
                <w:szCs w:val="32"/>
              </w:rPr>
              <w:t>25</w:t>
            </w:r>
          </w:p>
        </w:tc>
        <w:tc>
          <w:tcPr>
            <w:tcW w:w="89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r>
              <w:rPr>
                <w:rFonts w:ascii="仿宋_GB2312" w:hAnsi="仿宋" w:eastAsia="仿宋_GB2312" w:cs="仿宋"/>
                <w:sz w:val="32"/>
                <w:szCs w:val="32"/>
              </w:rPr>
              <w:t>5</w:t>
            </w:r>
          </w:p>
        </w:tc>
        <w:tc>
          <w:tcPr>
            <w:tcW w:w="1652"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3</w:t>
            </w:r>
          </w:p>
        </w:tc>
        <w:tc>
          <w:tcPr>
            <w:tcW w:w="127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5</w:t>
            </w:r>
          </w:p>
        </w:tc>
        <w:tc>
          <w:tcPr>
            <w:tcW w:w="127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50</w:t>
            </w:r>
          </w:p>
        </w:tc>
        <w:tc>
          <w:tcPr>
            <w:tcW w:w="1134"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仿宋" w:eastAsia="仿宋_GB2312" w:cs="仿宋"/>
                <w:sz w:val="32"/>
                <w:szCs w:val="32"/>
              </w:rPr>
            </w:pPr>
            <w:r>
              <w:rPr>
                <w:rFonts w:ascii="仿宋_GB2312" w:hAnsi="仿宋" w:eastAsia="仿宋_GB2312" w:cs="仿宋"/>
                <w:sz w:val="32"/>
                <w:szCs w:val="32"/>
              </w:rPr>
              <w:t>88</w:t>
            </w:r>
          </w:p>
        </w:tc>
      </w:tr>
      <w:tr>
        <w:tblPrEx>
          <w:tblCellMar>
            <w:top w:w="0" w:type="dxa"/>
            <w:left w:w="108" w:type="dxa"/>
            <w:bottom w:w="0" w:type="dxa"/>
            <w:right w:w="108" w:type="dxa"/>
          </w:tblCellMar>
        </w:tblPrEx>
        <w:trPr>
          <w:trHeight w:val="630" w:hRule="atLeast"/>
        </w:trPr>
        <w:tc>
          <w:tcPr>
            <w:tcW w:w="1459"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仿宋_GB2312" w:hAnsi="仿宋" w:eastAsia="仿宋_GB2312" w:cs="仿宋"/>
                <w:sz w:val="32"/>
                <w:szCs w:val="32"/>
              </w:rPr>
            </w:pPr>
            <w:r>
              <w:rPr>
                <w:rFonts w:hint="eastAsia" w:ascii="仿宋_GB2312" w:hAnsi="仿宋" w:eastAsia="仿宋_GB2312" w:cs="仿宋"/>
                <w:sz w:val="32"/>
                <w:szCs w:val="32"/>
              </w:rPr>
              <w:t>备注</w:t>
            </w:r>
          </w:p>
        </w:tc>
        <w:tc>
          <w:tcPr>
            <w:tcW w:w="109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p>
        </w:tc>
        <w:tc>
          <w:tcPr>
            <w:tcW w:w="89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p>
        </w:tc>
        <w:tc>
          <w:tcPr>
            <w:tcW w:w="165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p>
        </w:tc>
        <w:tc>
          <w:tcPr>
            <w:tcW w:w="127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仿宋"/>
                <w:sz w:val="32"/>
                <w:szCs w:val="32"/>
              </w:rPr>
            </w:pPr>
          </w:p>
        </w:tc>
        <w:tc>
          <w:tcPr>
            <w:tcW w:w="1134" w:type="dxa"/>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仿宋" w:eastAsia="仿宋_GB2312" w:cs="仿宋"/>
                <w:sz w:val="32"/>
                <w:szCs w:val="32"/>
              </w:rPr>
            </w:pPr>
          </w:p>
        </w:tc>
      </w:tr>
    </w:tbl>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（三）有关说明</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备注中带“△”指的是全市招生项目。</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2.田径项目招生计划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短跑（100米、200米、400米）：男5人，女3人；</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中长跑（800米、1500米）：男4人，女</w:t>
      </w:r>
      <w:r>
        <w:rPr>
          <w:rFonts w:ascii="仿宋" w:hAnsi="仿宋" w:eastAsia="仿宋" w:cs="仿宋"/>
          <w:sz w:val="32"/>
          <w:szCs w:val="32"/>
        </w:rPr>
        <w:t>2</w:t>
      </w:r>
      <w:r>
        <w:rPr>
          <w:rFonts w:hint="eastAsia" w:ascii="仿宋" w:hAnsi="仿宋" w:eastAsia="仿宋" w:cs="仿宋"/>
          <w:sz w:val="32"/>
          <w:szCs w:val="32"/>
        </w:rPr>
        <w:t>人；</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短跨【110m栏(男)、100m栏(女)、400m栏】：男5人，女1人；</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跳跃（跳高、跳远、三级跳远）：5人，不分男女；</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投掷【铅球（男6千克、女4千克）、铁饼（男1.5千克、女1千克）、标枪（男700克、女600克）】：5人，不分男女。</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3.健美操项目招生计划：男</w:t>
      </w:r>
      <w:r>
        <w:rPr>
          <w:rFonts w:ascii="仿宋" w:hAnsi="仿宋" w:eastAsia="仿宋" w:cs="仿宋"/>
          <w:sz w:val="32"/>
          <w:szCs w:val="32"/>
        </w:rPr>
        <w:t>7</w:t>
      </w:r>
      <w:r>
        <w:rPr>
          <w:rFonts w:hint="eastAsia" w:ascii="仿宋" w:hAnsi="仿宋" w:eastAsia="仿宋" w:cs="仿宋"/>
          <w:sz w:val="32"/>
          <w:szCs w:val="32"/>
        </w:rPr>
        <w:t>人，女1</w:t>
      </w:r>
      <w:r>
        <w:rPr>
          <w:rFonts w:ascii="仿宋" w:hAnsi="仿宋" w:eastAsia="仿宋" w:cs="仿宋"/>
          <w:sz w:val="32"/>
          <w:szCs w:val="32"/>
        </w:rPr>
        <w:t>1</w:t>
      </w:r>
      <w:r>
        <w:rPr>
          <w:rFonts w:hint="eastAsia" w:ascii="仿宋" w:hAnsi="仿宋" w:eastAsia="仿宋" w:cs="仿宋"/>
          <w:sz w:val="32"/>
          <w:szCs w:val="32"/>
        </w:rPr>
        <w:t>人。</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4.羽毛球项目招生计划：男3人，女2人。</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5.网球项目招生计划：男</w:t>
      </w:r>
      <w:r>
        <w:rPr>
          <w:rFonts w:ascii="仿宋" w:hAnsi="仿宋" w:eastAsia="仿宋" w:cs="仿宋"/>
          <w:sz w:val="32"/>
          <w:szCs w:val="32"/>
        </w:rPr>
        <w:t>2</w:t>
      </w:r>
      <w:r>
        <w:rPr>
          <w:rFonts w:hint="eastAsia" w:ascii="仿宋" w:hAnsi="仿宋" w:eastAsia="仿宋" w:cs="仿宋"/>
          <w:sz w:val="32"/>
          <w:szCs w:val="32"/>
        </w:rPr>
        <w:t>人，女</w:t>
      </w:r>
      <w:r>
        <w:rPr>
          <w:rFonts w:ascii="仿宋" w:hAnsi="仿宋" w:eastAsia="仿宋" w:cs="仿宋"/>
          <w:sz w:val="32"/>
          <w:szCs w:val="32"/>
        </w:rPr>
        <w:t>3</w:t>
      </w:r>
      <w:r>
        <w:rPr>
          <w:rFonts w:hint="eastAsia" w:ascii="仿宋" w:hAnsi="仿宋" w:eastAsia="仿宋" w:cs="仿宋"/>
          <w:sz w:val="32"/>
          <w:szCs w:val="32"/>
        </w:rPr>
        <w:t>人。</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6.乒乓球项目招生计划：5人，不分男女。</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7.男女足球项目招生计划：男13人</w:t>
      </w:r>
      <w:r>
        <w:rPr>
          <w:rFonts w:ascii="仿宋" w:hAnsi="仿宋" w:eastAsia="仿宋" w:cs="仿宋"/>
          <w:sz w:val="32"/>
          <w:szCs w:val="32"/>
        </w:rPr>
        <w:t>，女</w:t>
      </w:r>
      <w:r>
        <w:rPr>
          <w:rFonts w:hint="eastAsia" w:ascii="仿宋" w:hAnsi="仿宋" w:eastAsia="仿宋" w:cs="仿宋"/>
          <w:sz w:val="32"/>
          <w:szCs w:val="32"/>
        </w:rPr>
        <w:t>13人</w:t>
      </w:r>
      <w:r>
        <w:rPr>
          <w:rFonts w:ascii="仿宋" w:hAnsi="仿宋" w:eastAsia="仿宋" w:cs="仿宋"/>
          <w:sz w:val="32"/>
          <w:szCs w:val="32"/>
        </w:rPr>
        <w:t>，其中包括</w:t>
      </w:r>
      <w:r>
        <w:rPr>
          <w:rFonts w:hint="eastAsia" w:ascii="仿宋" w:hAnsi="仿宋" w:eastAsia="仿宋" w:cs="仿宋"/>
          <w:sz w:val="32"/>
          <w:szCs w:val="32"/>
        </w:rPr>
        <w:t>足球守门员男、女各1人。报足球守门员的，在专项中写明“足球守门员”。</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三、专业考试报名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（一）报名条件</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满足淄博市中考招生的基本条件、在艺术和体育等方面有特长的考生，均可报名参加我校体育、艺术特长生中考招生考试。</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（二）报名时间与方法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报名时间：6月</w:t>
      </w:r>
      <w:r>
        <w:rPr>
          <w:rFonts w:ascii="仿宋" w:hAnsi="仿宋" w:eastAsia="仿宋" w:cs="仿宋"/>
          <w:sz w:val="32"/>
          <w:szCs w:val="32"/>
        </w:rPr>
        <w:t>5</w:t>
      </w:r>
      <w:r>
        <w:rPr>
          <w:rFonts w:hint="eastAsia" w:ascii="仿宋" w:hAnsi="仿宋" w:eastAsia="仿宋" w:cs="仿宋"/>
          <w:sz w:val="32"/>
          <w:szCs w:val="32"/>
        </w:rPr>
        <w:t>日（星期日）上午</w:t>
      </w:r>
      <w:r>
        <w:rPr>
          <w:rFonts w:ascii="仿宋" w:hAnsi="仿宋" w:eastAsia="仿宋" w:cs="仿宋"/>
          <w:sz w:val="32"/>
          <w:szCs w:val="32"/>
        </w:rPr>
        <w:t>8</w:t>
      </w:r>
      <w:r>
        <w:rPr>
          <w:rFonts w:hint="eastAsia" w:ascii="仿宋" w:hAnsi="仿宋" w:eastAsia="仿宋" w:cs="仿宋"/>
          <w:sz w:val="32"/>
          <w:szCs w:val="32"/>
        </w:rPr>
        <w:t>：30</w:t>
      </w:r>
      <w:r>
        <w:rPr>
          <w:rFonts w:ascii="仿宋" w:hAnsi="仿宋" w:eastAsia="仿宋" w:cs="仿宋"/>
          <w:sz w:val="32"/>
          <w:szCs w:val="32"/>
        </w:rPr>
        <w:t>—</w:t>
      </w:r>
      <w:r>
        <w:rPr>
          <w:rFonts w:hint="eastAsia" w:ascii="仿宋" w:hAnsi="仿宋" w:eastAsia="仿宋" w:cs="仿宋"/>
          <w:sz w:val="32"/>
          <w:szCs w:val="32"/>
        </w:rPr>
        <w:t>1</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0，下午14:30-17：30。</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报名方式：本区内考生以学校为单位报名，外区县考生以个人为单位报名。</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报名地点：临淄中学南门测温棚（报名流程见附件9）。</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报名时，提供以下材料：</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 《考生个人报名表》（附件</w:t>
      </w:r>
      <w:r>
        <w:rPr>
          <w:rFonts w:ascii="仿宋" w:hAnsi="仿宋" w:eastAsia="仿宋" w:cs="仿宋"/>
          <w:sz w:val="32"/>
          <w:szCs w:val="32"/>
        </w:rPr>
        <w:t>1</w:t>
      </w:r>
      <w:r>
        <w:rPr>
          <w:rFonts w:hint="eastAsia" w:ascii="仿宋" w:hAnsi="仿宋" w:eastAsia="仿宋" w:cs="仿宋"/>
          <w:sz w:val="32"/>
          <w:szCs w:val="32"/>
        </w:rPr>
        <w:t>）（贴</w:t>
      </w:r>
      <w:r>
        <w:rPr>
          <w:rFonts w:ascii="仿宋" w:hAnsi="仿宋" w:eastAsia="仿宋" w:cs="仿宋"/>
          <w:sz w:val="32"/>
          <w:szCs w:val="32"/>
        </w:rPr>
        <w:t>近期</w:t>
      </w:r>
      <w:r>
        <w:rPr>
          <w:rFonts w:hint="eastAsia" w:ascii="仿宋" w:hAnsi="仿宋" w:eastAsia="仿宋" w:cs="仿宋"/>
          <w:sz w:val="32"/>
          <w:szCs w:val="32"/>
        </w:rPr>
        <w:t>免冠2寸</w:t>
      </w:r>
      <w:r>
        <w:rPr>
          <w:rFonts w:ascii="仿宋" w:hAnsi="仿宋" w:eastAsia="仿宋" w:cs="仿宋"/>
          <w:sz w:val="32"/>
          <w:szCs w:val="32"/>
        </w:rPr>
        <w:t>彩照</w:t>
      </w:r>
      <w:r>
        <w:rPr>
          <w:rFonts w:hint="eastAsia" w:ascii="仿宋" w:hAnsi="仿宋" w:eastAsia="仿宋" w:cs="仿宋"/>
          <w:sz w:val="32"/>
          <w:szCs w:val="32"/>
        </w:rPr>
        <w:t>，</w:t>
      </w:r>
      <w:r>
        <w:rPr>
          <w:rFonts w:ascii="仿宋" w:hAnsi="仿宋" w:eastAsia="仿宋" w:cs="仿宋"/>
          <w:sz w:val="32"/>
          <w:szCs w:val="32"/>
        </w:rPr>
        <w:t>并</w:t>
      </w:r>
      <w:r>
        <w:rPr>
          <w:rFonts w:hint="eastAsia" w:ascii="仿宋" w:hAnsi="仿宋" w:eastAsia="仿宋" w:cs="仿宋"/>
          <w:sz w:val="32"/>
          <w:szCs w:val="32"/>
        </w:rPr>
        <w:t>在照片左下角加盖初中学校公章）。</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 xml:space="preserve"> </w:t>
      </w:r>
      <w:r>
        <w:rPr>
          <w:rFonts w:hint="eastAsia" w:ascii="仿宋" w:hAnsi="仿宋" w:eastAsia="仿宋" w:cs="仿宋"/>
          <w:sz w:val="32"/>
          <w:szCs w:val="32"/>
        </w:rPr>
        <w:t>体育特长生填写《临淄中学2022年体育特长生中考招生报名统计表》（附件</w:t>
      </w:r>
      <w:r>
        <w:rPr>
          <w:rFonts w:ascii="仿宋" w:hAnsi="仿宋" w:eastAsia="仿宋" w:cs="仿宋"/>
          <w:sz w:val="32"/>
          <w:szCs w:val="32"/>
        </w:rPr>
        <w:t>2</w:t>
      </w:r>
      <w:r>
        <w:rPr>
          <w:rFonts w:hint="eastAsia" w:ascii="仿宋" w:hAnsi="仿宋" w:eastAsia="仿宋" w:cs="仿宋"/>
          <w:sz w:val="32"/>
          <w:szCs w:val="32"/>
        </w:rPr>
        <w:t>），艺术特长生填写《临淄中学2022年艺术特长生中考招生报名统计表》（附件</w:t>
      </w:r>
      <w:r>
        <w:rPr>
          <w:rFonts w:ascii="仿宋" w:hAnsi="仿宋" w:eastAsia="仿宋" w:cs="仿宋"/>
          <w:sz w:val="32"/>
          <w:szCs w:val="32"/>
        </w:rPr>
        <w:t>3</w:t>
      </w:r>
      <w:r>
        <w:rPr>
          <w:rFonts w:hint="eastAsia" w:ascii="仿宋" w:hAnsi="仿宋" w:eastAsia="仿宋" w:cs="仿宋"/>
          <w:sz w:val="32"/>
          <w:szCs w:val="32"/>
        </w:rPr>
        <w:t>）。要求A4纸打印并盖初中学校公章。电子稿发到邮箱</w:t>
      </w:r>
      <w:r>
        <w:fldChar w:fldCharType="begin"/>
      </w:r>
      <w:r>
        <w:instrText xml:space="preserve"> HYPERLINK "mailto:Lzzxjwc2010@163.com" </w:instrText>
      </w:r>
      <w:r>
        <w:fldChar w:fldCharType="separate"/>
      </w:r>
      <w:r>
        <w:rPr>
          <w:rStyle w:val="11"/>
          <w:rFonts w:hint="eastAsia" w:ascii="仿宋" w:hAnsi="仿宋" w:eastAsia="仿宋" w:cs="仿宋"/>
          <w:sz w:val="32"/>
          <w:szCs w:val="32"/>
        </w:rPr>
        <w:t>Lzzxjwc2010@163.com</w:t>
      </w:r>
      <w:r>
        <w:rPr>
          <w:rStyle w:val="11"/>
          <w:rFonts w:hint="eastAsia" w:ascii="仿宋" w:hAnsi="仿宋" w:eastAsia="仿宋" w:cs="仿宋"/>
          <w:sz w:val="32"/>
          <w:szCs w:val="32"/>
        </w:rPr>
        <w:fldChar w:fldCharType="end"/>
      </w:r>
      <w:r>
        <w:rPr>
          <w:rFonts w:hint="eastAsia" w:ascii="仿宋" w:hAnsi="仿宋" w:eastAsia="仿宋" w:cs="仿宋"/>
          <w:sz w:val="32"/>
          <w:szCs w:val="32"/>
        </w:rPr>
        <w:t>。规范文件名为：xx中学2022年体育（或艺术）特长生报名统计表。</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3.考生个人带照片的学籍证明。</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4.体育特长生报名时，同时上交以下材料：</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（1）初中阶段，</w:t>
      </w:r>
      <w:r>
        <w:rPr>
          <w:rFonts w:ascii="仿宋" w:hAnsi="仿宋" w:eastAsia="仿宋" w:cs="仿宋"/>
          <w:sz w:val="32"/>
          <w:szCs w:val="32"/>
        </w:rPr>
        <w:t>一级及以上运动员等级证书及其复印件；国家级体育比赛（国家体育总局</w:t>
      </w:r>
      <w:r>
        <w:rPr>
          <w:rFonts w:hint="eastAsia" w:ascii="仿宋" w:hAnsi="仿宋" w:eastAsia="仿宋" w:cs="仿宋"/>
          <w:sz w:val="32"/>
          <w:szCs w:val="32"/>
        </w:rPr>
        <w:t>年度</w:t>
      </w:r>
      <w:r>
        <w:rPr>
          <w:rFonts w:ascii="仿宋" w:hAnsi="仿宋" w:eastAsia="仿宋" w:cs="仿宋"/>
          <w:sz w:val="32"/>
          <w:szCs w:val="32"/>
        </w:rPr>
        <w:t>公布的赛事名录，含分区赛及总决赛，中国中学生体育协会主办）前3名个人成绩证书及其复印件。</w:t>
      </w:r>
      <w:r>
        <w:rPr>
          <w:rFonts w:hint="eastAsia" w:ascii="仿宋" w:hAnsi="仿宋" w:eastAsia="仿宋" w:cs="仿宋"/>
          <w:sz w:val="32"/>
          <w:szCs w:val="32"/>
        </w:rPr>
        <w:t>初中阶段，二级及以上运动员等级证书及其复印件；初中阶段，国家级体育比赛（国家体育总局、中国中学生体育协会主办）前8名、山东省比赛(教育厅</w:t>
      </w:r>
      <w:r>
        <w:rPr>
          <w:rFonts w:ascii="仿宋" w:hAnsi="仿宋" w:eastAsia="仿宋" w:cs="仿宋"/>
          <w:sz w:val="32"/>
          <w:szCs w:val="32"/>
        </w:rPr>
        <w:t>、体育局</w:t>
      </w:r>
      <w:r>
        <w:rPr>
          <w:rFonts w:hint="eastAsia" w:ascii="仿宋" w:hAnsi="仿宋" w:eastAsia="仿宋" w:cs="仿宋"/>
          <w:sz w:val="32"/>
          <w:szCs w:val="32"/>
        </w:rPr>
        <w:t>)前三名、淄博市比赛（教育局</w:t>
      </w:r>
      <w:r>
        <w:rPr>
          <w:rFonts w:ascii="仿宋" w:hAnsi="仿宋" w:eastAsia="仿宋" w:cs="仿宋"/>
          <w:sz w:val="32"/>
          <w:szCs w:val="32"/>
        </w:rPr>
        <w:t>、体育局</w:t>
      </w:r>
      <w:r>
        <w:rPr>
          <w:rFonts w:hint="eastAsia" w:ascii="仿宋" w:hAnsi="仿宋" w:eastAsia="仿宋" w:cs="仿宋"/>
          <w:sz w:val="32"/>
          <w:szCs w:val="32"/>
        </w:rPr>
        <w:t>）第一名个人成绩证书及其复印件（提供</w:t>
      </w:r>
      <w:r>
        <w:rPr>
          <w:rFonts w:ascii="仿宋" w:hAnsi="仿宋" w:eastAsia="仿宋" w:cs="仿宋"/>
          <w:sz w:val="32"/>
          <w:szCs w:val="32"/>
        </w:rPr>
        <w:t>秩序册、成绩册</w:t>
      </w:r>
      <w:r>
        <w:rPr>
          <w:rFonts w:hint="eastAsia" w:ascii="仿宋" w:hAnsi="仿宋" w:eastAsia="仿宋" w:cs="仿宋"/>
          <w:sz w:val="32"/>
          <w:szCs w:val="32"/>
        </w:rPr>
        <w:t>）。</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）所有报考考生的县级以上（含县级）医院出具的身体健康证明。</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）所有报考考生人身意外伤害保险证明。</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四、专业考试与成绩查询</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（一）考试集合时间与地点</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集合检录时间：6月</w:t>
      </w:r>
      <w:r>
        <w:rPr>
          <w:rFonts w:ascii="仿宋" w:hAnsi="仿宋" w:eastAsia="仿宋" w:cs="仿宋"/>
          <w:sz w:val="32"/>
          <w:szCs w:val="32"/>
        </w:rPr>
        <w:t>20</w:t>
      </w:r>
      <w:r>
        <w:rPr>
          <w:rFonts w:hint="eastAsia" w:ascii="仿宋" w:hAnsi="仿宋" w:eastAsia="仿宋" w:cs="仿宋"/>
          <w:sz w:val="32"/>
          <w:szCs w:val="32"/>
        </w:rPr>
        <w:t>日（星期一）7:00。</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开考时间：6月</w:t>
      </w:r>
      <w:r>
        <w:rPr>
          <w:rFonts w:ascii="仿宋" w:hAnsi="仿宋" w:eastAsia="仿宋" w:cs="仿宋"/>
          <w:sz w:val="32"/>
          <w:szCs w:val="32"/>
        </w:rPr>
        <w:t>20</w:t>
      </w:r>
      <w:r>
        <w:rPr>
          <w:rFonts w:hint="eastAsia" w:ascii="仿宋" w:hAnsi="仿宋" w:eastAsia="仿宋" w:cs="仿宋"/>
          <w:sz w:val="32"/>
          <w:szCs w:val="32"/>
        </w:rPr>
        <w:t>日（星期一）8:00。</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集合地点：临淄中学南门。</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说明：开考后，禁止考生进入考点。</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（二）考试集合有关要求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1.所有考生要规范佩戴口罩，间距一米。</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2.分项目在各项目指定位置集合，现场查验收缴6月</w:t>
      </w:r>
      <w:r>
        <w:rPr>
          <w:rFonts w:ascii="仿宋" w:hAnsi="仿宋" w:eastAsia="仿宋" w:cs="仿宋"/>
          <w:sz w:val="32"/>
          <w:szCs w:val="32"/>
        </w:rPr>
        <w:t>19</w:t>
      </w:r>
      <w:r>
        <w:rPr>
          <w:rFonts w:hint="eastAsia" w:ascii="仿宋" w:hAnsi="仿宋" w:eastAsia="仿宋" w:cs="仿宋"/>
          <w:sz w:val="32"/>
          <w:szCs w:val="32"/>
        </w:rPr>
        <w:t>日的纸质健康码、</w:t>
      </w:r>
      <w:r>
        <w:rPr>
          <w:rFonts w:ascii="仿宋" w:hAnsi="仿宋" w:eastAsia="仿宋" w:cs="仿宋"/>
          <w:sz w:val="32"/>
          <w:szCs w:val="32"/>
        </w:rPr>
        <w:t>行程码、</w:t>
      </w:r>
      <w:r>
        <w:rPr>
          <w:rFonts w:hint="eastAsia" w:ascii="仿宋" w:hAnsi="仿宋" w:eastAsia="仿宋" w:cs="仿宋"/>
          <w:sz w:val="32"/>
          <w:szCs w:val="32"/>
        </w:rPr>
        <w:t>24小时</w:t>
      </w:r>
      <w:r>
        <w:rPr>
          <w:rFonts w:ascii="仿宋" w:hAnsi="仿宋" w:eastAsia="仿宋" w:cs="仿宋"/>
          <w:sz w:val="32"/>
          <w:szCs w:val="32"/>
        </w:rPr>
        <w:t>核酸检测</w:t>
      </w:r>
      <w:r>
        <w:rPr>
          <w:rFonts w:hint="eastAsia" w:ascii="仿宋" w:hAnsi="仿宋" w:eastAsia="仿宋" w:cs="仿宋"/>
          <w:sz w:val="32"/>
          <w:szCs w:val="32"/>
        </w:rPr>
        <w:t>阴性</w:t>
      </w:r>
      <w:r>
        <w:rPr>
          <w:rFonts w:ascii="仿宋" w:hAnsi="仿宋" w:eastAsia="仿宋" w:cs="仿宋"/>
          <w:sz w:val="32"/>
          <w:szCs w:val="32"/>
        </w:rPr>
        <w:t>报告</w:t>
      </w:r>
      <w:r>
        <w:rPr>
          <w:rFonts w:hint="eastAsia" w:ascii="仿宋" w:hAnsi="仿宋" w:eastAsia="仿宋" w:cs="仿宋"/>
          <w:sz w:val="32"/>
          <w:szCs w:val="32"/>
        </w:rPr>
        <w:t>（彩色）、14天健康台账、考生健康承诺书、体育考生反兴奋剂承诺书，经测温、消毒、检录后，由引领员直接带到考试场地。</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3.如有特殊情况，参照《临淄中学2022年体育、艺术特长生中考招生考试疫情防控应急预案》处置。</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（三）考试有关要求</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1.美术、书法考生考试前一天到临淄中学官方网站或临淄中学微信公众号查询本</w:t>
      </w:r>
      <w:r>
        <w:rPr>
          <w:rFonts w:ascii="仿宋" w:hAnsi="仿宋" w:eastAsia="仿宋" w:cs="仿宋"/>
          <w:sz w:val="32"/>
          <w:szCs w:val="32"/>
        </w:rPr>
        <w:t>人</w:t>
      </w:r>
      <w:r>
        <w:rPr>
          <w:rFonts w:hint="eastAsia" w:ascii="仿宋" w:hAnsi="仿宋" w:eastAsia="仿宋" w:cs="仿宋"/>
          <w:sz w:val="32"/>
          <w:szCs w:val="32"/>
        </w:rPr>
        <w:t>的考场号</w:t>
      </w:r>
      <w:r>
        <w:rPr>
          <w:rFonts w:ascii="仿宋" w:hAnsi="仿宋" w:eastAsia="仿宋" w:cs="仿宋"/>
          <w:sz w:val="32"/>
          <w:szCs w:val="32"/>
        </w:rPr>
        <w:t>、</w:t>
      </w:r>
      <w:r>
        <w:rPr>
          <w:rFonts w:hint="eastAsia" w:ascii="仿宋" w:hAnsi="仿宋" w:eastAsia="仿宋" w:cs="仿宋"/>
          <w:sz w:val="32"/>
          <w:szCs w:val="32"/>
        </w:rPr>
        <w:t>座号、</w:t>
      </w:r>
      <w:r>
        <w:rPr>
          <w:rFonts w:ascii="仿宋" w:hAnsi="仿宋" w:eastAsia="仿宋" w:cs="仿宋"/>
          <w:sz w:val="32"/>
          <w:szCs w:val="32"/>
        </w:rPr>
        <w:t>考试号</w:t>
      </w:r>
      <w:r>
        <w:rPr>
          <w:rFonts w:hint="eastAsia" w:ascii="仿宋" w:hAnsi="仿宋" w:eastAsia="仿宋" w:cs="仿宋"/>
          <w:sz w:val="32"/>
          <w:szCs w:val="32"/>
        </w:rPr>
        <w:t>等相关信息，如有疑问，请电话咨询，咨询电话：0533-7850088。其他考生直接到校集合参加考试。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2.考生凭《淄博市2022年初中学业水平考试准考证》（在照片右下角处盖初中学校公章）参加考试。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3.考生要严格遵守考试纪律、服从考试管理。禁止带手机、手表、书包等非考试用品入考点。对违规考生，取消其考试资格，对于替考等严重违规行为并上报上级主管部门依法处理。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4.考试结束后方可离开考场。体育考生在考试过程中，如自愿放弃考试提前离场，需当场提交离场书面申请，申请通过后，可以离场，考试成绩按零分计。</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5.考生在考前须认真阅读各专业的考试细则，按考试要求准备好专业考试所需要的服装、乐器、器材等考试用品（不能带有学校标志信息、广告信息）。</w:t>
      </w:r>
    </w:p>
    <w:p>
      <w:pPr>
        <w:widowControl/>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（四）成绩查询与合格证书发放</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1.成绩查询：体育、音乐、舞蹈、播音主持、美术、书法总成绩于6月2</w:t>
      </w:r>
      <w:r>
        <w:rPr>
          <w:rFonts w:ascii="仿宋" w:hAnsi="仿宋" w:eastAsia="仿宋" w:cs="仿宋"/>
          <w:sz w:val="32"/>
          <w:szCs w:val="32"/>
        </w:rPr>
        <w:t>1</w:t>
      </w:r>
      <w:r>
        <w:rPr>
          <w:rFonts w:hint="eastAsia" w:ascii="仿宋" w:hAnsi="仿宋" w:eastAsia="仿宋" w:cs="仿宋"/>
          <w:sz w:val="32"/>
          <w:szCs w:val="32"/>
        </w:rPr>
        <w:t>日上午9:00后在临淄中学官方网站（</w:t>
      </w:r>
      <w:r>
        <w:fldChar w:fldCharType="begin"/>
      </w:r>
      <w:r>
        <w:instrText xml:space="preserve"> HYPERLINK "http://www.linzizhongxue.com" </w:instrText>
      </w:r>
      <w:r>
        <w:fldChar w:fldCharType="separate"/>
      </w:r>
      <w:r>
        <w:rPr>
          <w:rFonts w:hint="eastAsia" w:ascii="仿宋" w:hAnsi="仿宋" w:eastAsia="仿宋" w:cs="仿宋"/>
          <w:sz w:val="32"/>
          <w:szCs w:val="32"/>
        </w:rPr>
        <w:t>www.linzizhongxue.com</w:t>
      </w:r>
      <w:r>
        <w:rPr>
          <w:rFonts w:hint="eastAsia" w:ascii="仿宋" w:hAnsi="仿宋" w:eastAsia="仿宋" w:cs="仿宋"/>
          <w:sz w:val="32"/>
          <w:szCs w:val="32"/>
        </w:rPr>
        <w:fldChar w:fldCharType="end"/>
      </w:r>
      <w:r>
        <w:rPr>
          <w:rFonts w:hint="eastAsia" w:ascii="仿宋" w:hAnsi="仿宋" w:eastAsia="仿宋" w:cs="仿宋"/>
          <w:sz w:val="32"/>
          <w:szCs w:val="32"/>
        </w:rPr>
        <w:t>）、“临淄中学”微信公众号凭考生身份证号查询。</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2.体育专业合格证发放：对持有二级及以上运动员等级证书，初中阶段，国家级体育比赛（国家体育总局、中国中学生体育协会主办）前八名、山东省比赛(教育厅</w:t>
      </w:r>
      <w:r>
        <w:rPr>
          <w:rFonts w:ascii="仿宋" w:hAnsi="仿宋" w:eastAsia="仿宋" w:cs="仿宋"/>
          <w:sz w:val="32"/>
          <w:szCs w:val="32"/>
        </w:rPr>
        <w:t>、体育局</w:t>
      </w:r>
      <w:r>
        <w:rPr>
          <w:rFonts w:hint="eastAsia" w:ascii="仿宋" w:hAnsi="仿宋" w:eastAsia="仿宋" w:cs="仿宋"/>
          <w:sz w:val="32"/>
          <w:szCs w:val="32"/>
        </w:rPr>
        <w:t>)前三名、淄博市比赛（教育局</w:t>
      </w:r>
      <w:r>
        <w:rPr>
          <w:rFonts w:ascii="仿宋" w:hAnsi="仿宋" w:eastAsia="仿宋" w:cs="仿宋"/>
          <w:sz w:val="32"/>
          <w:szCs w:val="32"/>
        </w:rPr>
        <w:t>、体育局</w:t>
      </w:r>
      <w:r>
        <w:rPr>
          <w:rFonts w:hint="eastAsia" w:ascii="仿宋" w:hAnsi="仿宋" w:eastAsia="仿宋" w:cs="仿宋"/>
          <w:sz w:val="32"/>
          <w:szCs w:val="32"/>
        </w:rPr>
        <w:t>）第一名个人成绩证书，经查证属实且面试合格者，发放专业合格证。其余体育考生，体育专业成绩低于专业合格线者，不发放专业合格证。对体育专业成绩达到合格线</w:t>
      </w:r>
      <w:r>
        <w:rPr>
          <w:rFonts w:ascii="仿宋" w:hAnsi="仿宋" w:eastAsia="仿宋" w:cs="仿宋"/>
          <w:sz w:val="32"/>
          <w:szCs w:val="32"/>
        </w:rPr>
        <w:t>及以上者</w:t>
      </w:r>
      <w:r>
        <w:rPr>
          <w:rFonts w:hint="eastAsia" w:ascii="仿宋" w:hAnsi="仿宋" w:eastAsia="仿宋" w:cs="仿宋"/>
          <w:sz w:val="32"/>
          <w:szCs w:val="32"/>
        </w:rPr>
        <w:t>，各专业</w:t>
      </w:r>
      <w:r>
        <w:rPr>
          <w:rFonts w:ascii="仿宋" w:hAnsi="仿宋" w:eastAsia="仿宋" w:cs="仿宋"/>
          <w:sz w:val="32"/>
          <w:szCs w:val="32"/>
        </w:rPr>
        <w:t>按照</w:t>
      </w:r>
      <w:r>
        <w:rPr>
          <w:rFonts w:hint="eastAsia" w:ascii="仿宋" w:hAnsi="仿宋" w:eastAsia="仿宋" w:cs="仿宋"/>
          <w:sz w:val="32"/>
          <w:szCs w:val="32"/>
        </w:rPr>
        <w:t>不超过计划数的</w:t>
      </w:r>
      <w:r>
        <w:rPr>
          <w:rFonts w:ascii="仿宋" w:hAnsi="仿宋" w:eastAsia="仿宋" w:cs="仿宋"/>
          <w:sz w:val="32"/>
          <w:szCs w:val="32"/>
        </w:rPr>
        <w:t>2</w:t>
      </w:r>
      <w:r>
        <w:rPr>
          <w:rFonts w:hint="eastAsia" w:ascii="仿宋" w:hAnsi="仿宋" w:eastAsia="仿宋" w:cs="仿宋"/>
          <w:sz w:val="32"/>
          <w:szCs w:val="32"/>
        </w:rPr>
        <w:t>倍，依据</w:t>
      </w:r>
      <w:r>
        <w:rPr>
          <w:rFonts w:ascii="仿宋" w:hAnsi="仿宋" w:eastAsia="仿宋" w:cs="仿宋"/>
          <w:sz w:val="32"/>
          <w:szCs w:val="32"/>
        </w:rPr>
        <w:t>成绩</w:t>
      </w:r>
      <w:r>
        <w:rPr>
          <w:rFonts w:hint="eastAsia" w:ascii="仿宋" w:hAnsi="仿宋" w:eastAsia="仿宋" w:cs="仿宋"/>
          <w:sz w:val="32"/>
          <w:szCs w:val="32"/>
        </w:rPr>
        <w:t xml:space="preserve">由高到低发放专业合格证。若最后一名成绩并列，则对并列考生同时发放专业合格证。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体育专业成绩合格线为60分。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【注】体育专业成绩＝测试成绩+加分项成绩。</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3.艺术专业合格证发放：对美术、书法、音乐、舞蹈、播音主持专业的考生，艺术专业成绩低于专业成绩合格线者，不发放专业合格证。对艺术专业成绩达到合格线</w:t>
      </w:r>
      <w:r>
        <w:rPr>
          <w:rFonts w:ascii="仿宋" w:hAnsi="仿宋" w:eastAsia="仿宋" w:cs="仿宋"/>
          <w:sz w:val="32"/>
          <w:szCs w:val="32"/>
        </w:rPr>
        <w:t>及以上者</w:t>
      </w:r>
      <w:r>
        <w:rPr>
          <w:rFonts w:hint="eastAsia" w:ascii="仿宋" w:hAnsi="仿宋" w:eastAsia="仿宋" w:cs="仿宋"/>
          <w:sz w:val="32"/>
          <w:szCs w:val="32"/>
        </w:rPr>
        <w:t>，各专业</w:t>
      </w:r>
      <w:r>
        <w:rPr>
          <w:rFonts w:ascii="仿宋" w:hAnsi="仿宋" w:eastAsia="仿宋" w:cs="仿宋"/>
          <w:sz w:val="32"/>
          <w:szCs w:val="32"/>
        </w:rPr>
        <w:t>按照</w:t>
      </w:r>
      <w:r>
        <w:rPr>
          <w:rFonts w:hint="eastAsia" w:ascii="仿宋" w:hAnsi="仿宋" w:eastAsia="仿宋" w:cs="仿宋"/>
          <w:sz w:val="32"/>
          <w:szCs w:val="32"/>
        </w:rPr>
        <w:t>不超过计划数的</w:t>
      </w:r>
      <w:r>
        <w:rPr>
          <w:rFonts w:ascii="仿宋" w:hAnsi="仿宋" w:eastAsia="仿宋" w:cs="仿宋"/>
          <w:sz w:val="32"/>
          <w:szCs w:val="32"/>
        </w:rPr>
        <w:t>2</w:t>
      </w:r>
      <w:r>
        <w:rPr>
          <w:rFonts w:hint="eastAsia" w:ascii="仿宋" w:hAnsi="仿宋" w:eastAsia="仿宋" w:cs="仿宋"/>
          <w:sz w:val="32"/>
          <w:szCs w:val="32"/>
        </w:rPr>
        <w:t>倍，依据</w:t>
      </w:r>
      <w:r>
        <w:rPr>
          <w:rFonts w:ascii="仿宋" w:hAnsi="仿宋" w:eastAsia="仿宋" w:cs="仿宋"/>
          <w:sz w:val="32"/>
          <w:szCs w:val="32"/>
        </w:rPr>
        <w:t>成绩</w:t>
      </w:r>
      <w:r>
        <w:rPr>
          <w:rFonts w:hint="eastAsia" w:ascii="仿宋" w:hAnsi="仿宋" w:eastAsia="仿宋" w:cs="仿宋"/>
          <w:sz w:val="32"/>
          <w:szCs w:val="32"/>
        </w:rPr>
        <w:t xml:space="preserve">由高到低发放专业合格证。若最后一名成绩并列，则对并列考生同时发放专业合格证。  </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艺术专业成绩合格线为</w:t>
      </w:r>
      <w:r>
        <w:rPr>
          <w:rFonts w:ascii="仿宋" w:hAnsi="仿宋" w:eastAsia="仿宋" w:cs="仿宋"/>
          <w:sz w:val="32"/>
          <w:szCs w:val="32"/>
        </w:rPr>
        <w:t>6</w:t>
      </w:r>
      <w:r>
        <w:rPr>
          <w:rFonts w:hint="eastAsia" w:ascii="仿宋" w:hAnsi="仿宋" w:eastAsia="仿宋" w:cs="仿宋"/>
          <w:sz w:val="32"/>
          <w:szCs w:val="32"/>
        </w:rPr>
        <w:t>0分。</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4.学校于6月</w:t>
      </w:r>
      <w:r>
        <w:rPr>
          <w:rFonts w:ascii="仿宋" w:hAnsi="仿宋" w:eastAsia="仿宋" w:cs="仿宋"/>
          <w:sz w:val="32"/>
          <w:szCs w:val="32"/>
        </w:rPr>
        <w:t>22</w:t>
      </w:r>
      <w:r>
        <w:rPr>
          <w:rFonts w:hint="eastAsia" w:ascii="仿宋" w:hAnsi="仿宋" w:eastAsia="仿宋" w:cs="仿宋"/>
          <w:sz w:val="32"/>
          <w:szCs w:val="32"/>
        </w:rPr>
        <w:t>日，网上公示专业合格名单，请考生及时到临淄中学官方网站</w:t>
      </w:r>
      <w:r>
        <w:fldChar w:fldCharType="begin"/>
      </w:r>
      <w:r>
        <w:instrText xml:space="preserve"> HYPERLINK "http://www.linzizhongxue.com" </w:instrText>
      </w:r>
      <w:r>
        <w:fldChar w:fldCharType="separate"/>
      </w:r>
      <w:r>
        <w:rPr>
          <w:rFonts w:hint="eastAsia" w:ascii="仿宋" w:hAnsi="仿宋" w:eastAsia="仿宋" w:cs="仿宋"/>
          <w:sz w:val="32"/>
          <w:szCs w:val="32"/>
        </w:rPr>
        <w:t>www.linzizhongxue.com</w:t>
      </w:r>
      <w:r>
        <w:rPr>
          <w:rFonts w:hint="eastAsia" w:ascii="仿宋" w:hAnsi="仿宋" w:eastAsia="仿宋" w:cs="仿宋"/>
          <w:sz w:val="32"/>
          <w:szCs w:val="32"/>
        </w:rPr>
        <w:fldChar w:fldCharType="end"/>
      </w:r>
      <w:r>
        <w:rPr>
          <w:rFonts w:hint="eastAsia" w:ascii="仿宋" w:hAnsi="仿宋" w:eastAsia="仿宋" w:cs="仿宋"/>
          <w:sz w:val="32"/>
          <w:szCs w:val="32"/>
        </w:rPr>
        <w:t>或“临淄中学”微信公众号查看。</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公示时间：6月</w:t>
      </w:r>
      <w:r>
        <w:rPr>
          <w:rFonts w:ascii="仿宋" w:hAnsi="仿宋" w:eastAsia="仿宋" w:cs="仿宋"/>
          <w:sz w:val="32"/>
          <w:szCs w:val="32"/>
        </w:rPr>
        <w:t>22</w:t>
      </w:r>
      <w:r>
        <w:rPr>
          <w:rFonts w:hint="eastAsia" w:ascii="仿宋" w:hAnsi="仿宋" w:eastAsia="仿宋" w:cs="仿宋"/>
          <w:sz w:val="32"/>
          <w:szCs w:val="32"/>
        </w:rPr>
        <w:t>日8：00--</w:t>
      </w:r>
      <w:r>
        <w:rPr>
          <w:rFonts w:ascii="仿宋" w:hAnsi="仿宋" w:eastAsia="仿宋" w:cs="仿宋"/>
          <w:sz w:val="32"/>
          <w:szCs w:val="32"/>
        </w:rPr>
        <w:t>17</w:t>
      </w:r>
      <w:r>
        <w:rPr>
          <w:rFonts w:hint="eastAsia" w:ascii="仿宋" w:hAnsi="仿宋" w:eastAsia="仿宋" w:cs="仿宋"/>
          <w:sz w:val="32"/>
          <w:szCs w:val="32"/>
        </w:rPr>
        <w:t>：00。</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五、特长生填报志愿</w:t>
      </w:r>
    </w:p>
    <w:p>
      <w:pPr>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日，在初中学业水平成绩公布后，获得专业合格证的所有</w:t>
      </w:r>
      <w:r>
        <w:rPr>
          <w:rFonts w:ascii="仿宋" w:hAnsi="仿宋" w:eastAsia="仿宋" w:cs="仿宋"/>
          <w:sz w:val="32"/>
          <w:szCs w:val="32"/>
        </w:rPr>
        <w:t>批次的</w:t>
      </w:r>
      <w:r>
        <w:rPr>
          <w:rFonts w:hint="eastAsia" w:ascii="仿宋" w:hAnsi="仿宋" w:eastAsia="仿宋" w:cs="仿宋"/>
          <w:sz w:val="32"/>
          <w:szCs w:val="32"/>
        </w:rPr>
        <w:t>考生，在市教育局规定的时间内，由本人登录淄博市中考招生管理平台（http://zkzs.zbedu.net）特长生志愿填报模块，选择“淄博市临淄中学”和“专业”填报志愿，并进行信息确认，填报的信息不全者将不能被录取。</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六、录取办法与时间</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（一）录取办法</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1．体育项目：分三个批次录取</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第一批次：</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（1）篮球</w:t>
      </w:r>
      <w:r>
        <w:rPr>
          <w:rFonts w:ascii="仿宋" w:hAnsi="仿宋" w:eastAsia="仿宋" w:cs="仿宋"/>
          <w:sz w:val="32"/>
          <w:szCs w:val="32"/>
        </w:rPr>
        <w:t>项目，</w:t>
      </w:r>
      <w:r>
        <w:rPr>
          <w:rFonts w:hint="eastAsia" w:ascii="仿宋" w:hAnsi="仿宋" w:eastAsia="仿宋" w:cs="仿宋"/>
          <w:sz w:val="32"/>
          <w:szCs w:val="32"/>
        </w:rPr>
        <w:t>持有</w:t>
      </w:r>
      <w:r>
        <w:rPr>
          <w:rFonts w:ascii="仿宋" w:hAnsi="仿宋" w:eastAsia="仿宋" w:cs="仿宋"/>
          <w:sz w:val="32"/>
          <w:szCs w:val="32"/>
        </w:rPr>
        <w:t>一级及以上运动员等级证书</w:t>
      </w:r>
      <w:r>
        <w:rPr>
          <w:rFonts w:hint="eastAsia" w:ascii="仿宋" w:hAnsi="仿宋" w:eastAsia="仿宋" w:cs="仿宋"/>
          <w:sz w:val="32"/>
          <w:szCs w:val="32"/>
        </w:rPr>
        <w:t>或</w:t>
      </w:r>
      <w:r>
        <w:rPr>
          <w:rFonts w:ascii="仿宋" w:hAnsi="仿宋" w:eastAsia="仿宋" w:cs="仿宋"/>
          <w:sz w:val="32"/>
          <w:szCs w:val="32"/>
        </w:rPr>
        <w:t>国家级体育比赛（国家体育总局</w:t>
      </w:r>
      <w:r>
        <w:rPr>
          <w:rFonts w:hint="eastAsia" w:ascii="仿宋" w:hAnsi="仿宋" w:eastAsia="仿宋" w:cs="仿宋"/>
          <w:sz w:val="32"/>
          <w:szCs w:val="32"/>
        </w:rPr>
        <w:t>年度</w:t>
      </w:r>
      <w:r>
        <w:rPr>
          <w:rFonts w:ascii="仿宋" w:hAnsi="仿宋" w:eastAsia="仿宋" w:cs="仿宋"/>
          <w:sz w:val="32"/>
          <w:szCs w:val="32"/>
        </w:rPr>
        <w:t>公布的赛事名录，含分区赛及总决赛）前</w:t>
      </w:r>
      <w:r>
        <w:rPr>
          <w:rFonts w:hint="eastAsia" w:ascii="仿宋" w:hAnsi="仿宋" w:eastAsia="仿宋" w:cs="仿宋"/>
          <w:sz w:val="32"/>
          <w:szCs w:val="32"/>
        </w:rPr>
        <w:t>三</w:t>
      </w:r>
      <w:r>
        <w:rPr>
          <w:rFonts w:ascii="仿宋" w:hAnsi="仿宋" w:eastAsia="仿宋" w:cs="仿宋"/>
          <w:sz w:val="32"/>
          <w:szCs w:val="32"/>
        </w:rPr>
        <w:t>名个人成绩证书</w:t>
      </w:r>
      <w:r>
        <w:rPr>
          <w:rFonts w:hint="eastAsia" w:ascii="仿宋" w:hAnsi="仿宋" w:eastAsia="仿宋" w:cs="仿宋"/>
          <w:sz w:val="32"/>
          <w:szCs w:val="32"/>
        </w:rPr>
        <w:t>的考生，获得专业合格证者，本批次录取。</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2</w:t>
      </w:r>
      <w:r>
        <w:rPr>
          <w:rFonts w:hint="eastAsia" w:ascii="仿宋" w:hAnsi="仿宋" w:eastAsia="仿宋" w:cs="仿宋"/>
          <w:sz w:val="32"/>
          <w:szCs w:val="32"/>
        </w:rPr>
        <w:t>)除篮球</w:t>
      </w:r>
      <w:r>
        <w:rPr>
          <w:rFonts w:ascii="仿宋" w:hAnsi="仿宋" w:eastAsia="仿宋" w:cs="仿宋"/>
          <w:sz w:val="32"/>
          <w:szCs w:val="32"/>
        </w:rPr>
        <w:t>项目外的</w:t>
      </w:r>
      <w:r>
        <w:rPr>
          <w:rFonts w:hint="eastAsia" w:ascii="仿宋" w:hAnsi="仿宋" w:eastAsia="仿宋" w:cs="仿宋"/>
          <w:sz w:val="32"/>
          <w:szCs w:val="32"/>
        </w:rPr>
        <w:t>其他项目</w:t>
      </w:r>
      <w:r>
        <w:rPr>
          <w:rFonts w:ascii="仿宋" w:hAnsi="仿宋" w:eastAsia="仿宋" w:cs="仿宋"/>
          <w:sz w:val="32"/>
          <w:szCs w:val="32"/>
        </w:rPr>
        <w:t>考生</w:t>
      </w:r>
      <w:r>
        <w:rPr>
          <w:rFonts w:hint="eastAsia" w:ascii="仿宋" w:hAnsi="仿宋" w:eastAsia="仿宋" w:cs="仿宋"/>
          <w:sz w:val="32"/>
          <w:szCs w:val="32"/>
        </w:rPr>
        <w:t>凡是持有二级及以上运动员等级证书、初中阶段，国家级体育比赛（国家体育总局、中国中学生体育协会主办）前八名、山东省比赛(教育厅</w:t>
      </w:r>
      <w:r>
        <w:rPr>
          <w:rFonts w:ascii="仿宋" w:hAnsi="仿宋" w:eastAsia="仿宋" w:cs="仿宋"/>
          <w:sz w:val="32"/>
          <w:szCs w:val="32"/>
        </w:rPr>
        <w:t>、体育局</w:t>
      </w:r>
      <w:r>
        <w:rPr>
          <w:rFonts w:hint="eastAsia" w:ascii="仿宋" w:hAnsi="仿宋" w:eastAsia="仿宋" w:cs="仿宋"/>
          <w:sz w:val="32"/>
          <w:szCs w:val="32"/>
        </w:rPr>
        <w:t>)前三名、淄博市比赛（教育局</w:t>
      </w:r>
      <w:r>
        <w:rPr>
          <w:rFonts w:ascii="仿宋" w:hAnsi="仿宋" w:eastAsia="仿宋" w:cs="仿宋"/>
          <w:sz w:val="32"/>
          <w:szCs w:val="32"/>
        </w:rPr>
        <w:t>、体育局</w:t>
      </w:r>
      <w:r>
        <w:rPr>
          <w:rFonts w:hint="eastAsia" w:ascii="仿宋" w:hAnsi="仿宋" w:eastAsia="仿宋" w:cs="仿宋"/>
          <w:sz w:val="32"/>
          <w:szCs w:val="32"/>
        </w:rPr>
        <w:t>）第一名个人成绩证书的体育考生，获得专业合格证者，本批次录取。若符合条件的考生数超过学校招生名额，按照面试成绩由高到低录取。</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二批次：录取剩余计划数的60%（四舍五入）名额。在第一批次录取后，在获得专业合格证的考生中，分类根据专业成绩由高到低录取。专业成绩相同时，若人数不超第二批次计划名额数，同时录取；若人数超出第二批次计划名额数，按照中考</w:t>
      </w:r>
      <w:r>
        <w:rPr>
          <w:rFonts w:ascii="仿宋" w:hAnsi="仿宋" w:eastAsia="仿宋" w:cs="仿宋"/>
          <w:sz w:val="32"/>
          <w:szCs w:val="32"/>
        </w:rPr>
        <w:t>考试科目成绩</w:t>
      </w:r>
      <w:r>
        <w:rPr>
          <w:rFonts w:hint="eastAsia" w:ascii="仿宋" w:hAnsi="仿宋" w:eastAsia="仿宋" w:cs="仿宋"/>
          <w:sz w:val="32"/>
          <w:szCs w:val="32"/>
        </w:rPr>
        <w:t>由高到低录取，若中考</w:t>
      </w:r>
      <w:r>
        <w:rPr>
          <w:rFonts w:ascii="仿宋" w:hAnsi="仿宋" w:eastAsia="仿宋" w:cs="仿宋"/>
          <w:sz w:val="32"/>
          <w:szCs w:val="32"/>
        </w:rPr>
        <w:t>考试科目成绩</w:t>
      </w:r>
      <w:r>
        <w:rPr>
          <w:rFonts w:hint="eastAsia" w:ascii="仿宋" w:hAnsi="仿宋" w:eastAsia="仿宋" w:cs="仿宋"/>
          <w:sz w:val="32"/>
          <w:szCs w:val="32"/>
        </w:rPr>
        <w:t>也相同，则依次参考考试科目等级、语数英三科成绩之和、</w:t>
      </w:r>
      <w:r>
        <w:rPr>
          <w:rFonts w:ascii="仿宋" w:hAnsi="仿宋" w:eastAsia="仿宋" w:cs="仿宋"/>
          <w:sz w:val="32"/>
          <w:szCs w:val="32"/>
        </w:rPr>
        <w:t>语</w:t>
      </w:r>
      <w:r>
        <w:rPr>
          <w:rFonts w:hint="eastAsia" w:ascii="仿宋" w:hAnsi="仿宋" w:eastAsia="仿宋" w:cs="仿宋"/>
          <w:sz w:val="32"/>
          <w:szCs w:val="32"/>
        </w:rPr>
        <w:t>文</w:t>
      </w:r>
      <w:r>
        <w:rPr>
          <w:rFonts w:ascii="仿宋" w:hAnsi="仿宋" w:eastAsia="仿宋" w:cs="仿宋"/>
          <w:sz w:val="32"/>
          <w:szCs w:val="32"/>
        </w:rPr>
        <w:t>、数学、英语</w:t>
      </w:r>
      <w:r>
        <w:rPr>
          <w:rFonts w:hint="eastAsia" w:ascii="仿宋" w:hAnsi="仿宋" w:eastAsia="仿宋" w:cs="仿宋"/>
          <w:sz w:val="32"/>
          <w:szCs w:val="32"/>
        </w:rPr>
        <w:t>，高等级多者、成绩高者优先。</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第三批次：录取剩余计划数。在第二批次录取后，获得专业合格证且中考考试科目成绩达到合格线（</w:t>
      </w:r>
      <w:r>
        <w:rPr>
          <w:rFonts w:ascii="仿宋" w:hAnsi="仿宋" w:eastAsia="仿宋" w:cs="仿宋"/>
          <w:sz w:val="32"/>
          <w:szCs w:val="32"/>
        </w:rPr>
        <w:t>210</w:t>
      </w:r>
      <w:r>
        <w:rPr>
          <w:rFonts w:hint="eastAsia" w:ascii="仿宋" w:hAnsi="仿宋" w:eastAsia="仿宋" w:cs="仿宋"/>
          <w:sz w:val="32"/>
          <w:szCs w:val="32"/>
        </w:rPr>
        <w:t>分）及以上的考生有资格参加本批次的录取。按照</w:t>
      </w:r>
      <w:r>
        <w:rPr>
          <w:rFonts w:ascii="仿宋" w:hAnsi="仿宋" w:eastAsia="仿宋" w:cs="仿宋"/>
          <w:sz w:val="32"/>
          <w:szCs w:val="32"/>
        </w:rPr>
        <w:t>综合成绩计算</w:t>
      </w:r>
      <w:r>
        <w:rPr>
          <w:rFonts w:hint="eastAsia" w:ascii="仿宋" w:hAnsi="仿宋" w:eastAsia="仿宋" w:cs="仿宋"/>
          <w:sz w:val="32"/>
          <w:szCs w:val="32"/>
        </w:rPr>
        <w:t>方法</w:t>
      </w:r>
      <w:r>
        <w:rPr>
          <w:rFonts w:ascii="仿宋" w:hAnsi="仿宋" w:eastAsia="仿宋" w:cs="仿宋"/>
          <w:sz w:val="32"/>
          <w:szCs w:val="32"/>
        </w:rPr>
        <w:t>，</w:t>
      </w:r>
      <w:r>
        <w:rPr>
          <w:rFonts w:hint="eastAsia" w:ascii="仿宋" w:hAnsi="仿宋" w:eastAsia="仿宋" w:cs="仿宋"/>
          <w:sz w:val="32"/>
          <w:szCs w:val="32"/>
        </w:rPr>
        <w:t>计算出本批次考生的综合成绩，分专业根据综合成绩由高到低录取。综合成绩相同时，若人数不超第三批次名额数，同时录取；若人数超出第三批次名额数，按照中考</w:t>
      </w:r>
      <w:r>
        <w:rPr>
          <w:rFonts w:ascii="仿宋" w:hAnsi="仿宋" w:eastAsia="仿宋" w:cs="仿宋"/>
          <w:sz w:val="32"/>
          <w:szCs w:val="32"/>
        </w:rPr>
        <w:t>考试科目成绩</w:t>
      </w:r>
      <w:r>
        <w:rPr>
          <w:rFonts w:hint="eastAsia" w:ascii="仿宋" w:hAnsi="仿宋" w:eastAsia="仿宋" w:cs="仿宋"/>
          <w:sz w:val="32"/>
          <w:szCs w:val="32"/>
        </w:rPr>
        <w:t>由高到低录取，若中考</w:t>
      </w:r>
      <w:r>
        <w:rPr>
          <w:rFonts w:ascii="仿宋" w:hAnsi="仿宋" w:eastAsia="仿宋" w:cs="仿宋"/>
          <w:sz w:val="32"/>
          <w:szCs w:val="32"/>
        </w:rPr>
        <w:t>考试科目成绩</w:t>
      </w:r>
      <w:r>
        <w:rPr>
          <w:rFonts w:hint="eastAsia" w:ascii="仿宋" w:hAnsi="仿宋" w:eastAsia="仿宋" w:cs="仿宋"/>
          <w:sz w:val="32"/>
          <w:szCs w:val="32"/>
        </w:rPr>
        <w:t>也相同，则依次参考考试科目等级、语数英三科成绩之和、</w:t>
      </w:r>
      <w:r>
        <w:rPr>
          <w:rFonts w:ascii="仿宋" w:hAnsi="仿宋" w:eastAsia="仿宋" w:cs="仿宋"/>
          <w:sz w:val="32"/>
          <w:szCs w:val="32"/>
        </w:rPr>
        <w:t>语</w:t>
      </w:r>
      <w:r>
        <w:rPr>
          <w:rFonts w:hint="eastAsia" w:ascii="仿宋" w:hAnsi="仿宋" w:eastAsia="仿宋" w:cs="仿宋"/>
          <w:sz w:val="32"/>
          <w:szCs w:val="32"/>
        </w:rPr>
        <w:t>文</w:t>
      </w:r>
      <w:r>
        <w:rPr>
          <w:rFonts w:ascii="仿宋" w:hAnsi="仿宋" w:eastAsia="仿宋" w:cs="仿宋"/>
          <w:sz w:val="32"/>
          <w:szCs w:val="32"/>
        </w:rPr>
        <w:t>、数学、英语</w:t>
      </w:r>
      <w:r>
        <w:rPr>
          <w:rFonts w:hint="eastAsia" w:ascii="仿宋" w:hAnsi="仿宋" w:eastAsia="仿宋" w:cs="仿宋"/>
          <w:sz w:val="32"/>
          <w:szCs w:val="32"/>
        </w:rPr>
        <w:t>，高等级多者、成绩高者优先。</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【注】 综合成绩=专业成绩×</w:t>
      </w:r>
      <w:r>
        <w:rPr>
          <w:rFonts w:ascii="仿宋" w:hAnsi="仿宋" w:eastAsia="仿宋" w:cs="仿宋"/>
          <w:sz w:val="32"/>
          <w:szCs w:val="32"/>
        </w:rPr>
        <w:t>5</w:t>
      </w:r>
      <w:r>
        <w:rPr>
          <w:rFonts w:hint="eastAsia" w:ascii="仿宋" w:hAnsi="仿宋" w:eastAsia="仿宋" w:cs="仿宋"/>
          <w:sz w:val="32"/>
          <w:szCs w:val="32"/>
        </w:rPr>
        <w:t>0%+中考</w:t>
      </w:r>
      <w:r>
        <w:rPr>
          <w:rFonts w:ascii="仿宋" w:hAnsi="仿宋" w:eastAsia="仿宋" w:cs="仿宋"/>
          <w:sz w:val="32"/>
          <w:szCs w:val="32"/>
        </w:rPr>
        <w:t>考试科目</w:t>
      </w:r>
      <w:r>
        <w:rPr>
          <w:rFonts w:hint="eastAsia" w:ascii="仿宋" w:hAnsi="仿宋" w:eastAsia="仿宋" w:cs="仿宋"/>
          <w:sz w:val="32"/>
          <w:szCs w:val="32"/>
        </w:rPr>
        <w:t>成绩（按百分制折算）×</w:t>
      </w:r>
      <w:r>
        <w:rPr>
          <w:rFonts w:ascii="仿宋" w:hAnsi="仿宋" w:eastAsia="仿宋" w:cs="仿宋"/>
          <w:sz w:val="32"/>
          <w:szCs w:val="32"/>
        </w:rPr>
        <w:t>5</w:t>
      </w:r>
      <w:r>
        <w:rPr>
          <w:rFonts w:hint="eastAsia" w:ascii="仿宋" w:hAnsi="仿宋" w:eastAsia="仿宋" w:cs="仿宋"/>
          <w:sz w:val="32"/>
          <w:szCs w:val="32"/>
        </w:rPr>
        <w:t>0%，保留小数点后两位（四舍五入）。</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说明：</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（1）足球守门员单独排序，男、女各录取一名守门员。若没有守门员被录取，按原计划数录取非守门员考生。</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田径</w:t>
      </w:r>
      <w:r>
        <w:rPr>
          <w:rFonts w:hint="eastAsia" w:ascii="仿宋" w:hAnsi="仿宋" w:eastAsia="仿宋" w:cs="仿宋"/>
          <w:sz w:val="32"/>
          <w:szCs w:val="32"/>
        </w:rPr>
        <w:t>、网球、乒乓球、</w:t>
      </w:r>
      <w:r>
        <w:rPr>
          <w:rFonts w:ascii="仿宋" w:hAnsi="仿宋" w:eastAsia="仿宋" w:cs="仿宋"/>
          <w:sz w:val="32"/>
          <w:szCs w:val="32"/>
        </w:rPr>
        <w:t>羽毛球</w:t>
      </w:r>
      <w:r>
        <w:rPr>
          <w:rFonts w:hint="eastAsia" w:ascii="仿宋" w:hAnsi="仿宋" w:eastAsia="仿宋" w:cs="仿宋"/>
          <w:sz w:val="32"/>
          <w:szCs w:val="32"/>
        </w:rPr>
        <w:t>项目按照男、女分测，男女统一排名次并按以上批次录取。</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2.美术、书法、音乐、舞蹈、播音主持项目</w:t>
      </w:r>
    </w:p>
    <w:p>
      <w:pPr>
        <w:widowControl/>
        <w:spacing w:line="560" w:lineRule="exact"/>
        <w:ind w:firstLine="640" w:firstLineChars="200"/>
        <w:rPr>
          <w:rFonts w:ascii="仿宋" w:hAnsi="仿宋" w:eastAsia="仿宋" w:cs="仿宋"/>
          <w:sz w:val="32"/>
          <w:szCs w:val="32"/>
        </w:rPr>
      </w:pPr>
      <w:r>
        <w:rPr>
          <w:rFonts w:ascii="仿宋" w:hAnsi="仿宋" w:eastAsia="仿宋" w:cs="仿宋"/>
          <w:sz w:val="32"/>
          <w:szCs w:val="32"/>
        </w:rPr>
        <w:t>分两个批次</w:t>
      </w:r>
      <w:r>
        <w:rPr>
          <w:rFonts w:hint="eastAsia" w:ascii="仿宋" w:hAnsi="仿宋" w:eastAsia="仿宋" w:cs="仿宋"/>
          <w:sz w:val="32"/>
          <w:szCs w:val="32"/>
        </w:rPr>
        <w:t>录取</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批次：录取招生计划数的20%（四舍五入）名额。在获得专业合格证的考生中，分类根据专业成绩由高到低录取。专业成绩相同时，若人数不超第一批次计划名额数，同时录取；若人数超出第一批次计划名额数，按照中考考试科目成绩由高到低录取，若中考考试科目成绩也相同，则依次参考考试科目等级、语数英三科成绩之和、语文、数学、英语，高等级多者、成绩高者优先。</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批次：录取剩余招生计划名额。第一批次录取后，取得专业合格证的考生，同时中考考试科目成绩达到合格线（235分）及以上的考生有资格参加本批次录取。按照综合成绩（中考考试科目成绩+专业成绩）由高到低录取；当综合成绩相同时，按照中考考试科目成绩由高到低录取，若中考考试科目成绩也相同，则依次参考考试科目等级、语数英三科成绩之和、语文、数学、英语，高等级多者、成绩高者优先。</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(二)录取时间</w:t>
      </w:r>
    </w:p>
    <w:p>
      <w:pPr>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2</w:t>
      </w:r>
      <w:r>
        <w:rPr>
          <w:rFonts w:hint="eastAsia" w:ascii="仿宋" w:hAnsi="仿宋" w:eastAsia="仿宋" w:cs="仿宋"/>
          <w:sz w:val="32"/>
          <w:szCs w:val="32"/>
        </w:rPr>
        <w:t>日在网上公示拟录取名单,</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3</w:t>
      </w:r>
      <w:r>
        <w:rPr>
          <w:rFonts w:hint="eastAsia" w:ascii="仿宋" w:hAnsi="仿宋" w:eastAsia="仿宋" w:cs="仿宋"/>
          <w:sz w:val="32"/>
          <w:szCs w:val="32"/>
        </w:rPr>
        <w:t>日提交临淄区教育和</w:t>
      </w:r>
      <w:r>
        <w:rPr>
          <w:rFonts w:ascii="仿宋" w:hAnsi="仿宋" w:eastAsia="仿宋" w:cs="仿宋"/>
          <w:sz w:val="32"/>
          <w:szCs w:val="32"/>
        </w:rPr>
        <w:t>体育局</w:t>
      </w:r>
      <w:r>
        <w:rPr>
          <w:rFonts w:hint="eastAsia" w:ascii="仿宋" w:hAnsi="仿宋" w:eastAsia="仿宋" w:cs="仿宋"/>
          <w:sz w:val="32"/>
          <w:szCs w:val="32"/>
        </w:rPr>
        <w:t>审核通过</w:t>
      </w:r>
      <w:r>
        <w:rPr>
          <w:rFonts w:ascii="仿宋" w:hAnsi="仿宋" w:eastAsia="仿宋" w:cs="仿宋"/>
          <w:sz w:val="32"/>
          <w:szCs w:val="32"/>
        </w:rPr>
        <w:t>后</w:t>
      </w:r>
      <w:r>
        <w:rPr>
          <w:rFonts w:hint="eastAsia" w:ascii="仿宋" w:hAnsi="仿宋" w:eastAsia="仿宋" w:cs="仿宋"/>
          <w:sz w:val="32"/>
          <w:szCs w:val="32"/>
        </w:rPr>
        <w:t>，将录取结果提交网上招生平台，由市教育局复核确认，考生可以到市教育局志愿填报平台查询录取结果。</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被录取的特长生7月</w:t>
      </w:r>
      <w:r>
        <w:rPr>
          <w:rFonts w:ascii="仿宋" w:hAnsi="仿宋" w:eastAsia="仿宋" w:cs="仿宋"/>
          <w:sz w:val="32"/>
          <w:szCs w:val="32"/>
        </w:rPr>
        <w:t>5</w:t>
      </w:r>
      <w:r>
        <w:rPr>
          <w:rFonts w:hint="eastAsia" w:ascii="仿宋" w:hAnsi="仿宋" w:eastAsia="仿宋" w:cs="仿宋"/>
          <w:sz w:val="32"/>
          <w:szCs w:val="32"/>
        </w:rPr>
        <w:t>日</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6</w:t>
      </w:r>
      <w:r>
        <w:rPr>
          <w:rFonts w:hint="eastAsia" w:ascii="仿宋" w:hAnsi="仿宋" w:eastAsia="仿宋" w:cs="仿宋"/>
          <w:sz w:val="32"/>
          <w:szCs w:val="32"/>
        </w:rPr>
        <w:t>日不需再填报志愿，《录取通知书》和文化课考生一起下发。未被</w:t>
      </w:r>
      <w:r>
        <w:rPr>
          <w:rFonts w:ascii="仿宋" w:hAnsi="仿宋" w:eastAsia="仿宋" w:cs="仿宋"/>
          <w:sz w:val="32"/>
          <w:szCs w:val="32"/>
        </w:rPr>
        <w:t>录取的</w:t>
      </w:r>
      <w:r>
        <w:rPr>
          <w:rFonts w:hint="eastAsia" w:ascii="仿宋" w:hAnsi="仿宋" w:eastAsia="仿宋" w:cs="仿宋"/>
          <w:sz w:val="32"/>
          <w:szCs w:val="32"/>
        </w:rPr>
        <w:t>学生请</w:t>
      </w:r>
      <w:r>
        <w:rPr>
          <w:rFonts w:ascii="仿宋" w:hAnsi="仿宋" w:eastAsia="仿宋" w:cs="仿宋"/>
          <w:sz w:val="32"/>
          <w:szCs w:val="32"/>
        </w:rPr>
        <w:t>及时填报其它志愿</w:t>
      </w:r>
      <w:r>
        <w:rPr>
          <w:rFonts w:hint="eastAsia" w:ascii="仿宋" w:hAnsi="仿宋" w:eastAsia="仿宋" w:cs="仿宋"/>
          <w:sz w:val="32"/>
          <w:szCs w:val="32"/>
        </w:rPr>
        <w:t>。被录取的特长生在高中阶段必须进行本专业的训练学习，对于擅自停止专业训练者，按照《临淄中学特长生管理办法》进行处理。</w:t>
      </w:r>
    </w:p>
    <w:p>
      <w:pPr>
        <w:widowControl/>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七、说明</w:t>
      </w:r>
    </w:p>
    <w:p>
      <w:pPr>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.报名相关材料请到临淄中学官方网站或临淄中学微信公众号下载。</w:t>
      </w:r>
    </w:p>
    <w:p>
      <w:pPr>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考试评委从外地聘请专家担任。</w:t>
      </w:r>
    </w:p>
    <w:p>
      <w:pPr>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.成绩公示都有具体的公示有效期，请考生及时关注，有异议的必须在公示期内以书面形式向学校反映，逾期不再受理。</w:t>
      </w:r>
    </w:p>
    <w:p>
      <w:pPr>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 xml:space="preserve">.咨询电话： 体育专业7850018，艺术专业7850022，考务7850088  </w:t>
      </w:r>
    </w:p>
    <w:p>
      <w:pPr>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w:t>
      </w:r>
      <w:r>
        <w:rPr>
          <w:rFonts w:ascii="仿宋" w:hAnsi="仿宋" w:eastAsia="仿宋" w:cs="仿宋"/>
          <w:sz w:val="32"/>
          <w:szCs w:val="32"/>
        </w:rPr>
        <w:t>上级</w:t>
      </w:r>
      <w:r>
        <w:rPr>
          <w:rFonts w:hint="eastAsia" w:ascii="仿宋" w:hAnsi="仿宋" w:eastAsia="仿宋" w:cs="仿宋"/>
          <w:sz w:val="32"/>
          <w:szCs w:val="32"/>
        </w:rPr>
        <w:t>教育</w:t>
      </w:r>
      <w:r>
        <w:rPr>
          <w:rFonts w:ascii="仿宋" w:hAnsi="仿宋" w:eastAsia="仿宋" w:cs="仿宋"/>
          <w:sz w:val="32"/>
          <w:szCs w:val="32"/>
        </w:rPr>
        <w:t>主管部门全程监督</w:t>
      </w:r>
      <w:r>
        <w:rPr>
          <w:rFonts w:hint="eastAsia" w:ascii="仿宋" w:hAnsi="仿宋" w:eastAsia="仿宋" w:cs="仿宋"/>
          <w:sz w:val="32"/>
          <w:szCs w:val="32"/>
        </w:rPr>
        <w:t>考试</w:t>
      </w:r>
      <w:r>
        <w:rPr>
          <w:rFonts w:ascii="仿宋" w:hAnsi="仿宋" w:eastAsia="仿宋" w:cs="仿宋"/>
          <w:sz w:val="32"/>
          <w:szCs w:val="32"/>
        </w:rPr>
        <w:t>及录取过</w:t>
      </w:r>
      <w:r>
        <w:rPr>
          <w:rFonts w:hint="eastAsia" w:ascii="仿宋" w:hAnsi="仿宋" w:eastAsia="仿宋" w:cs="仿宋"/>
          <w:sz w:val="32"/>
          <w:szCs w:val="32"/>
        </w:rPr>
        <w:t>程，监督投诉电话：78</w:t>
      </w:r>
      <w:r>
        <w:rPr>
          <w:rFonts w:ascii="仿宋" w:hAnsi="仿宋" w:eastAsia="仿宋" w:cs="仿宋"/>
          <w:sz w:val="32"/>
          <w:szCs w:val="32"/>
        </w:rPr>
        <w:t>66522</w:t>
      </w:r>
      <w:r>
        <w:rPr>
          <w:rFonts w:hint="eastAsia" w:ascii="仿宋" w:hAnsi="仿宋" w:eastAsia="仿宋" w:cs="仿宋"/>
          <w:sz w:val="32"/>
          <w:szCs w:val="32"/>
        </w:rPr>
        <w:t>。</w:t>
      </w:r>
    </w:p>
    <w:p>
      <w:pPr>
        <w:adjustRightInd w:val="0"/>
        <w:snapToGrid w:val="0"/>
        <w:spacing w:line="52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.其它未尽事宜另行通知。有关最新信息请及时到临淄中学网站上查询或关注“临淄中学”微信公众号后查询。</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本方案的解释权归临淄中学校委会。</w:t>
      </w:r>
    </w:p>
    <w:p>
      <w:pPr>
        <w:widowControl/>
        <w:spacing w:line="560" w:lineRule="exact"/>
        <w:ind w:firstLine="640" w:firstLineChars="200"/>
        <w:rPr>
          <w:rFonts w:ascii="仿宋_GB2312" w:hAnsi="仿宋" w:eastAsia="仿宋_GB2312" w:cs="仿宋"/>
          <w:sz w:val="32"/>
          <w:szCs w:val="32"/>
        </w:rPr>
      </w:pPr>
      <w:bookmarkStart w:id="0" w:name="_GoBack"/>
      <w:bookmarkEnd w:id="0"/>
    </w:p>
    <w:p>
      <w:pPr>
        <w:adjustRightInd w:val="0"/>
        <w:snapToGrid w:val="0"/>
        <w:spacing w:line="520" w:lineRule="exact"/>
        <w:ind w:firstLine="640" w:firstLineChars="200"/>
        <w:rPr>
          <w:rFonts w:ascii="仿宋_GB2312" w:hAnsi="仿宋" w:eastAsia="仿宋_GB2312" w:cs="仿宋"/>
          <w:sz w:val="32"/>
          <w:szCs w:val="32"/>
        </w:rPr>
      </w:pPr>
    </w:p>
    <w:p>
      <w:pPr>
        <w:adjustRightInd w:val="0"/>
        <w:snapToGrid w:val="0"/>
        <w:spacing w:line="520" w:lineRule="exact"/>
        <w:ind w:firstLine="640" w:firstLineChars="200"/>
        <w:rPr>
          <w:rFonts w:ascii="仿宋_GB2312" w:hAnsi="仿宋" w:eastAsia="仿宋_GB2312" w:cs="仿宋"/>
          <w:sz w:val="32"/>
          <w:szCs w:val="32"/>
        </w:rPr>
      </w:pPr>
    </w:p>
    <w:p>
      <w:pPr>
        <w:adjustRightInd w:val="0"/>
        <w:snapToGrid w:val="0"/>
        <w:spacing w:line="520" w:lineRule="exact"/>
        <w:rPr>
          <w:rFonts w:ascii="仿宋_GB2312" w:hAnsi="仿宋" w:eastAsia="仿宋_GB2312" w:cs="仿宋"/>
          <w:sz w:val="32"/>
          <w:szCs w:val="32"/>
        </w:rPr>
      </w:pPr>
    </w:p>
    <w:sectPr>
      <w:footerReference r:id="rId3" w:type="default"/>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MGU3N2RiOTI0MTUwY2Q4OGRiODliMDhjMTIwNTYifQ=="/>
  </w:docVars>
  <w:rsids>
    <w:rsidRoot w:val="00CE05A4"/>
    <w:rsid w:val="00014A7F"/>
    <w:rsid w:val="000260FE"/>
    <w:rsid w:val="00026B1B"/>
    <w:rsid w:val="00041B9A"/>
    <w:rsid w:val="00045664"/>
    <w:rsid w:val="00045C82"/>
    <w:rsid w:val="000567BB"/>
    <w:rsid w:val="00064B7A"/>
    <w:rsid w:val="00067CAA"/>
    <w:rsid w:val="00083A3D"/>
    <w:rsid w:val="000957BA"/>
    <w:rsid w:val="000962B6"/>
    <w:rsid w:val="000B110E"/>
    <w:rsid w:val="000B41EC"/>
    <w:rsid w:val="000D1298"/>
    <w:rsid w:val="000D3C9F"/>
    <w:rsid w:val="000F758C"/>
    <w:rsid w:val="00107CE8"/>
    <w:rsid w:val="00107F90"/>
    <w:rsid w:val="001105A0"/>
    <w:rsid w:val="00112F14"/>
    <w:rsid w:val="00126D11"/>
    <w:rsid w:val="0013513E"/>
    <w:rsid w:val="00140760"/>
    <w:rsid w:val="00142544"/>
    <w:rsid w:val="00146C57"/>
    <w:rsid w:val="00151BE2"/>
    <w:rsid w:val="001520B4"/>
    <w:rsid w:val="001539D4"/>
    <w:rsid w:val="00154017"/>
    <w:rsid w:val="00163EEB"/>
    <w:rsid w:val="00166F14"/>
    <w:rsid w:val="00170F7B"/>
    <w:rsid w:val="001714F7"/>
    <w:rsid w:val="00174012"/>
    <w:rsid w:val="001768AD"/>
    <w:rsid w:val="001964E0"/>
    <w:rsid w:val="001B2B83"/>
    <w:rsid w:val="001C63B9"/>
    <w:rsid w:val="001D4D37"/>
    <w:rsid w:val="001E1D13"/>
    <w:rsid w:val="001F19D3"/>
    <w:rsid w:val="00216AD0"/>
    <w:rsid w:val="00217286"/>
    <w:rsid w:val="002235A0"/>
    <w:rsid w:val="002422B6"/>
    <w:rsid w:val="00242BCF"/>
    <w:rsid w:val="00244190"/>
    <w:rsid w:val="00250313"/>
    <w:rsid w:val="00260563"/>
    <w:rsid w:val="002622BA"/>
    <w:rsid w:val="0028528D"/>
    <w:rsid w:val="00294B85"/>
    <w:rsid w:val="00297E9D"/>
    <w:rsid w:val="002A0CA5"/>
    <w:rsid w:val="002A3018"/>
    <w:rsid w:val="002C202D"/>
    <w:rsid w:val="002C2A7E"/>
    <w:rsid w:val="002C3C0E"/>
    <w:rsid w:val="002C6420"/>
    <w:rsid w:val="002D0486"/>
    <w:rsid w:val="002D7238"/>
    <w:rsid w:val="00306A05"/>
    <w:rsid w:val="00307DCA"/>
    <w:rsid w:val="0031134E"/>
    <w:rsid w:val="003309B0"/>
    <w:rsid w:val="00333880"/>
    <w:rsid w:val="0035015D"/>
    <w:rsid w:val="0036057E"/>
    <w:rsid w:val="00377EC3"/>
    <w:rsid w:val="00386D36"/>
    <w:rsid w:val="00391421"/>
    <w:rsid w:val="003917D2"/>
    <w:rsid w:val="003A1F8C"/>
    <w:rsid w:val="003A7A93"/>
    <w:rsid w:val="003B019F"/>
    <w:rsid w:val="003C36F5"/>
    <w:rsid w:val="003C4974"/>
    <w:rsid w:val="003F1636"/>
    <w:rsid w:val="004003B6"/>
    <w:rsid w:val="00405F0B"/>
    <w:rsid w:val="004078C0"/>
    <w:rsid w:val="00415CD7"/>
    <w:rsid w:val="004208DF"/>
    <w:rsid w:val="0043163F"/>
    <w:rsid w:val="00432499"/>
    <w:rsid w:val="00436B88"/>
    <w:rsid w:val="00436DC1"/>
    <w:rsid w:val="00452105"/>
    <w:rsid w:val="0046176A"/>
    <w:rsid w:val="00474EC3"/>
    <w:rsid w:val="00475D79"/>
    <w:rsid w:val="004943ED"/>
    <w:rsid w:val="004A30F3"/>
    <w:rsid w:val="004A4F4C"/>
    <w:rsid w:val="004B0785"/>
    <w:rsid w:val="004B2C86"/>
    <w:rsid w:val="004C531F"/>
    <w:rsid w:val="004C5C19"/>
    <w:rsid w:val="004C6C78"/>
    <w:rsid w:val="004D4664"/>
    <w:rsid w:val="004F68DE"/>
    <w:rsid w:val="00502FCE"/>
    <w:rsid w:val="00507C4F"/>
    <w:rsid w:val="00512844"/>
    <w:rsid w:val="005145DB"/>
    <w:rsid w:val="00533C8E"/>
    <w:rsid w:val="00537DFE"/>
    <w:rsid w:val="00572DA4"/>
    <w:rsid w:val="00582BFE"/>
    <w:rsid w:val="005844A0"/>
    <w:rsid w:val="0059240A"/>
    <w:rsid w:val="005933ED"/>
    <w:rsid w:val="005A6750"/>
    <w:rsid w:val="005B5692"/>
    <w:rsid w:val="005C0E29"/>
    <w:rsid w:val="005C6763"/>
    <w:rsid w:val="005E31A7"/>
    <w:rsid w:val="005E487B"/>
    <w:rsid w:val="00600816"/>
    <w:rsid w:val="00633A6A"/>
    <w:rsid w:val="00641C70"/>
    <w:rsid w:val="0065183D"/>
    <w:rsid w:val="00652CD2"/>
    <w:rsid w:val="00671578"/>
    <w:rsid w:val="00675732"/>
    <w:rsid w:val="0068114F"/>
    <w:rsid w:val="006821E0"/>
    <w:rsid w:val="0068619F"/>
    <w:rsid w:val="006B79E0"/>
    <w:rsid w:val="006D56AC"/>
    <w:rsid w:val="006D7EAA"/>
    <w:rsid w:val="006E21A6"/>
    <w:rsid w:val="006E2E92"/>
    <w:rsid w:val="006E47CC"/>
    <w:rsid w:val="006F3825"/>
    <w:rsid w:val="006F7B68"/>
    <w:rsid w:val="00704312"/>
    <w:rsid w:val="00717AD9"/>
    <w:rsid w:val="00722EB1"/>
    <w:rsid w:val="00732A00"/>
    <w:rsid w:val="007547EF"/>
    <w:rsid w:val="007553DB"/>
    <w:rsid w:val="007561DF"/>
    <w:rsid w:val="007675B6"/>
    <w:rsid w:val="0077183B"/>
    <w:rsid w:val="00771A30"/>
    <w:rsid w:val="00797B1B"/>
    <w:rsid w:val="007A6323"/>
    <w:rsid w:val="007B03A8"/>
    <w:rsid w:val="007B62DF"/>
    <w:rsid w:val="007C4929"/>
    <w:rsid w:val="007C569F"/>
    <w:rsid w:val="007D51EC"/>
    <w:rsid w:val="007F027D"/>
    <w:rsid w:val="007F6407"/>
    <w:rsid w:val="008038DF"/>
    <w:rsid w:val="0080719E"/>
    <w:rsid w:val="00807F75"/>
    <w:rsid w:val="00814BF2"/>
    <w:rsid w:val="008238FF"/>
    <w:rsid w:val="00824EBA"/>
    <w:rsid w:val="00827D8F"/>
    <w:rsid w:val="00835064"/>
    <w:rsid w:val="00843D6D"/>
    <w:rsid w:val="00853D00"/>
    <w:rsid w:val="0085738B"/>
    <w:rsid w:val="00873E7A"/>
    <w:rsid w:val="00874984"/>
    <w:rsid w:val="00882433"/>
    <w:rsid w:val="00891AC8"/>
    <w:rsid w:val="00897EF2"/>
    <w:rsid w:val="008C4DEF"/>
    <w:rsid w:val="008D0676"/>
    <w:rsid w:val="008D6060"/>
    <w:rsid w:val="008E365C"/>
    <w:rsid w:val="00900BD2"/>
    <w:rsid w:val="00907FF0"/>
    <w:rsid w:val="0092501F"/>
    <w:rsid w:val="0093143B"/>
    <w:rsid w:val="00932064"/>
    <w:rsid w:val="00941073"/>
    <w:rsid w:val="0094389A"/>
    <w:rsid w:val="009505FB"/>
    <w:rsid w:val="00950B08"/>
    <w:rsid w:val="00952587"/>
    <w:rsid w:val="00953619"/>
    <w:rsid w:val="00961237"/>
    <w:rsid w:val="0099501B"/>
    <w:rsid w:val="009A137F"/>
    <w:rsid w:val="009A6760"/>
    <w:rsid w:val="009B586C"/>
    <w:rsid w:val="009B5E84"/>
    <w:rsid w:val="009C46C4"/>
    <w:rsid w:val="009F37AF"/>
    <w:rsid w:val="009F5352"/>
    <w:rsid w:val="009F6BE5"/>
    <w:rsid w:val="00A05C5C"/>
    <w:rsid w:val="00A06566"/>
    <w:rsid w:val="00A14167"/>
    <w:rsid w:val="00A25121"/>
    <w:rsid w:val="00A32CD7"/>
    <w:rsid w:val="00A418AC"/>
    <w:rsid w:val="00A4420D"/>
    <w:rsid w:val="00A54CEA"/>
    <w:rsid w:val="00A54F13"/>
    <w:rsid w:val="00A61221"/>
    <w:rsid w:val="00A66681"/>
    <w:rsid w:val="00A668AA"/>
    <w:rsid w:val="00A7791D"/>
    <w:rsid w:val="00A8248A"/>
    <w:rsid w:val="00A85D09"/>
    <w:rsid w:val="00A8645B"/>
    <w:rsid w:val="00A92A3F"/>
    <w:rsid w:val="00A953A2"/>
    <w:rsid w:val="00A979E9"/>
    <w:rsid w:val="00A97C5A"/>
    <w:rsid w:val="00AA7EB5"/>
    <w:rsid w:val="00AD2EBC"/>
    <w:rsid w:val="00AE0690"/>
    <w:rsid w:val="00AE7A44"/>
    <w:rsid w:val="00AE7CFE"/>
    <w:rsid w:val="00AF2495"/>
    <w:rsid w:val="00AF4FEF"/>
    <w:rsid w:val="00B04D74"/>
    <w:rsid w:val="00B143E3"/>
    <w:rsid w:val="00B23362"/>
    <w:rsid w:val="00B36B60"/>
    <w:rsid w:val="00B549B4"/>
    <w:rsid w:val="00B809F1"/>
    <w:rsid w:val="00B81217"/>
    <w:rsid w:val="00B97974"/>
    <w:rsid w:val="00BA06AD"/>
    <w:rsid w:val="00BA20A7"/>
    <w:rsid w:val="00BA42F3"/>
    <w:rsid w:val="00BA749C"/>
    <w:rsid w:val="00BB7338"/>
    <w:rsid w:val="00BE10DF"/>
    <w:rsid w:val="00BE18B5"/>
    <w:rsid w:val="00BF24C5"/>
    <w:rsid w:val="00C129E8"/>
    <w:rsid w:val="00C146BE"/>
    <w:rsid w:val="00C30DD9"/>
    <w:rsid w:val="00C37033"/>
    <w:rsid w:val="00C518FB"/>
    <w:rsid w:val="00C55B39"/>
    <w:rsid w:val="00C6198D"/>
    <w:rsid w:val="00C74364"/>
    <w:rsid w:val="00C857F1"/>
    <w:rsid w:val="00C91F70"/>
    <w:rsid w:val="00C947B6"/>
    <w:rsid w:val="00CA3CF6"/>
    <w:rsid w:val="00CB4021"/>
    <w:rsid w:val="00CC14AD"/>
    <w:rsid w:val="00CC6035"/>
    <w:rsid w:val="00CE0187"/>
    <w:rsid w:val="00CE05A4"/>
    <w:rsid w:val="00CE7F3F"/>
    <w:rsid w:val="00CF67F9"/>
    <w:rsid w:val="00D03170"/>
    <w:rsid w:val="00D05CB1"/>
    <w:rsid w:val="00D1075A"/>
    <w:rsid w:val="00D12F2A"/>
    <w:rsid w:val="00D22D65"/>
    <w:rsid w:val="00D25854"/>
    <w:rsid w:val="00D3323E"/>
    <w:rsid w:val="00D33D5E"/>
    <w:rsid w:val="00D35E2E"/>
    <w:rsid w:val="00D4271D"/>
    <w:rsid w:val="00D42B30"/>
    <w:rsid w:val="00D43BE3"/>
    <w:rsid w:val="00D52EFB"/>
    <w:rsid w:val="00D61CF6"/>
    <w:rsid w:val="00D63BD5"/>
    <w:rsid w:val="00D648CA"/>
    <w:rsid w:val="00D75358"/>
    <w:rsid w:val="00D84093"/>
    <w:rsid w:val="00D84BBE"/>
    <w:rsid w:val="00D90BAA"/>
    <w:rsid w:val="00D91E2F"/>
    <w:rsid w:val="00D96FBA"/>
    <w:rsid w:val="00D97139"/>
    <w:rsid w:val="00DC1F8A"/>
    <w:rsid w:val="00DC2D8C"/>
    <w:rsid w:val="00DC7D97"/>
    <w:rsid w:val="00DD49F3"/>
    <w:rsid w:val="00E010C6"/>
    <w:rsid w:val="00E10AA3"/>
    <w:rsid w:val="00E129AE"/>
    <w:rsid w:val="00E170D7"/>
    <w:rsid w:val="00E201D8"/>
    <w:rsid w:val="00E25E63"/>
    <w:rsid w:val="00E25F35"/>
    <w:rsid w:val="00E301E2"/>
    <w:rsid w:val="00E3171A"/>
    <w:rsid w:val="00E339D9"/>
    <w:rsid w:val="00E424DD"/>
    <w:rsid w:val="00E47640"/>
    <w:rsid w:val="00E62DBE"/>
    <w:rsid w:val="00E650CF"/>
    <w:rsid w:val="00E8029C"/>
    <w:rsid w:val="00E81179"/>
    <w:rsid w:val="00EA01D8"/>
    <w:rsid w:val="00EB26B9"/>
    <w:rsid w:val="00EB776D"/>
    <w:rsid w:val="00ED6ECD"/>
    <w:rsid w:val="00EF3440"/>
    <w:rsid w:val="00F002A1"/>
    <w:rsid w:val="00F10CAB"/>
    <w:rsid w:val="00F142EB"/>
    <w:rsid w:val="00F31E9A"/>
    <w:rsid w:val="00F32B23"/>
    <w:rsid w:val="00F34A1B"/>
    <w:rsid w:val="00F453F5"/>
    <w:rsid w:val="00F52EEE"/>
    <w:rsid w:val="00F623CB"/>
    <w:rsid w:val="00F7053D"/>
    <w:rsid w:val="00F7213D"/>
    <w:rsid w:val="00F7673B"/>
    <w:rsid w:val="00F76F0E"/>
    <w:rsid w:val="00FA20EC"/>
    <w:rsid w:val="00FA424F"/>
    <w:rsid w:val="00FB2C99"/>
    <w:rsid w:val="00FB4822"/>
    <w:rsid w:val="00FC7030"/>
    <w:rsid w:val="00FC7E0F"/>
    <w:rsid w:val="00FD39E0"/>
    <w:rsid w:val="00FD431F"/>
    <w:rsid w:val="00FD4867"/>
    <w:rsid w:val="00FD5EF0"/>
    <w:rsid w:val="00FF3C04"/>
    <w:rsid w:val="00FF654A"/>
    <w:rsid w:val="01EF0D8B"/>
    <w:rsid w:val="15C01932"/>
    <w:rsid w:val="32D07350"/>
    <w:rsid w:val="3A9C4C4A"/>
    <w:rsid w:val="45D331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宋体"/>
      <w:szCs w:val="21"/>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rFonts w:ascii="Calibri" w:hAnsi="Calibri"/>
      <w:sz w:val="24"/>
    </w:rPr>
  </w:style>
  <w:style w:type="character" w:styleId="10">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1">
    <w:name w:val="Hyperlink"/>
    <w:qFormat/>
    <w:uiPriority w:val="0"/>
    <w:rPr>
      <w:color w:val="0000FF"/>
      <w:u w:val="single"/>
    </w:rPr>
  </w:style>
  <w:style w:type="character" w:customStyle="1" w:styleId="12">
    <w:name w:val="纯文本 Char"/>
    <w:link w:val="2"/>
    <w:qFormat/>
    <w:locked/>
    <w:uiPriority w:val="99"/>
    <w:rPr>
      <w:rFonts w:ascii="宋体" w:hAnsi="Courier New" w:eastAsia="宋体" w:cs="宋体"/>
      <w:sz w:val="21"/>
      <w:szCs w:val="21"/>
    </w:rPr>
  </w:style>
  <w:style w:type="character" w:customStyle="1" w:styleId="13">
    <w:name w:val="页眉 Char"/>
    <w:link w:val="6"/>
    <w:qFormat/>
    <w:locked/>
    <w:uiPriority w:val="99"/>
    <w:rPr>
      <w:rFonts w:ascii="Times New Roman" w:hAnsi="Times New Roman" w:eastAsia="宋体" w:cs="Times New Roman"/>
      <w:sz w:val="18"/>
      <w:szCs w:val="18"/>
    </w:rPr>
  </w:style>
  <w:style w:type="character" w:customStyle="1" w:styleId="14">
    <w:name w:val="页脚 Char"/>
    <w:link w:val="5"/>
    <w:qFormat/>
    <w:locked/>
    <w:uiPriority w:val="99"/>
    <w:rPr>
      <w:rFonts w:ascii="Times New Roman" w:hAnsi="Times New Roman" w:eastAsia="宋体" w:cs="Times New Roman"/>
      <w:sz w:val="18"/>
      <w:szCs w:val="18"/>
    </w:rPr>
  </w:style>
  <w:style w:type="character" w:customStyle="1" w:styleId="15">
    <w:name w:val="日期 Char"/>
    <w:link w:val="3"/>
    <w:semiHidden/>
    <w:qFormat/>
    <w:uiPriority w:val="99"/>
    <w:rPr>
      <w:rFonts w:ascii="Times New Roman" w:hAnsi="Times New Roman"/>
      <w:kern w:val="2"/>
      <w:sz w:val="21"/>
      <w:szCs w:val="24"/>
    </w:rPr>
  </w:style>
  <w:style w:type="character" w:customStyle="1" w:styleId="16">
    <w:name w:val="批注框文本 Char"/>
    <w:basedOn w:val="9"/>
    <w:link w:val="4"/>
    <w:semiHidden/>
    <w:qFormat/>
    <w:uiPriority w:val="99"/>
    <w:rPr>
      <w:kern w:val="2"/>
      <w:sz w:val="18"/>
      <w:szCs w:val="18"/>
    </w:rPr>
  </w:style>
  <w:style w:type="paragraph" w:customStyle="1" w:styleId="17">
    <w:name w:val="p0"/>
    <w:basedOn w:val="1"/>
    <w:qFormat/>
    <w:uiPriority w:val="0"/>
    <w:pPr>
      <w:widowControl/>
      <w:jc w:val="left"/>
    </w:pPr>
    <w:rPr>
      <w:kern w:val="0"/>
      <w:szCs w:val="21"/>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1367E-8640-4620-B37C-890BC058C487}">
  <ds:schemaRefs/>
</ds:datastoreItem>
</file>

<file path=docProps/app.xml><?xml version="1.0" encoding="utf-8"?>
<Properties xmlns="http://schemas.openxmlformats.org/officeDocument/2006/extended-properties" xmlns:vt="http://schemas.openxmlformats.org/officeDocument/2006/docPropsVTypes">
  <Template>Normal</Template>
  <Pages>9</Pages>
  <Words>4237</Words>
  <Characters>4504</Characters>
  <Lines>34</Lines>
  <Paragraphs>9</Paragraphs>
  <TotalTime>140</TotalTime>
  <ScaleCrop>false</ScaleCrop>
  <LinksUpToDate>false</LinksUpToDate>
  <CharactersWithSpaces>4606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2022-05-17T09:43:00Z</dcterms:created>
  <dc:creator>PC</dc:creator>
  <cp:lastModifiedBy>七七</cp:lastModifiedBy>
  <cp:lastPrinted>2022-05-22T12:00:00Z</cp:lastPrinted>
  <dcterms:modified xsi:type="dcterms:W3CDTF">2022-10-10T12:10:34Z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CC79A30A9C694A55AAEF02DA9B344DBA</vt:lpwstr>
  </property>
</Properties>
</file>