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黑体" w:eastAsia="方正小标宋简体"/>
          <w:sz w:val="44"/>
          <w:szCs w:val="44"/>
        </w:rPr>
      </w:pPr>
    </w:p>
    <w:p>
      <w:pPr>
        <w:spacing w:line="640" w:lineRule="exact"/>
        <w:jc w:val="center"/>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临淄区</w:t>
      </w:r>
      <w:r>
        <w:rPr>
          <w:rFonts w:hint="eastAsia" w:ascii="方正小标宋简体" w:hAnsi="黑体" w:eastAsia="方正小标宋简体"/>
          <w:sz w:val="44"/>
          <w:szCs w:val="44"/>
          <w:lang w:eastAsia="zh-CN"/>
        </w:rPr>
        <w:t>教育和体育局</w:t>
      </w:r>
    </w:p>
    <w:p>
      <w:pPr>
        <w:spacing w:line="640" w:lineRule="exact"/>
        <w:jc w:val="center"/>
        <w:rPr>
          <w:rFonts w:ascii="方正小标宋简体" w:hAnsi="黑体" w:eastAsia="方正小标宋简体"/>
          <w:sz w:val="44"/>
          <w:szCs w:val="44"/>
        </w:rPr>
      </w:pPr>
      <w:r>
        <w:rPr>
          <w:rFonts w:hint="eastAsia" w:ascii="方正小标宋简体" w:hAnsi="黑体" w:eastAsia="方正小标宋简体"/>
          <w:sz w:val="44"/>
          <w:szCs w:val="44"/>
          <w:lang w:val="en-US" w:eastAsia="zh-CN"/>
        </w:rPr>
        <w:t>2022</w:t>
      </w:r>
      <w:r>
        <w:rPr>
          <w:rFonts w:hint="eastAsia" w:ascii="方正小标宋简体" w:hAnsi="黑体" w:eastAsia="方正小标宋简体"/>
          <w:sz w:val="44"/>
          <w:szCs w:val="44"/>
        </w:rPr>
        <w:t>年政府信息公开工作年度报告</w:t>
      </w:r>
    </w:p>
    <w:p>
      <w:pPr>
        <w:spacing w:line="640" w:lineRule="exact"/>
        <w:jc w:val="center"/>
        <w:rPr>
          <w:rFonts w:ascii="方正小标宋简体" w:hAnsi="黑体" w:eastAsia="方正小标宋简体"/>
          <w:sz w:val="44"/>
          <w:szCs w:val="44"/>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的统计期限自2022年1月1日起，至2022年12月31日止。如对报告内容有疑问，请与临淄区教育和体育局联系（地址：临淄区晏婴路185号；邮编：255400；电话：0533-7866502；邮箱：lzqjyjbgs@</w:t>
      </w:r>
      <w:r>
        <w:rPr>
          <w:rFonts w:ascii="仿宋" w:hAnsi="仿宋" w:eastAsia="仿宋" w:cs="仿宋"/>
          <w:i w:val="0"/>
          <w:iCs w:val="0"/>
          <w:caps w:val="0"/>
          <w:color w:val="000000"/>
          <w:spacing w:val="0"/>
          <w:sz w:val="32"/>
          <w:szCs w:val="32"/>
          <w:shd w:val="clear" w:fill="FFFFFF"/>
        </w:rPr>
        <w:t>zb.shandong.cn</w:t>
      </w:r>
      <w:r>
        <w:rPr>
          <w:rFonts w:hint="eastAsia" w:ascii="仿宋_GB2312" w:hAnsi="仿宋_GB2312" w:eastAsia="仿宋_GB2312" w:cs="仿宋_GB2312"/>
          <w:color w:val="000000"/>
          <w:sz w:val="32"/>
          <w:szCs w:val="32"/>
          <w:lang w:val="en-US" w:eastAsia="zh-CN"/>
        </w:rPr>
        <w:t>）。</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pPr>
      <w:r>
        <w:rPr>
          <w:rFonts w:ascii="黑体" w:hAnsi="宋体" w:eastAsia="黑体" w:cs="黑体"/>
          <w:sz w:val="32"/>
          <w:szCs w:val="32"/>
        </w:rPr>
        <w:t>一、总体情况</w:t>
      </w: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2022年，区教体局以习近平新时代中国特色社会主义思想为指导，始终坚持以人民为中心的发展理念，全面落实各级政府关于政务公开的工作要求，严格遵循“以公开为原则，不公开为例外”的原则，稳步推进政府信息公开工作，为临淄高质量发展贡献教体力量。</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20" w:lineRule="atLeast"/>
        <w:ind w:right="0" w:rightChars="0" w:firstLine="640" w:firstLineChars="200"/>
        <w:jc w:val="both"/>
        <w:rPr>
          <w:rFonts w:hint="eastAsia" w:ascii="仿宋_GB2312" w:hAnsi="仿宋_GB2312" w:eastAsia="仿宋_GB2312" w:cs="仿宋_GB2312"/>
          <w:color w:val="auto"/>
          <w:kern w:val="2"/>
          <w:sz w:val="32"/>
          <w:szCs w:val="32"/>
          <w:lang w:val="en-US" w:eastAsia="zh-CN" w:bidi="ar-SA"/>
        </w:rPr>
      </w:pPr>
      <w:r>
        <w:rPr>
          <w:rFonts w:hint="eastAsia" w:ascii="楷体_GB2312" w:eastAsia="楷体_GB2312" w:cs="楷体_GB2312"/>
          <w:caps w:val="0"/>
          <w:color w:val="000000"/>
          <w:spacing w:val="0"/>
          <w:sz w:val="32"/>
          <w:szCs w:val="32"/>
          <w:shd w:val="clear" w:fill="FFFFFF"/>
          <w:lang w:val="en-US" w:eastAsia="zh-CN"/>
        </w:rPr>
        <w:t>1.</w:t>
      </w:r>
      <w:r>
        <w:rPr>
          <w:rFonts w:hint="eastAsia" w:ascii="楷体_GB2312" w:eastAsia="楷体_GB2312" w:cs="楷体_GB2312"/>
          <w:caps w:val="0"/>
          <w:color w:val="000000"/>
          <w:spacing w:val="0"/>
          <w:sz w:val="32"/>
          <w:szCs w:val="32"/>
          <w:shd w:val="clear" w:fill="FFFFFF"/>
        </w:rPr>
        <w:t>主动公开情况。</w:t>
      </w:r>
      <w:r>
        <w:rPr>
          <w:rFonts w:hint="eastAsia" w:ascii="仿宋_GB2312" w:hAnsi="仿宋_GB2312" w:eastAsia="仿宋_GB2312" w:cs="仿宋_GB2312"/>
          <w:color w:val="auto"/>
          <w:kern w:val="2"/>
          <w:sz w:val="32"/>
          <w:szCs w:val="32"/>
          <w:lang w:val="en-US" w:eastAsia="zh-CN" w:bidi="ar-SA"/>
        </w:rPr>
        <w:t>依托临淄区人民政府网站和“临淄教育”官方微博、微信公众号、视频号、抖音号等多个平台，主动公开与人民群众利益相关的政府信息和教育政策信息。在区政府政务信息公开栏目公开机构职能、部门会议、预算决算、人事信息等173条。在“临淄教育”微博公开信息1548条；微信公众号公开信息1488条，视频号、抖音号公开信息856条。</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autoSpaceDE w:val="0"/>
        <w:autoSpaceDN/>
        <w:spacing w:before="0" w:beforeAutospacing="0" w:after="0" w:afterAutospacing="0" w:line="620" w:lineRule="atLeast"/>
        <w:ind w:right="0" w:rightChars="0"/>
        <w:jc w:val="both"/>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 xml:space="preserve">   </w:t>
      </w:r>
      <w:r>
        <w:rPr>
          <w:rFonts w:ascii="仿宋" w:hAnsi="仿宋" w:eastAsia="仿宋" w:cs="仿宋"/>
          <w:i w:val="0"/>
          <w:iCs w:val="0"/>
          <w:caps w:val="0"/>
          <w:color w:val="000000"/>
          <w:spacing w:val="0"/>
          <w:sz w:val="32"/>
          <w:szCs w:val="32"/>
          <w:shd w:val="clear" w:fill="FFFFFF"/>
        </w:rPr>
        <w:t>中小学信息公开工作开展情况。</w:t>
      </w:r>
      <w:r>
        <w:rPr>
          <w:rFonts w:hint="eastAsia" w:ascii="仿宋" w:hAnsi="仿宋" w:eastAsia="仿宋" w:cs="仿宋"/>
          <w:i w:val="0"/>
          <w:iCs w:val="0"/>
          <w:caps w:val="0"/>
          <w:color w:val="000000"/>
          <w:spacing w:val="0"/>
          <w:sz w:val="32"/>
          <w:szCs w:val="32"/>
          <w:shd w:val="clear" w:fill="FFFFFF"/>
          <w:lang w:val="en-US" w:eastAsia="zh-CN"/>
        </w:rPr>
        <w:t>根据</w:t>
      </w:r>
      <w:r>
        <w:rPr>
          <w:rFonts w:ascii="仿宋" w:hAnsi="仿宋" w:eastAsia="仿宋" w:cs="仿宋"/>
          <w:i w:val="0"/>
          <w:iCs w:val="0"/>
          <w:caps w:val="0"/>
          <w:color w:val="000000"/>
          <w:spacing w:val="0"/>
          <w:sz w:val="32"/>
          <w:szCs w:val="32"/>
          <w:shd w:val="clear" w:fill="FFFFFF"/>
        </w:rPr>
        <w:t>《</w:t>
      </w:r>
      <w:r>
        <w:rPr>
          <w:rFonts w:hint="eastAsia" w:ascii="仿宋" w:hAnsi="仿宋" w:eastAsia="仿宋" w:cs="仿宋"/>
          <w:i w:val="0"/>
          <w:iCs w:val="0"/>
          <w:caps w:val="0"/>
          <w:color w:val="000000"/>
          <w:spacing w:val="0"/>
          <w:sz w:val="32"/>
          <w:szCs w:val="32"/>
          <w:shd w:val="clear" w:fill="FFFFFF"/>
        </w:rPr>
        <w:t>关于做好迎接山东省公共企事业单位信息公开第三方评估工作的通知》</w:t>
      </w:r>
      <w:r>
        <w:rPr>
          <w:rFonts w:hint="eastAsia" w:ascii="仿宋" w:hAnsi="仿宋" w:eastAsia="仿宋" w:cs="仿宋"/>
          <w:i w:val="0"/>
          <w:iCs w:val="0"/>
          <w:caps w:val="0"/>
          <w:color w:val="000000"/>
          <w:spacing w:val="0"/>
          <w:sz w:val="32"/>
          <w:szCs w:val="32"/>
          <w:shd w:val="clear" w:fill="FFFFFF"/>
          <w:lang w:val="en-US" w:eastAsia="zh-CN"/>
        </w:rPr>
        <w:t>要求，督促、指导各中小学</w:t>
      </w:r>
      <w:r>
        <w:rPr>
          <w:rFonts w:hint="eastAsia" w:ascii="仿宋_GB2312" w:hAnsi="仿宋_GB2312" w:eastAsia="仿宋_GB2312" w:cs="仿宋_GB2312"/>
          <w:color w:val="auto"/>
          <w:sz w:val="32"/>
          <w:szCs w:val="32"/>
          <w:lang w:val="en-US" w:eastAsia="zh-CN"/>
        </w:rPr>
        <w:t>对照《山东省普通中小学主动公开基本目录》《山东省中等职业学校主动公开基本目录》，梳理公开信息内容</w:t>
      </w:r>
      <w:r>
        <w:rPr>
          <w:rFonts w:hint="eastAsia" w:ascii="仿宋" w:hAnsi="仿宋" w:eastAsia="仿宋" w:cs="仿宋"/>
          <w:i w:val="0"/>
          <w:iCs w:val="0"/>
          <w:caps w:val="0"/>
          <w:color w:val="000000"/>
          <w:spacing w:val="0"/>
          <w:sz w:val="32"/>
          <w:szCs w:val="32"/>
          <w:shd w:val="clear" w:fill="FFFFFF"/>
          <w:lang w:val="en-US" w:eastAsia="zh-CN"/>
        </w:rPr>
        <w:t>，</w:t>
      </w:r>
      <w:r>
        <w:rPr>
          <w:rFonts w:hint="eastAsia" w:ascii="仿宋_GB2312" w:hAnsi="仿宋_GB2312" w:eastAsia="仿宋_GB2312" w:cs="仿宋_GB2312"/>
          <w:color w:val="auto"/>
          <w:kern w:val="2"/>
          <w:sz w:val="32"/>
          <w:szCs w:val="32"/>
          <w:lang w:val="en-US" w:eastAsia="zh-CN" w:bidi="ar-SA"/>
        </w:rPr>
        <w:t xml:space="preserve">公共企事业单位教育领域主动公开学校概况、规划统计、财务信息、招生录取信息等2901条。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 w:hAnsi="仿宋" w:eastAsia="仿宋" w:cs="仿宋"/>
          <w:caps w:val="0"/>
          <w:color w:val="000000"/>
          <w:spacing w:val="0"/>
          <w:sz w:val="32"/>
          <w:szCs w:val="32"/>
          <w:shd w:val="clear" w:fill="FFFFFF"/>
        </w:rPr>
      </w:pPr>
      <w:r>
        <w:rPr>
          <w:rFonts w:hint="eastAsia" w:ascii="楷体_GB2312" w:eastAsia="楷体_GB2312" w:cs="楷体_GB2312"/>
          <w:caps w:val="0"/>
          <w:color w:val="000000"/>
          <w:spacing w:val="0"/>
          <w:sz w:val="32"/>
          <w:szCs w:val="32"/>
          <w:lang w:val="en-US" w:eastAsia="zh-CN"/>
        </w:rPr>
        <w:t>2.</w:t>
      </w:r>
      <w:r>
        <w:rPr>
          <w:rFonts w:hint="eastAsia" w:ascii="楷体_GB2312" w:hAnsi="宋体" w:eastAsia="楷体_GB2312" w:cs="楷体_GB2312"/>
          <w:caps w:val="0"/>
          <w:color w:val="000000"/>
          <w:spacing w:val="0"/>
          <w:sz w:val="32"/>
          <w:szCs w:val="32"/>
        </w:rPr>
        <w:t>依申请公开情况。</w:t>
      </w:r>
      <w:r>
        <w:rPr>
          <w:rFonts w:hint="eastAsia" w:ascii="仿宋_GB2312" w:hAnsi="仿宋_GB2312" w:eastAsia="仿宋_GB2312" w:cs="仿宋_GB2312"/>
          <w:caps w:val="0"/>
          <w:color w:val="000000"/>
          <w:spacing w:val="0"/>
          <w:sz w:val="32"/>
          <w:szCs w:val="32"/>
          <w:lang w:val="en-US" w:eastAsia="zh-CN"/>
        </w:rPr>
        <w:t>2022</w:t>
      </w:r>
      <w:r>
        <w:rPr>
          <w:rFonts w:hint="eastAsia" w:ascii="仿宋_GB2312" w:hAnsi="仿宋_GB2312" w:eastAsia="仿宋_GB2312" w:cs="仿宋_GB2312"/>
          <w:caps w:val="0"/>
          <w:color w:val="000000"/>
          <w:spacing w:val="0"/>
          <w:sz w:val="32"/>
          <w:szCs w:val="32"/>
        </w:rPr>
        <w:t>年</w:t>
      </w:r>
      <w:r>
        <w:rPr>
          <w:rFonts w:hint="eastAsia" w:ascii="仿宋_GB2312" w:hAnsi="仿宋_GB2312" w:eastAsia="仿宋_GB2312" w:cs="仿宋_GB2312"/>
          <w:caps w:val="0"/>
          <w:color w:val="000000"/>
          <w:spacing w:val="0"/>
          <w:sz w:val="32"/>
          <w:szCs w:val="32"/>
          <w:lang w:eastAsia="zh-CN"/>
        </w:rPr>
        <w:t>，我局受理依申请公开5件，与202</w:t>
      </w:r>
      <w:r>
        <w:rPr>
          <w:rFonts w:hint="eastAsia" w:ascii="仿宋_GB2312" w:hAnsi="仿宋_GB2312" w:eastAsia="仿宋_GB2312" w:cs="仿宋_GB2312"/>
          <w:caps w:val="0"/>
          <w:color w:val="000000"/>
          <w:spacing w:val="0"/>
          <w:sz w:val="32"/>
          <w:szCs w:val="32"/>
          <w:lang w:val="en-US" w:eastAsia="zh-CN"/>
        </w:rPr>
        <w:t>1</w:t>
      </w:r>
      <w:r>
        <w:rPr>
          <w:rFonts w:hint="eastAsia" w:ascii="仿宋_GB2312" w:hAnsi="仿宋_GB2312" w:eastAsia="仿宋_GB2312" w:cs="仿宋_GB2312"/>
          <w:caps w:val="0"/>
          <w:color w:val="000000"/>
          <w:spacing w:val="0"/>
          <w:sz w:val="32"/>
          <w:szCs w:val="32"/>
          <w:lang w:eastAsia="zh-CN"/>
        </w:rPr>
        <w:t>年相比同期增加3件。</w:t>
      </w:r>
      <w:r>
        <w:rPr>
          <w:rFonts w:hint="eastAsia" w:ascii="仿宋_GB2312" w:hAnsi="仿宋_GB2312" w:eastAsia="仿宋_GB2312" w:cs="仿宋_GB2312"/>
          <w:caps w:val="0"/>
          <w:color w:val="000000"/>
          <w:spacing w:val="0"/>
          <w:sz w:val="32"/>
          <w:szCs w:val="32"/>
          <w:lang w:val="en-US" w:eastAsia="zh-CN"/>
        </w:rPr>
        <w:t>其中，</w:t>
      </w:r>
      <w:r>
        <w:rPr>
          <w:rFonts w:hint="eastAsia" w:ascii="仿宋_GB2312" w:hAnsi="仿宋_GB2312" w:eastAsia="仿宋_GB2312" w:cs="仿宋_GB2312"/>
          <w:caps w:val="0"/>
          <w:color w:val="000000"/>
          <w:spacing w:val="0"/>
          <w:sz w:val="32"/>
          <w:szCs w:val="32"/>
          <w:shd w:val="clear" w:fill="FFFFFF"/>
        </w:rPr>
        <w:t>通过政府平台</w:t>
      </w:r>
      <w:r>
        <w:rPr>
          <w:rFonts w:hint="eastAsia" w:ascii="仿宋_GB2312" w:hAnsi="仿宋_GB2312" w:eastAsia="仿宋_GB2312" w:cs="仿宋_GB2312"/>
          <w:caps w:val="0"/>
          <w:color w:val="000000"/>
          <w:spacing w:val="0"/>
          <w:sz w:val="32"/>
          <w:szCs w:val="32"/>
          <w:shd w:val="clear" w:fill="FFFFFF"/>
          <w:lang w:val="en-US" w:eastAsia="zh-CN"/>
        </w:rPr>
        <w:t>申请3件，本人当面申请1件，邮寄申请1件，主要涉及教师招聘、入学报名、招生结果、春季高考等相关信息，全部按时办结，及时受理率和答复率均达到100%</w:t>
      </w:r>
      <w:r>
        <w:rPr>
          <w:rFonts w:hint="eastAsia" w:ascii="仿宋_GB2312" w:hAnsi="仿宋_GB2312" w:eastAsia="仿宋_GB2312" w:cs="仿宋_GB2312"/>
          <w:caps w:val="0"/>
          <w:color w:val="000000"/>
          <w:spacing w:val="0"/>
          <w:sz w:val="32"/>
          <w:szCs w:val="32"/>
          <w:shd w:val="clear" w:fill="FFFFFF"/>
        </w:rPr>
        <w:t>。</w:t>
      </w:r>
      <w:r>
        <w:rPr>
          <w:rFonts w:hint="eastAsia" w:ascii="仿宋_GB2312" w:hAnsi="仿宋_GB2312" w:eastAsia="仿宋_GB2312" w:cs="仿宋_GB2312"/>
          <w:caps w:val="0"/>
          <w:color w:val="000000"/>
          <w:spacing w:val="0"/>
          <w:sz w:val="32"/>
          <w:szCs w:val="32"/>
          <w:shd w:val="clear" w:fill="FFFFFF"/>
          <w:lang w:val="en-US" w:eastAsia="zh-CN"/>
        </w:rPr>
        <w:t>全年未收到依申请公开的行政复议和行政诉讼。</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default"/>
          <w:lang w:val="en-US" w:eastAsia="zh-CN"/>
        </w:rPr>
      </w:pPr>
      <w:r>
        <w:rPr>
          <w:rFonts w:hint="eastAsia" w:ascii="楷体_GB2312" w:eastAsia="楷体_GB2312" w:cs="楷体_GB2312"/>
          <w:caps w:val="0"/>
          <w:color w:val="000000"/>
          <w:spacing w:val="0"/>
          <w:sz w:val="32"/>
          <w:szCs w:val="32"/>
          <w:lang w:val="en-US" w:eastAsia="zh-CN"/>
        </w:rPr>
        <w:t>3.</w:t>
      </w:r>
      <w:r>
        <w:rPr>
          <w:rFonts w:hint="eastAsia" w:ascii="楷体_GB2312" w:eastAsia="楷体_GB2312" w:cs="楷体_GB2312"/>
          <w:caps w:val="0"/>
          <w:color w:val="000000"/>
          <w:spacing w:val="0"/>
          <w:sz w:val="32"/>
          <w:szCs w:val="32"/>
        </w:rPr>
        <w:t>信息管理情况。</w:t>
      </w:r>
      <w:r>
        <w:rPr>
          <w:rFonts w:hint="eastAsia" w:ascii="仿宋_GB2312" w:hAnsi="仿宋_GB2312" w:eastAsia="仿宋_GB2312" w:cs="仿宋_GB2312"/>
          <w:i w:val="0"/>
          <w:iCs w:val="0"/>
          <w:caps w:val="0"/>
          <w:color w:val="333333"/>
          <w:spacing w:val="0"/>
          <w:sz w:val="32"/>
          <w:szCs w:val="32"/>
          <w:lang w:val="en-US" w:eastAsia="zh-CN"/>
        </w:rPr>
        <w:t>一是高度重视。及时调整区教体局政府信息公开工作领导小组成员，明确责任分工，使政务公开工作与日常业务工作融为一体，整体同步推进。</w:t>
      </w:r>
      <w:r>
        <w:rPr>
          <w:rFonts w:hint="eastAsia" w:ascii="仿宋_GB2312" w:hAnsi="仿宋_GB2312" w:eastAsia="仿宋_GB2312" w:cs="仿宋_GB2312"/>
          <w:caps w:val="0"/>
          <w:color w:val="000000"/>
          <w:spacing w:val="0"/>
          <w:kern w:val="0"/>
          <w:sz w:val="32"/>
          <w:szCs w:val="32"/>
          <w:lang w:val="en-US" w:eastAsia="zh-CN" w:bidi="ar-SA"/>
        </w:rPr>
        <w:t>二是严格执行政务公开保密审查制度，按照“先审查、后公开”“一事一审”和“谁公开、谁审查”的原则，</w:t>
      </w:r>
      <w:r>
        <w:rPr>
          <w:rFonts w:hint="eastAsia" w:ascii="仿宋_GB2312" w:hAnsi="仿宋_GB2312" w:eastAsia="仿宋_GB2312" w:cs="仿宋_GB2312"/>
          <w:i w:val="0"/>
          <w:iCs w:val="0"/>
          <w:caps w:val="0"/>
          <w:color w:val="333333"/>
          <w:spacing w:val="0"/>
          <w:sz w:val="32"/>
          <w:szCs w:val="32"/>
          <w:lang w:val="en-US" w:eastAsia="zh-CN"/>
        </w:rPr>
        <w:t>严把稿件发布审核关，提高信息发布质量，</w:t>
      </w:r>
      <w:r>
        <w:rPr>
          <w:rFonts w:hint="eastAsia" w:ascii="仿宋_GB2312" w:hAnsi="仿宋_GB2312" w:eastAsia="仿宋_GB2312" w:cs="仿宋_GB2312"/>
          <w:caps w:val="0"/>
          <w:color w:val="000000"/>
          <w:spacing w:val="0"/>
          <w:kern w:val="0"/>
          <w:sz w:val="32"/>
          <w:szCs w:val="32"/>
          <w:lang w:val="en-US" w:eastAsia="zh-CN" w:bidi="ar-SA"/>
        </w:rPr>
        <w:t>做好公开信息保密审查工作。</w:t>
      </w:r>
      <w:r>
        <w:rPr>
          <w:rFonts w:hint="eastAsia" w:ascii="仿宋_GB2312" w:hAnsi="仿宋_GB2312" w:eastAsia="仿宋_GB2312" w:cs="仿宋_GB2312"/>
          <w:i w:val="0"/>
          <w:iCs w:val="0"/>
          <w:caps w:val="0"/>
          <w:color w:val="333333"/>
          <w:spacing w:val="0"/>
          <w:sz w:val="32"/>
          <w:szCs w:val="32"/>
          <w:lang w:val="en-US" w:eastAsia="zh-CN"/>
        </w:rPr>
        <w:t>三是抓实问题整改。按照相关工作通知要求，区教体局坚持问题导向，逐项梳理分析，迅速整改落实。</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620" w:lineRule="atLeast"/>
        <w:ind w:right="0" w:rightChars="0" w:firstLine="640" w:firstLineChars="200"/>
        <w:rPr>
          <w:rFonts w:hint="eastAsia" w:ascii="仿宋_GB2312" w:hAnsi="仿宋_GB2312" w:eastAsia="仿宋_GB2312" w:cs="仿宋_GB2312"/>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val="en-US" w:eastAsia="zh-CN"/>
        </w:rPr>
        <w:t>4.</w:t>
      </w:r>
      <w:r>
        <w:rPr>
          <w:rFonts w:ascii="楷体" w:hAnsi="楷体" w:eastAsia="楷体" w:cs="楷体"/>
          <w:i w:val="0"/>
          <w:iCs w:val="0"/>
          <w:caps w:val="0"/>
          <w:color w:val="000000"/>
          <w:spacing w:val="0"/>
          <w:sz w:val="32"/>
          <w:szCs w:val="32"/>
          <w:shd w:val="clear" w:fill="FFFFFF"/>
        </w:rPr>
        <w:t>平台建设情况</w:t>
      </w:r>
      <w:r>
        <w:rPr>
          <w:rFonts w:hint="eastAsia" w:ascii="楷体_GB2312" w:eastAsia="楷体_GB2312" w:cs="楷体_GB2312"/>
          <w:caps w:val="0"/>
          <w:color w:val="000000"/>
          <w:spacing w:val="0"/>
          <w:sz w:val="32"/>
          <w:szCs w:val="32"/>
        </w:rPr>
        <w:t>。</w:t>
      </w:r>
      <w:r>
        <w:rPr>
          <w:rFonts w:hint="eastAsia" w:ascii="仿宋_GB2312" w:hAnsi="仿宋_GB2312" w:eastAsia="仿宋_GB2312" w:cs="仿宋_GB2312"/>
          <w:caps w:val="0"/>
          <w:color w:val="000000"/>
          <w:spacing w:val="0"/>
          <w:sz w:val="32"/>
          <w:szCs w:val="32"/>
          <w:lang w:val="en-US" w:eastAsia="zh-CN"/>
        </w:rPr>
        <w:t>一是规范临淄区教育领域公共企事业单位信息公开栏目设置。新建44个学校网址、440条学校目录，包括学校概况、规划统计、财务信息、招生录取、教育教学、教师管理、学生管理、体育美育、校园安全、信息公开咨询指南10类，增强群众对教育工作的认同感和获得感。</w:t>
      </w:r>
      <w:r>
        <w:rPr>
          <w:rFonts w:hint="eastAsia" w:ascii="仿宋_GB2312" w:hAnsi="仿宋_GB2312" w:eastAsia="仿宋_GB2312" w:cs="仿宋_GB2312"/>
          <w:i w:val="0"/>
          <w:iCs w:val="0"/>
          <w:caps w:val="0"/>
          <w:color w:val="000000"/>
          <w:spacing w:val="0"/>
          <w:sz w:val="32"/>
          <w:szCs w:val="32"/>
          <w:shd w:val="clear" w:fill="FFFFFF"/>
          <w:lang w:val="en-US" w:eastAsia="zh-CN"/>
        </w:rPr>
        <w:t>二是</w:t>
      </w:r>
      <w:r>
        <w:rPr>
          <w:rFonts w:hint="eastAsia" w:ascii="仿宋_GB2312" w:hAnsi="仿宋_GB2312" w:eastAsia="仿宋_GB2312" w:cs="仿宋_GB2312"/>
          <w:i w:val="0"/>
          <w:iCs w:val="0"/>
          <w:caps w:val="0"/>
          <w:color w:val="000000"/>
          <w:spacing w:val="0"/>
          <w:sz w:val="32"/>
          <w:szCs w:val="32"/>
          <w:shd w:val="clear" w:fill="FFFFFF"/>
        </w:rPr>
        <w:t>定期</w:t>
      </w:r>
      <w:r>
        <w:rPr>
          <w:rFonts w:hint="eastAsia" w:ascii="仿宋_GB2312" w:hAnsi="仿宋_GB2312" w:eastAsia="仿宋_GB2312" w:cs="仿宋_GB2312"/>
          <w:i w:val="0"/>
          <w:iCs w:val="0"/>
          <w:caps w:val="0"/>
          <w:color w:val="000000"/>
          <w:spacing w:val="0"/>
          <w:sz w:val="32"/>
          <w:szCs w:val="32"/>
          <w:shd w:val="clear" w:fill="FFFFFF"/>
          <w:lang w:val="en-US" w:eastAsia="zh-CN"/>
        </w:rPr>
        <w:t>更新政府公开</w:t>
      </w:r>
      <w:r>
        <w:rPr>
          <w:rFonts w:hint="eastAsia" w:ascii="仿宋_GB2312" w:hAnsi="仿宋_GB2312" w:eastAsia="仿宋_GB2312" w:cs="仿宋_GB2312"/>
          <w:i w:val="0"/>
          <w:iCs w:val="0"/>
          <w:caps w:val="0"/>
          <w:color w:val="000000"/>
          <w:spacing w:val="0"/>
          <w:sz w:val="32"/>
          <w:szCs w:val="32"/>
          <w:shd w:val="clear" w:fill="FFFFFF"/>
        </w:rPr>
        <w:t>信息</w:t>
      </w:r>
      <w:r>
        <w:rPr>
          <w:rFonts w:hint="eastAsia" w:ascii="仿宋_GB2312" w:hAnsi="仿宋_GB2312" w:eastAsia="仿宋_GB2312" w:cs="仿宋_GB2312"/>
          <w:i w:val="0"/>
          <w:iCs w:val="0"/>
          <w:caps w:val="0"/>
          <w:color w:val="000000"/>
          <w:spacing w:val="0"/>
          <w:sz w:val="32"/>
          <w:szCs w:val="32"/>
          <w:shd w:val="clear" w:fill="FFFFFF"/>
          <w:lang w:eastAsia="zh-CN"/>
        </w:rPr>
        <w:t>，</w:t>
      </w:r>
      <w:r>
        <w:rPr>
          <w:rFonts w:hint="eastAsia" w:ascii="仿宋_GB2312" w:hAnsi="仿宋_GB2312" w:eastAsia="仿宋_GB2312" w:cs="仿宋_GB2312"/>
          <w:i w:val="0"/>
          <w:iCs w:val="0"/>
          <w:caps w:val="0"/>
          <w:color w:val="000000"/>
          <w:spacing w:val="0"/>
          <w:sz w:val="32"/>
          <w:szCs w:val="32"/>
          <w:shd w:val="clear" w:fill="FFFFFF"/>
        </w:rPr>
        <w:t>坚持政府网站和“临淄教育”微信公众号</w:t>
      </w:r>
      <w:r>
        <w:rPr>
          <w:rFonts w:hint="eastAsia" w:ascii="仿宋_GB2312" w:hAnsi="仿宋_GB2312" w:eastAsia="仿宋_GB2312" w:cs="仿宋_GB2312"/>
          <w:i w:val="0"/>
          <w:iCs w:val="0"/>
          <w:caps w:val="0"/>
          <w:color w:val="000000"/>
          <w:spacing w:val="0"/>
          <w:sz w:val="32"/>
          <w:szCs w:val="32"/>
          <w:shd w:val="clear" w:fill="FFFFFF"/>
          <w:lang w:val="en-US" w:eastAsia="zh-CN"/>
        </w:rPr>
        <w:t>等政务新媒体</w:t>
      </w:r>
      <w:r>
        <w:rPr>
          <w:rFonts w:hint="eastAsia" w:ascii="仿宋_GB2312" w:hAnsi="仿宋_GB2312" w:eastAsia="仿宋_GB2312" w:cs="仿宋_GB2312"/>
          <w:i w:val="0"/>
          <w:iCs w:val="0"/>
          <w:caps w:val="0"/>
          <w:color w:val="000000"/>
          <w:spacing w:val="0"/>
          <w:sz w:val="32"/>
          <w:szCs w:val="32"/>
          <w:shd w:val="clear" w:fill="FFFFFF"/>
        </w:rPr>
        <w:t>同步发布，</w:t>
      </w:r>
      <w:r>
        <w:rPr>
          <w:rFonts w:hint="eastAsia" w:ascii="仿宋_GB2312" w:hAnsi="仿宋_GB2312" w:eastAsia="仿宋_GB2312" w:cs="仿宋_GB2312"/>
          <w:i w:val="0"/>
          <w:iCs w:val="0"/>
          <w:caps w:val="0"/>
          <w:color w:val="000000"/>
          <w:spacing w:val="0"/>
          <w:sz w:val="32"/>
          <w:szCs w:val="32"/>
          <w:shd w:val="clear" w:fill="FFFFFF"/>
          <w:lang w:val="en-US" w:eastAsia="zh-CN"/>
        </w:rPr>
        <w:t>不断拓展</w:t>
      </w:r>
      <w:r>
        <w:rPr>
          <w:rFonts w:hint="eastAsia" w:ascii="仿宋_GB2312" w:hAnsi="仿宋_GB2312" w:eastAsia="仿宋_GB2312" w:cs="仿宋_GB2312"/>
          <w:i w:val="0"/>
          <w:iCs w:val="0"/>
          <w:caps w:val="0"/>
          <w:color w:val="000000"/>
          <w:spacing w:val="0"/>
          <w:sz w:val="32"/>
          <w:szCs w:val="32"/>
          <w:shd w:val="clear" w:fill="FFFFFF"/>
        </w:rPr>
        <w:t>政府信息公开</w:t>
      </w:r>
      <w:r>
        <w:rPr>
          <w:rFonts w:hint="eastAsia" w:ascii="仿宋_GB2312" w:hAnsi="仿宋_GB2312" w:eastAsia="仿宋_GB2312" w:cs="仿宋_GB2312"/>
          <w:i w:val="0"/>
          <w:iCs w:val="0"/>
          <w:caps w:val="0"/>
          <w:color w:val="000000"/>
          <w:spacing w:val="0"/>
          <w:sz w:val="32"/>
          <w:szCs w:val="32"/>
          <w:shd w:val="clear" w:fill="FFFFFF"/>
          <w:lang w:val="en-US" w:eastAsia="zh-CN"/>
        </w:rPr>
        <w:t>途径</w:t>
      </w:r>
      <w:r>
        <w:rPr>
          <w:rFonts w:hint="eastAsia" w:ascii="仿宋_GB2312" w:hAnsi="仿宋_GB2312" w:eastAsia="仿宋_GB2312" w:cs="仿宋_GB2312"/>
          <w:i w:val="0"/>
          <w:iCs w:val="0"/>
          <w:caps w:val="0"/>
          <w:color w:val="000000"/>
          <w:spacing w:val="0"/>
          <w:sz w:val="32"/>
          <w:szCs w:val="32"/>
          <w:shd w:val="clear" w:fill="FFFFFF"/>
        </w:rPr>
        <w:t>。</w:t>
      </w:r>
      <w:r>
        <w:rPr>
          <w:rFonts w:hint="eastAsia" w:ascii="仿宋_GB2312" w:hAnsi="仿宋_GB2312" w:eastAsia="仿宋_GB2312" w:cs="仿宋_GB2312"/>
          <w:i w:val="0"/>
          <w:iCs w:val="0"/>
          <w:caps w:val="0"/>
          <w:color w:val="000000"/>
          <w:spacing w:val="0"/>
          <w:sz w:val="32"/>
          <w:szCs w:val="32"/>
          <w:shd w:val="clear" w:fill="FFFFFF"/>
          <w:lang w:val="en-US" w:eastAsia="zh-CN"/>
        </w:rPr>
        <w:t>每年定期发布政府信息公开年报。</w:t>
      </w:r>
    </w:p>
    <w:p>
      <w:pPr>
        <w:keepNext w:val="0"/>
        <w:keepLines w:val="0"/>
        <w:pageBreakBefore w:val="0"/>
        <w:widowControl w:val="0"/>
        <w:numPr>
          <w:ilvl w:val="0"/>
          <w:numId w:val="0"/>
        </w:numPr>
        <w:kinsoku/>
        <w:wordWrap/>
        <w:overflowPunct/>
        <w:topLinePunct w:val="0"/>
        <w:autoSpaceDE/>
        <w:autoSpaceDN/>
        <w:bidi w:val="0"/>
        <w:adjustRightInd w:val="0"/>
        <w:snapToGrid w:val="0"/>
        <w:spacing w:line="640" w:lineRule="exact"/>
        <w:ind w:firstLine="640" w:firstLineChars="200"/>
        <w:jc w:val="both"/>
        <w:textAlignment w:val="auto"/>
        <w:rPr>
          <w:rFonts w:hint="eastAsia" w:ascii="仿宋_GB2312" w:hAnsi="仿宋_GB2312" w:eastAsia="仿宋_GB2312" w:cs="仿宋_GB2312"/>
          <w:sz w:val="32"/>
          <w:szCs w:val="32"/>
        </w:rPr>
      </w:pPr>
      <w:r>
        <w:rPr>
          <w:rFonts w:ascii="楷体_GB2312" w:hAnsi="宋体" w:eastAsia="楷体_GB2312" w:cs="楷体_GB2312"/>
          <w:caps w:val="0"/>
          <w:color w:val="000000"/>
          <w:spacing w:val="0"/>
          <w:sz w:val="32"/>
          <w:szCs w:val="32"/>
        </w:rPr>
        <w:t>5.</w:t>
      </w:r>
      <w:r>
        <w:rPr>
          <w:rFonts w:ascii="楷体" w:hAnsi="楷体" w:eastAsia="楷体" w:cs="楷体"/>
          <w:i w:val="0"/>
          <w:iCs w:val="0"/>
          <w:caps w:val="0"/>
          <w:color w:val="000000"/>
          <w:spacing w:val="0"/>
          <w:sz w:val="32"/>
          <w:szCs w:val="32"/>
          <w:shd w:val="clear" w:fill="FFFFFF"/>
        </w:rPr>
        <w:t>监督保障情况</w:t>
      </w:r>
      <w:r>
        <w:rPr>
          <w:rFonts w:hint="eastAsia" w:ascii="楷体_GB2312" w:hAnsi="宋体" w:eastAsia="楷体_GB2312" w:cs="楷体_GB2312"/>
          <w:caps w:val="0"/>
          <w:color w:val="000000"/>
          <w:spacing w:val="0"/>
          <w:sz w:val="32"/>
          <w:szCs w:val="32"/>
        </w:rPr>
        <w:t>。</w:t>
      </w:r>
      <w:r>
        <w:rPr>
          <w:rFonts w:hint="eastAsia" w:ascii="仿宋_GB2312" w:hAnsi="仿宋_GB2312" w:eastAsia="仿宋_GB2312" w:cs="仿宋_GB2312"/>
          <w:i w:val="0"/>
          <w:iCs w:val="0"/>
          <w:caps w:val="0"/>
          <w:color w:val="333333"/>
          <w:spacing w:val="0"/>
          <w:sz w:val="32"/>
          <w:szCs w:val="32"/>
          <w:lang w:val="en-US" w:eastAsia="zh-CN"/>
        </w:rPr>
        <w:t>区教体局</w:t>
      </w:r>
      <w:r>
        <w:rPr>
          <w:rFonts w:hint="eastAsia" w:ascii="仿宋_GB2312" w:hAnsi="仿宋_GB2312" w:eastAsia="仿宋_GB2312" w:cs="仿宋_GB2312"/>
          <w:i w:val="0"/>
          <w:iCs w:val="0"/>
          <w:caps w:val="0"/>
          <w:color w:val="333333"/>
          <w:spacing w:val="0"/>
          <w:sz w:val="32"/>
          <w:szCs w:val="32"/>
        </w:rPr>
        <w:t>办公室</w:t>
      </w:r>
      <w:r>
        <w:rPr>
          <w:rFonts w:hint="eastAsia" w:ascii="仿宋_GB2312" w:hAnsi="仿宋_GB2312" w:eastAsia="仿宋_GB2312" w:cs="仿宋_GB2312"/>
          <w:i w:val="0"/>
          <w:iCs w:val="0"/>
          <w:caps w:val="0"/>
          <w:color w:val="333333"/>
          <w:spacing w:val="0"/>
          <w:sz w:val="32"/>
          <w:szCs w:val="32"/>
          <w:lang w:val="en-US" w:eastAsia="zh-CN"/>
        </w:rPr>
        <w:t>专门</w:t>
      </w:r>
      <w:r>
        <w:rPr>
          <w:rFonts w:hint="eastAsia" w:ascii="仿宋_GB2312" w:hAnsi="仿宋_GB2312" w:eastAsia="仿宋_GB2312" w:cs="仿宋_GB2312"/>
          <w:i w:val="0"/>
          <w:iCs w:val="0"/>
          <w:caps w:val="0"/>
          <w:color w:val="333333"/>
          <w:spacing w:val="0"/>
          <w:sz w:val="32"/>
          <w:szCs w:val="32"/>
        </w:rPr>
        <w:t>负责本单位的政务公开日常工作，承办本单位的政务公开工作的具体事宜</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lang w:val="en-US" w:eastAsia="zh-CN"/>
        </w:rPr>
        <w:t>积极组织专职工作人员认真参加政务公开培训，提升业务能力和水平。为做好我区教育系统政务信息公开工作，确保学校公开信息全面准确、符合要求，区教体局专门调配网络设备，申请增设网络账号，分批次组织各学校业务人员进行培训，确保工作有组织、有计划开展。</w:t>
      </w:r>
    </w:p>
    <w:p>
      <w:pPr>
        <w:keepNext w:val="0"/>
        <w:keepLines w:val="0"/>
        <w:pageBreakBefore w:val="0"/>
        <w:kinsoku/>
        <w:wordWrap/>
        <w:overflowPunct/>
        <w:topLinePunct w:val="0"/>
        <w:autoSpaceDE/>
        <w:autoSpaceDN/>
        <w:bidi w:val="0"/>
        <w:adjustRightInd/>
        <w:snapToGrid/>
        <w:spacing w:line="620" w:lineRule="exact"/>
        <w:ind w:firstLine="648"/>
        <w:textAlignment w:val="auto"/>
        <w:rPr>
          <w:rFonts w:ascii="宋体" w:hAnsi="宋体" w:eastAsia="宋体" w:cs="宋体"/>
          <w:kern w:val="0"/>
          <w:szCs w:val="21"/>
        </w:rPr>
      </w:pPr>
      <w:r>
        <w:rPr>
          <w:rFonts w:hint="eastAsia" w:ascii="黑体" w:hAnsi="黑体" w:eastAsia="黑体"/>
          <w:sz w:val="32"/>
          <w:szCs w:val="32"/>
        </w:rPr>
        <w:t>二、主动公开政府信息情况</w:t>
      </w:r>
    </w:p>
    <w:tbl>
      <w:tblPr>
        <w:tblStyle w:val="13"/>
        <w:tblW w:w="8124" w:type="dxa"/>
        <w:tblInd w:w="108" w:type="dxa"/>
        <w:tblLayout w:type="fixed"/>
        <w:tblCellMar>
          <w:top w:w="0" w:type="dxa"/>
          <w:left w:w="0" w:type="dxa"/>
          <w:bottom w:w="0" w:type="dxa"/>
          <w:right w:w="0" w:type="dxa"/>
        </w:tblCellMar>
      </w:tblPr>
      <w:tblGrid>
        <w:gridCol w:w="3284"/>
        <w:gridCol w:w="1686"/>
        <w:gridCol w:w="1803"/>
        <w:gridCol w:w="1351"/>
      </w:tblGrid>
      <w:tr>
        <w:tblPrEx>
          <w:tblCellMar>
            <w:top w:w="0" w:type="dxa"/>
            <w:left w:w="0" w:type="dxa"/>
            <w:bottom w:w="0" w:type="dxa"/>
            <w:right w:w="0" w:type="dxa"/>
          </w:tblCellMar>
        </w:tblPrEx>
        <w:trPr>
          <w:trHeight w:val="846" w:hRule="exact"/>
        </w:trPr>
        <w:tc>
          <w:tcPr>
            <w:tcW w:w="8124" w:type="dxa"/>
            <w:gridSpan w:val="4"/>
            <w:tcBorders>
              <w:top w:val="single" w:color="2B283F" w:sz="8" w:space="0"/>
              <w:left w:val="single" w:color="3B3B44" w:sz="6" w:space="0"/>
              <w:bottom w:val="single" w:color="64647C" w:sz="4" w:space="0"/>
              <w:right w:val="single" w:color="3B3B44" w:sz="8" w:space="0"/>
            </w:tcBorders>
            <w:vAlign w:val="center"/>
          </w:tcPr>
          <w:p>
            <w:pPr>
              <w:keepNext w:val="0"/>
              <w:keepLines w:val="0"/>
              <w:pageBreakBefore w:val="0"/>
              <w:widowControl w:val="0"/>
              <w:tabs>
                <w:tab w:val="left" w:pos="1048"/>
              </w:tabs>
              <w:kinsoku/>
              <w:wordWrap/>
              <w:overflowPunct/>
              <w:topLinePunct w:val="0"/>
              <w:autoSpaceDE/>
              <w:autoSpaceDN/>
              <w:bidi w:val="0"/>
              <w:adjustRightInd w:val="0"/>
              <w:snapToGrid w:val="0"/>
              <w:spacing w:before="142" w:line="620" w:lineRule="exact"/>
              <w:ind w:left="-1" w:right="1"/>
              <w:jc w:val="center"/>
              <w:textAlignment w:val="auto"/>
              <w:rPr>
                <w:sz w:val="21"/>
                <w:lang w:eastAsia="zh-CN"/>
              </w:rPr>
            </w:pPr>
            <w:r>
              <w:rPr>
                <w:sz w:val="21"/>
                <w:lang w:eastAsia="zh-CN"/>
              </w:rPr>
              <w:t>第二十条</w:t>
            </w:r>
            <w:r>
              <w:rPr>
                <w:sz w:val="21"/>
                <w:lang w:eastAsia="zh-CN"/>
              </w:rPr>
              <w:tab/>
            </w:r>
            <w:r>
              <w:rPr>
                <w:sz w:val="21"/>
                <w:lang w:eastAsia="zh-CN"/>
              </w:rPr>
              <w:t>第 （一</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1016" w:hRule="exact"/>
        </w:trPr>
        <w:tc>
          <w:tcPr>
            <w:tcW w:w="3284" w:type="dxa"/>
            <w:tcBorders>
              <w:top w:val="single" w:color="64647C" w:sz="4" w:space="0"/>
              <w:left w:val="single" w:color="3B3B44" w:sz="6" w:space="0"/>
              <w:bottom w:val="single" w:color="707790" w:sz="4" w:space="0"/>
              <w:right w:val="single" w:color="7C7C83"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5" w:line="620" w:lineRule="exact"/>
              <w:ind w:right="27"/>
              <w:jc w:val="center"/>
              <w:textAlignment w:val="auto"/>
              <w:rPr>
                <w:sz w:val="21"/>
                <w:lang w:eastAsia="zh-CN"/>
              </w:rPr>
            </w:pPr>
            <w:r>
              <w:rPr>
                <w:sz w:val="21"/>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5" w:line="620" w:lineRule="exact"/>
              <w:ind w:left="216"/>
              <w:jc w:val="center"/>
              <w:textAlignment w:val="auto"/>
              <w:rPr>
                <w:sz w:val="21"/>
                <w:lang w:eastAsia="zh-CN"/>
              </w:rPr>
            </w:pPr>
            <w:r>
              <w:rPr>
                <w:sz w:val="21"/>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135" w:line="620" w:lineRule="exact"/>
              <w:ind w:left="275"/>
              <w:jc w:val="center"/>
              <w:textAlignment w:val="auto"/>
              <w:rPr>
                <w:sz w:val="21"/>
                <w:lang w:eastAsia="zh-CN"/>
              </w:rPr>
            </w:pPr>
            <w:r>
              <w:rPr>
                <w:sz w:val="21"/>
                <w:lang w:eastAsia="zh-CN"/>
              </w:rPr>
              <w:t>本年废止件数</w:t>
            </w:r>
          </w:p>
        </w:tc>
        <w:tc>
          <w:tcPr>
            <w:tcW w:w="1351" w:type="dxa"/>
            <w:tcBorders>
              <w:top w:val="single" w:color="64647C" w:sz="4" w:space="0"/>
              <w:left w:val="single" w:color="606064" w:sz="2" w:space="0"/>
              <w:bottom w:val="single" w:color="835B67" w:sz="4" w:space="0"/>
              <w:right w:val="single" w:color="3B3B44" w:sz="8" w:space="0"/>
            </w:tcBorders>
            <w:vAlign w:val="center"/>
          </w:tcPr>
          <w:p>
            <w:pPr>
              <w:keepNext w:val="0"/>
              <w:keepLines w:val="0"/>
              <w:pageBreakBefore w:val="0"/>
              <w:widowControl w:val="0"/>
              <w:kinsoku/>
              <w:wordWrap/>
              <w:overflowPunct/>
              <w:topLinePunct w:val="0"/>
              <w:autoSpaceDE/>
              <w:autoSpaceDN/>
              <w:bidi w:val="0"/>
              <w:adjustRightInd w:val="0"/>
              <w:snapToGrid w:val="0"/>
              <w:spacing w:before="130" w:line="620" w:lineRule="exact"/>
              <w:jc w:val="center"/>
              <w:textAlignment w:val="auto"/>
              <w:rPr>
                <w:sz w:val="21"/>
                <w:lang w:eastAsia="zh-CN"/>
              </w:rPr>
            </w:pPr>
            <w:r>
              <w:rPr>
                <w:sz w:val="21"/>
                <w:lang w:eastAsia="zh-CN"/>
              </w:rPr>
              <w:t>现行有效件数</w:t>
            </w:r>
          </w:p>
        </w:tc>
      </w:tr>
      <w:tr>
        <w:tblPrEx>
          <w:tblCellMar>
            <w:top w:w="0" w:type="dxa"/>
            <w:left w:w="0" w:type="dxa"/>
            <w:bottom w:w="0" w:type="dxa"/>
            <w:right w:w="0" w:type="dxa"/>
          </w:tblCellMar>
        </w:tblPrEx>
        <w:trPr>
          <w:trHeight w:val="853" w:hRule="exact"/>
        </w:trPr>
        <w:tc>
          <w:tcPr>
            <w:tcW w:w="3284" w:type="dxa"/>
            <w:tcBorders>
              <w:top w:val="single" w:color="707790" w:sz="4" w:space="0"/>
              <w:left w:val="single" w:color="3B3B44" w:sz="6" w:space="0"/>
              <w:bottom w:val="single" w:color="747487" w:sz="4" w:space="0"/>
              <w:right w:val="single" w:color="97979C"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47" w:line="620" w:lineRule="exact"/>
              <w:ind w:left="93"/>
              <w:jc w:val="center"/>
              <w:textAlignment w:val="auto"/>
              <w:rPr>
                <w:sz w:val="21"/>
                <w:lang w:eastAsia="zh-CN"/>
              </w:rPr>
            </w:pPr>
            <w:r>
              <w:rPr>
                <w:sz w:val="21"/>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keepNext w:val="0"/>
              <w:keepLines w:val="0"/>
              <w:pageBreakBefore w:val="0"/>
              <w:widowControl w:val="0"/>
              <w:tabs>
                <w:tab w:val="left" w:pos="274"/>
              </w:tabs>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bookmarkStart w:id="0" w:name="_GoBack"/>
            <w:bookmarkEnd w:id="0"/>
          </w:p>
        </w:tc>
        <w:tc>
          <w:tcPr>
            <w:tcW w:w="1803" w:type="dxa"/>
            <w:tcBorders>
              <w:top w:val="single" w:color="835B67" w:sz="4" w:space="0"/>
              <w:left w:val="single" w:color="939397" w:sz="4" w:space="0"/>
              <w:bottom w:val="single" w:color="546080" w:sz="2" w:space="0"/>
              <w:right w:val="single" w:color="97939C"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p>
        </w:tc>
        <w:tc>
          <w:tcPr>
            <w:tcW w:w="1351" w:type="dxa"/>
            <w:tcBorders>
              <w:top w:val="single" w:color="835B67" w:sz="4" w:space="0"/>
              <w:left w:val="single" w:color="97939C" w:sz="4" w:space="0"/>
              <w:bottom w:val="single" w:color="74778C"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816" w:hRule="exact"/>
        </w:trPr>
        <w:tc>
          <w:tcPr>
            <w:tcW w:w="3284" w:type="dxa"/>
            <w:tcBorders>
              <w:top w:val="single" w:color="747487" w:sz="4" w:space="0"/>
              <w:left w:val="single" w:color="3B3B44" w:sz="6" w:space="0"/>
              <w:bottom w:val="single" w:color="5B6080" w:sz="4" w:space="0"/>
              <w:right w:val="single" w:color="97979C"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8" w:line="620" w:lineRule="exact"/>
              <w:ind w:left="93"/>
              <w:jc w:val="center"/>
              <w:textAlignment w:val="auto"/>
              <w:rPr>
                <w:sz w:val="21"/>
                <w:lang w:eastAsia="zh-CN"/>
              </w:rPr>
            </w:pPr>
            <w:r>
              <w:rPr>
                <w:sz w:val="21"/>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p>
        </w:tc>
        <w:tc>
          <w:tcPr>
            <w:tcW w:w="1351" w:type="dxa"/>
            <w:tcBorders>
              <w:top w:val="single" w:color="74778C" w:sz="4" w:space="0"/>
              <w:left w:val="single" w:color="97939C" w:sz="4" w:space="0"/>
              <w:bottom w:val="single" w:color="5B6080"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1</w:t>
            </w:r>
          </w:p>
        </w:tc>
      </w:tr>
      <w:tr>
        <w:tblPrEx>
          <w:tblCellMar>
            <w:top w:w="0" w:type="dxa"/>
            <w:left w:w="0" w:type="dxa"/>
            <w:bottom w:w="0" w:type="dxa"/>
            <w:right w:w="0" w:type="dxa"/>
          </w:tblCellMar>
        </w:tblPrEx>
        <w:trPr>
          <w:trHeight w:val="841" w:hRule="exact"/>
        </w:trPr>
        <w:tc>
          <w:tcPr>
            <w:tcW w:w="8124" w:type="dxa"/>
            <w:gridSpan w:val="4"/>
            <w:tcBorders>
              <w:top w:val="single" w:color="5B6080" w:sz="4" w:space="0"/>
              <w:left w:val="single" w:color="3B3B44" w:sz="6" w:space="0"/>
              <w:bottom w:val="single" w:color="646B80" w:sz="4" w:space="0"/>
              <w:right w:val="single" w:color="3B3B3F" w:sz="8" w:space="0"/>
            </w:tcBorders>
            <w:vAlign w:val="center"/>
          </w:tcPr>
          <w:p>
            <w:pPr>
              <w:keepNext w:val="0"/>
              <w:keepLines w:val="0"/>
              <w:pageBreakBefore w:val="0"/>
              <w:widowControl w:val="0"/>
              <w:tabs>
                <w:tab w:val="left" w:pos="1049"/>
              </w:tabs>
              <w:kinsoku/>
              <w:wordWrap/>
              <w:overflowPunct/>
              <w:topLinePunct w:val="0"/>
              <w:autoSpaceDE/>
              <w:autoSpaceDN/>
              <w:bidi w:val="0"/>
              <w:adjustRightInd w:val="0"/>
              <w:snapToGrid w:val="0"/>
              <w:spacing w:before="140" w:line="620" w:lineRule="exact"/>
              <w:ind w:left="5"/>
              <w:jc w:val="center"/>
              <w:textAlignment w:val="auto"/>
              <w:rPr>
                <w:sz w:val="21"/>
                <w:lang w:eastAsia="zh-CN"/>
              </w:rPr>
            </w:pPr>
            <w:r>
              <w:rPr>
                <w:sz w:val="21"/>
                <w:lang w:eastAsia="zh-CN"/>
              </w:rPr>
              <w:t>第二十条</w:t>
            </w:r>
            <w:r>
              <w:rPr>
                <w:sz w:val="21"/>
                <w:lang w:eastAsia="zh-CN"/>
              </w:rPr>
              <w:tab/>
            </w:r>
            <w:r>
              <w:rPr>
                <w:sz w:val="21"/>
                <w:lang w:eastAsia="zh-CN"/>
              </w:rPr>
              <w:t>第 （五</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886" w:hRule="exact"/>
        </w:trPr>
        <w:tc>
          <w:tcPr>
            <w:tcW w:w="3284" w:type="dxa"/>
            <w:tcBorders>
              <w:top w:val="single" w:color="646B80" w:sz="4" w:space="0"/>
              <w:left w:val="single" w:color="3B3B44" w:sz="6" w:space="0"/>
              <w:bottom w:val="single" w:color="80676B" w:sz="4" w:space="0"/>
              <w:right w:val="single" w:color="878787"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8" w:line="620" w:lineRule="exact"/>
              <w:ind w:right="17"/>
              <w:jc w:val="center"/>
              <w:textAlignment w:val="auto"/>
              <w:rPr>
                <w:sz w:val="21"/>
                <w:lang w:eastAsia="zh-CN"/>
              </w:rPr>
            </w:pPr>
            <w:r>
              <w:rPr>
                <w:sz w:val="21"/>
                <w:lang w:eastAsia="zh-CN"/>
              </w:rPr>
              <w:t>信息内容</w:t>
            </w:r>
          </w:p>
        </w:tc>
        <w:tc>
          <w:tcPr>
            <w:tcW w:w="4840" w:type="dxa"/>
            <w:gridSpan w:val="3"/>
            <w:tcBorders>
              <w:top w:val="single" w:color="646B80" w:sz="4" w:space="0"/>
              <w:left w:val="single" w:color="878787" w:sz="4" w:space="0"/>
              <w:bottom w:val="single" w:color="7C7474"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before="142" w:line="620" w:lineRule="exact"/>
              <w:ind w:right="16"/>
              <w:jc w:val="center"/>
              <w:textAlignment w:val="auto"/>
              <w:rPr>
                <w:sz w:val="21"/>
                <w:lang w:eastAsia="zh-CN"/>
              </w:rPr>
            </w:pPr>
            <w:r>
              <w:rPr>
                <w:sz w:val="21"/>
                <w:lang w:eastAsia="zh-CN"/>
              </w:rPr>
              <w:t>本年处理决定数量</w:t>
            </w:r>
          </w:p>
        </w:tc>
      </w:tr>
      <w:tr>
        <w:tblPrEx>
          <w:tblCellMar>
            <w:top w:w="0" w:type="dxa"/>
            <w:left w:w="0" w:type="dxa"/>
            <w:bottom w:w="0" w:type="dxa"/>
            <w:right w:w="0" w:type="dxa"/>
          </w:tblCellMar>
        </w:tblPrEx>
        <w:trPr>
          <w:trHeight w:val="796" w:hRule="exact"/>
        </w:trPr>
        <w:tc>
          <w:tcPr>
            <w:tcW w:w="3284" w:type="dxa"/>
            <w:tcBorders>
              <w:top w:val="single" w:color="80676B" w:sz="4" w:space="0"/>
              <w:left w:val="single" w:color="3B3B44" w:sz="6" w:space="0"/>
              <w:bottom w:val="single" w:color="646487" w:sz="4" w:space="0"/>
              <w:right w:val="single" w:color="878787"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40" w:line="620" w:lineRule="exact"/>
              <w:ind w:left="98"/>
              <w:jc w:val="center"/>
              <w:textAlignment w:val="auto"/>
              <w:rPr>
                <w:sz w:val="21"/>
                <w:lang w:eastAsia="zh-CN"/>
              </w:rPr>
            </w:pPr>
            <w:r>
              <w:rPr>
                <w:sz w:val="21"/>
                <w:lang w:eastAsia="zh-CN"/>
              </w:rPr>
              <w:t>行政许可</w:t>
            </w:r>
          </w:p>
        </w:tc>
        <w:tc>
          <w:tcPr>
            <w:tcW w:w="4840" w:type="dxa"/>
            <w:gridSpan w:val="3"/>
            <w:tcBorders>
              <w:top w:val="single" w:color="7C7474" w:sz="4" w:space="0"/>
              <w:left w:val="single" w:color="878787" w:sz="4" w:space="0"/>
              <w:bottom w:val="single" w:color="646487"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color w:val="auto"/>
                <w:sz w:val="21"/>
                <w:lang w:val="en-US" w:eastAsia="zh-CN"/>
              </w:rPr>
              <w:t>488</w:t>
            </w:r>
          </w:p>
        </w:tc>
      </w:tr>
      <w:tr>
        <w:tblPrEx>
          <w:tblCellMar>
            <w:top w:w="0" w:type="dxa"/>
            <w:left w:w="0" w:type="dxa"/>
            <w:bottom w:w="0" w:type="dxa"/>
            <w:right w:w="0" w:type="dxa"/>
          </w:tblCellMar>
        </w:tblPrEx>
        <w:trPr>
          <w:trHeight w:val="843" w:hRule="exact"/>
        </w:trPr>
        <w:tc>
          <w:tcPr>
            <w:tcW w:w="8124" w:type="dxa"/>
            <w:gridSpan w:val="4"/>
            <w:tcBorders>
              <w:top w:val="single" w:color="646487" w:sz="4" w:space="0"/>
              <w:left w:val="single" w:color="3B3B44" w:sz="6" w:space="0"/>
              <w:bottom w:val="single" w:color="607087" w:sz="4" w:space="0"/>
              <w:right w:val="single" w:color="3B3B3F" w:sz="8" w:space="0"/>
            </w:tcBorders>
            <w:vAlign w:val="center"/>
          </w:tcPr>
          <w:p>
            <w:pPr>
              <w:keepNext w:val="0"/>
              <w:keepLines w:val="0"/>
              <w:pageBreakBefore w:val="0"/>
              <w:widowControl w:val="0"/>
              <w:tabs>
                <w:tab w:val="left" w:pos="1059"/>
              </w:tabs>
              <w:kinsoku/>
              <w:wordWrap/>
              <w:overflowPunct/>
              <w:topLinePunct w:val="0"/>
              <w:autoSpaceDE/>
              <w:autoSpaceDN/>
              <w:bidi w:val="0"/>
              <w:adjustRightInd w:val="0"/>
              <w:snapToGrid w:val="0"/>
              <w:spacing w:before="142" w:line="620" w:lineRule="exact"/>
              <w:ind w:left="15"/>
              <w:jc w:val="center"/>
              <w:textAlignment w:val="auto"/>
              <w:rPr>
                <w:sz w:val="21"/>
                <w:lang w:eastAsia="zh-CN"/>
              </w:rPr>
            </w:pPr>
            <w:r>
              <w:rPr>
                <w:sz w:val="21"/>
                <w:lang w:eastAsia="zh-CN"/>
              </w:rPr>
              <w:t>第二十条</w:t>
            </w:r>
            <w:r>
              <w:rPr>
                <w:sz w:val="21"/>
                <w:lang w:eastAsia="zh-CN"/>
              </w:rPr>
              <w:tab/>
            </w:r>
            <w:r>
              <w:rPr>
                <w:sz w:val="21"/>
                <w:lang w:eastAsia="zh-CN"/>
              </w:rPr>
              <w:t>第 （六</w:t>
            </w:r>
            <w:r>
              <w:rPr>
                <w:rFonts w:hint="eastAsia"/>
                <w:sz w:val="21"/>
                <w:lang w:eastAsia="zh-CN"/>
              </w:rPr>
              <w:t>）</w:t>
            </w:r>
            <w:r>
              <w:rPr>
                <w:sz w:val="21"/>
                <w:lang w:eastAsia="zh-CN"/>
              </w:rPr>
              <w:t xml:space="preserve"> 项</w:t>
            </w:r>
          </w:p>
        </w:tc>
      </w:tr>
      <w:tr>
        <w:tblPrEx>
          <w:tblCellMar>
            <w:top w:w="0" w:type="dxa"/>
            <w:left w:w="0" w:type="dxa"/>
            <w:bottom w:w="0" w:type="dxa"/>
            <w:right w:w="0" w:type="dxa"/>
          </w:tblCellMar>
        </w:tblPrEx>
        <w:trPr>
          <w:trHeight w:val="922" w:hRule="exact"/>
        </w:trPr>
        <w:tc>
          <w:tcPr>
            <w:tcW w:w="3284" w:type="dxa"/>
            <w:tcBorders>
              <w:top w:val="single" w:color="607087" w:sz="4" w:space="0"/>
              <w:left w:val="single" w:color="3B3B44" w:sz="6" w:space="0"/>
              <w:bottom w:val="single" w:color="8C7774" w:sz="4" w:space="0"/>
              <w:right w:val="single" w:color="909093"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42" w:line="620" w:lineRule="exact"/>
              <w:ind w:right="8"/>
              <w:jc w:val="center"/>
              <w:textAlignment w:val="auto"/>
              <w:rPr>
                <w:sz w:val="21"/>
                <w:lang w:eastAsia="zh-CN"/>
              </w:rPr>
            </w:pPr>
            <w:r>
              <w:rPr>
                <w:sz w:val="21"/>
                <w:lang w:eastAsia="zh-CN"/>
              </w:rPr>
              <w:t>信息内容</w:t>
            </w:r>
          </w:p>
        </w:tc>
        <w:tc>
          <w:tcPr>
            <w:tcW w:w="4840" w:type="dxa"/>
            <w:gridSpan w:val="3"/>
            <w:tcBorders>
              <w:top w:val="single" w:color="607087" w:sz="4" w:space="0"/>
              <w:left w:val="single" w:color="909093" w:sz="4" w:space="0"/>
              <w:bottom w:val="single" w:color="747074"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before="142" w:line="620" w:lineRule="exact"/>
              <w:ind w:right="13"/>
              <w:jc w:val="center"/>
              <w:textAlignment w:val="auto"/>
              <w:rPr>
                <w:sz w:val="21"/>
                <w:lang w:eastAsia="zh-CN"/>
              </w:rPr>
            </w:pPr>
            <w:r>
              <w:rPr>
                <w:sz w:val="21"/>
                <w:lang w:eastAsia="zh-CN"/>
              </w:rPr>
              <w:t>本年处理决定数量</w:t>
            </w:r>
          </w:p>
        </w:tc>
      </w:tr>
      <w:tr>
        <w:tblPrEx>
          <w:tblCellMar>
            <w:top w:w="0" w:type="dxa"/>
            <w:left w:w="0" w:type="dxa"/>
            <w:bottom w:w="0" w:type="dxa"/>
            <w:right w:w="0" w:type="dxa"/>
          </w:tblCellMar>
        </w:tblPrEx>
        <w:trPr>
          <w:trHeight w:val="799" w:hRule="exact"/>
        </w:trPr>
        <w:tc>
          <w:tcPr>
            <w:tcW w:w="3284" w:type="dxa"/>
            <w:tcBorders>
              <w:top w:val="single" w:color="8C7774" w:sz="4" w:space="0"/>
              <w:left w:val="single" w:color="3B3B44" w:sz="6" w:space="0"/>
              <w:bottom w:val="single" w:color="7C6B74" w:sz="4" w:space="0"/>
              <w:right w:val="single" w:color="909093"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9" w:line="620" w:lineRule="exact"/>
              <w:ind w:left="102"/>
              <w:jc w:val="center"/>
              <w:textAlignment w:val="auto"/>
              <w:rPr>
                <w:sz w:val="21"/>
                <w:lang w:eastAsia="zh-CN"/>
              </w:rPr>
            </w:pPr>
            <w:r>
              <w:rPr>
                <w:sz w:val="21"/>
                <w:lang w:eastAsia="zh-CN"/>
              </w:rPr>
              <w:t>行政处罚</w:t>
            </w:r>
          </w:p>
        </w:tc>
        <w:tc>
          <w:tcPr>
            <w:tcW w:w="4840" w:type="dxa"/>
            <w:gridSpan w:val="3"/>
            <w:tcBorders>
              <w:top w:val="single" w:color="747074" w:sz="4" w:space="0"/>
              <w:left w:val="single" w:color="909093" w:sz="4" w:space="0"/>
              <w:bottom w:val="single" w:color="7C6B74"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778" w:hRule="exact"/>
        </w:trPr>
        <w:tc>
          <w:tcPr>
            <w:tcW w:w="3284" w:type="dxa"/>
            <w:tcBorders>
              <w:top w:val="single" w:color="7C6B74" w:sz="4" w:space="0"/>
              <w:left w:val="single" w:color="3B3B44" w:sz="6" w:space="0"/>
              <w:bottom w:val="single" w:color="646080" w:sz="4" w:space="0"/>
              <w:right w:val="single" w:color="909093"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8" w:line="620" w:lineRule="exact"/>
              <w:ind w:left="107"/>
              <w:jc w:val="center"/>
              <w:textAlignment w:val="auto"/>
              <w:rPr>
                <w:sz w:val="21"/>
                <w:lang w:eastAsia="zh-CN"/>
              </w:rPr>
            </w:pPr>
            <w:r>
              <w:rPr>
                <w:sz w:val="21"/>
                <w:lang w:eastAsia="zh-CN"/>
              </w:rPr>
              <w:t>行政强制</w:t>
            </w:r>
          </w:p>
        </w:tc>
        <w:tc>
          <w:tcPr>
            <w:tcW w:w="4840" w:type="dxa"/>
            <w:gridSpan w:val="3"/>
            <w:tcBorders>
              <w:top w:val="single" w:color="7C6B74" w:sz="4" w:space="0"/>
              <w:left w:val="single" w:color="909093" w:sz="4" w:space="0"/>
              <w:bottom w:val="single" w:color="646080" w:sz="4" w:space="0"/>
              <w:right w:val="single" w:color="3B3B3F"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sz w:val="21"/>
                <w:lang w:val="en-US" w:eastAsia="zh-CN"/>
              </w:rPr>
              <w:t>0</w:t>
            </w:r>
          </w:p>
        </w:tc>
      </w:tr>
      <w:tr>
        <w:tblPrEx>
          <w:tblCellMar>
            <w:top w:w="0" w:type="dxa"/>
            <w:left w:w="0" w:type="dxa"/>
            <w:bottom w:w="0" w:type="dxa"/>
            <w:right w:w="0" w:type="dxa"/>
          </w:tblCellMar>
        </w:tblPrEx>
        <w:trPr>
          <w:trHeight w:val="841" w:hRule="exact"/>
        </w:trPr>
        <w:tc>
          <w:tcPr>
            <w:tcW w:w="8124" w:type="dxa"/>
            <w:gridSpan w:val="4"/>
            <w:tcBorders>
              <w:top w:val="single" w:color="646080" w:sz="4" w:space="0"/>
              <w:left w:val="single" w:color="3B3B44" w:sz="6" w:space="0"/>
              <w:bottom w:val="nil"/>
              <w:right w:val="single" w:color="3B3B3F" w:sz="8" w:space="0"/>
            </w:tcBorders>
            <w:vAlign w:val="center"/>
          </w:tcPr>
          <w:p>
            <w:pPr>
              <w:keepNext w:val="0"/>
              <w:keepLines w:val="0"/>
              <w:pageBreakBefore w:val="0"/>
              <w:widowControl w:val="0"/>
              <w:tabs>
                <w:tab w:val="left" w:pos="1068"/>
              </w:tabs>
              <w:kinsoku/>
              <w:wordWrap/>
              <w:overflowPunct/>
              <w:topLinePunct w:val="0"/>
              <w:autoSpaceDE/>
              <w:autoSpaceDN/>
              <w:bidi w:val="0"/>
              <w:adjustRightInd w:val="0"/>
              <w:snapToGrid w:val="0"/>
              <w:spacing w:before="142" w:line="620" w:lineRule="exact"/>
              <w:ind w:left="25"/>
              <w:jc w:val="center"/>
              <w:textAlignment w:val="auto"/>
              <w:rPr>
                <w:sz w:val="21"/>
                <w:lang w:eastAsia="zh-CN"/>
              </w:rPr>
            </w:pPr>
            <w:r>
              <w:rPr>
                <w:sz w:val="21"/>
                <w:lang w:eastAsia="zh-CN"/>
              </w:rPr>
              <w:t>第二十条</w:t>
            </w:r>
            <w:r>
              <w:rPr>
                <w:sz w:val="21"/>
                <w:lang w:eastAsia="zh-CN"/>
              </w:rPr>
              <w:tab/>
            </w:r>
            <w:r>
              <w:rPr>
                <w:sz w:val="21"/>
                <w:lang w:eastAsia="zh-CN"/>
              </w:rPr>
              <w:t>第 （八） 项</w:t>
            </w:r>
          </w:p>
        </w:tc>
      </w:tr>
      <w:tr>
        <w:tblPrEx>
          <w:tblCellMar>
            <w:top w:w="0" w:type="dxa"/>
            <w:left w:w="0" w:type="dxa"/>
            <w:bottom w:w="0" w:type="dxa"/>
            <w:right w:w="0" w:type="dxa"/>
          </w:tblCellMar>
        </w:tblPrEx>
        <w:trPr>
          <w:trHeight w:val="931" w:hRule="exact"/>
        </w:trPr>
        <w:tc>
          <w:tcPr>
            <w:tcW w:w="3284" w:type="dxa"/>
            <w:tcBorders>
              <w:top w:val="single" w:color="6B747C" w:sz="4" w:space="0"/>
              <w:left w:val="single" w:color="5B5B60" w:sz="6" w:space="0"/>
              <w:bottom w:val="single" w:color="77778C"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35" w:line="620" w:lineRule="exact"/>
              <w:ind w:right="1"/>
              <w:jc w:val="center"/>
              <w:textAlignment w:val="auto"/>
              <w:rPr>
                <w:sz w:val="21"/>
                <w:lang w:eastAsia="zh-CN"/>
              </w:rPr>
            </w:pPr>
            <w:r>
              <w:rPr>
                <w:sz w:val="21"/>
                <w:lang w:eastAsia="zh-CN"/>
              </w:rPr>
              <w:t>信息内容</w:t>
            </w:r>
          </w:p>
        </w:tc>
        <w:tc>
          <w:tcPr>
            <w:tcW w:w="4840"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before="145" w:line="620" w:lineRule="exact"/>
              <w:ind w:left="1446"/>
              <w:jc w:val="center"/>
              <w:textAlignment w:val="auto"/>
              <w:rPr>
                <w:sz w:val="21"/>
                <w:lang w:eastAsia="zh-CN"/>
              </w:rPr>
            </w:pPr>
            <w:r>
              <w:rPr>
                <w:sz w:val="21"/>
                <w:lang w:eastAsia="zh-CN"/>
              </w:rPr>
              <w:t>本年收费金额  （单位 ：万元</w:t>
            </w:r>
            <w:r>
              <w:rPr>
                <w:rFonts w:hint="eastAsia"/>
                <w:sz w:val="21"/>
                <w:lang w:eastAsia="zh-CN"/>
              </w:rPr>
              <w:t>）</w:t>
            </w:r>
          </w:p>
        </w:tc>
      </w:tr>
      <w:tr>
        <w:tblPrEx>
          <w:tblCellMar>
            <w:top w:w="0" w:type="dxa"/>
            <w:left w:w="0" w:type="dxa"/>
            <w:bottom w:w="0" w:type="dxa"/>
            <w:right w:w="0" w:type="dxa"/>
          </w:tblCellMar>
        </w:tblPrEx>
        <w:trPr>
          <w:trHeight w:val="841" w:hRule="exact"/>
        </w:trPr>
        <w:tc>
          <w:tcPr>
            <w:tcW w:w="3284" w:type="dxa"/>
            <w:tcBorders>
              <w:top w:val="single" w:color="77778C" w:sz="4" w:space="0"/>
              <w:left w:val="single" w:color="5B5B60" w:sz="6" w:space="0"/>
              <w:bottom w:val="single" w:color="3B383F" w:sz="8" w:space="0"/>
              <w:right w:val="single" w:color="8C8C93" w:sz="2" w:space="0"/>
            </w:tcBorders>
            <w:vAlign w:val="center"/>
          </w:tcPr>
          <w:p>
            <w:pPr>
              <w:keepNext w:val="0"/>
              <w:keepLines w:val="0"/>
              <w:pageBreakBefore w:val="0"/>
              <w:widowControl w:val="0"/>
              <w:kinsoku/>
              <w:wordWrap/>
              <w:overflowPunct/>
              <w:topLinePunct w:val="0"/>
              <w:autoSpaceDE/>
              <w:autoSpaceDN/>
              <w:bidi w:val="0"/>
              <w:adjustRightInd w:val="0"/>
              <w:snapToGrid w:val="0"/>
              <w:spacing w:before="138" w:line="620" w:lineRule="exact"/>
              <w:ind w:left="107"/>
              <w:jc w:val="center"/>
              <w:textAlignment w:val="auto"/>
              <w:rPr>
                <w:sz w:val="21"/>
                <w:lang w:eastAsia="zh-CN"/>
              </w:rPr>
            </w:pPr>
            <w:r>
              <w:rPr>
                <w:sz w:val="21"/>
                <w:lang w:eastAsia="zh-CN"/>
              </w:rPr>
              <w:t>行政事业性收费</w:t>
            </w:r>
          </w:p>
        </w:tc>
        <w:tc>
          <w:tcPr>
            <w:tcW w:w="4840" w:type="dxa"/>
            <w:gridSpan w:val="3"/>
            <w:tcBorders>
              <w:top w:val="single" w:color="77778C" w:sz="4" w:space="0"/>
              <w:left w:val="single" w:color="8C8C93" w:sz="2" w:space="0"/>
              <w:bottom w:val="single" w:color="3B383F" w:sz="8" w:space="0"/>
              <w:right w:val="single" w:color="3B3B44" w:sz="8" w:space="0"/>
            </w:tcBorders>
            <w:vAlign w:val="center"/>
          </w:tcPr>
          <w:p>
            <w:pPr>
              <w:keepNext w:val="0"/>
              <w:keepLines w:val="0"/>
              <w:pageBreakBefore w:val="0"/>
              <w:widowControl w:val="0"/>
              <w:kinsoku/>
              <w:wordWrap/>
              <w:overflowPunct/>
              <w:topLinePunct w:val="0"/>
              <w:autoSpaceDE/>
              <w:autoSpaceDN/>
              <w:bidi w:val="0"/>
              <w:adjustRightInd w:val="0"/>
              <w:snapToGrid w:val="0"/>
              <w:spacing w:line="620" w:lineRule="exact"/>
              <w:jc w:val="center"/>
              <w:textAlignment w:val="auto"/>
              <w:rPr>
                <w:rFonts w:hint="default"/>
                <w:sz w:val="21"/>
                <w:lang w:val="en-US" w:eastAsia="zh-CN"/>
              </w:rPr>
            </w:pPr>
            <w:r>
              <w:rPr>
                <w:rFonts w:hint="eastAsia"/>
                <w:color w:val="auto"/>
                <w:sz w:val="21"/>
                <w:lang w:val="en-US" w:eastAsia="zh-CN"/>
              </w:rPr>
              <w:t>73.62</w:t>
            </w:r>
          </w:p>
        </w:tc>
      </w:tr>
    </w:tbl>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三、收到和处理政府信息公开申请情况</w:t>
      </w:r>
    </w:p>
    <w:tbl>
      <w:tblPr>
        <w:tblStyle w:val="7"/>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525"/>
        <w:gridCol w:w="2634"/>
        <w:gridCol w:w="554"/>
        <w:gridCol w:w="693"/>
        <w:gridCol w:w="692"/>
        <w:gridCol w:w="693"/>
        <w:gridCol w:w="693"/>
        <w:gridCol w:w="695"/>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4713" w:type="dxa"/>
            <w:gridSpan w:val="3"/>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（本列数据的勾稽关系为：第一项加第二项之和，等于第三项加第四项之和）</w:t>
            </w:r>
          </w:p>
        </w:tc>
        <w:tc>
          <w:tcPr>
            <w:tcW w:w="4685" w:type="dxa"/>
            <w:gridSpan w:val="7"/>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554"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r>
              <w:rPr>
                <w:rFonts w:hint="eastAsia"/>
                <w:szCs w:val="21"/>
              </w:rPr>
              <w:t>自然人</w:t>
            </w:r>
          </w:p>
        </w:tc>
        <w:tc>
          <w:tcPr>
            <w:tcW w:w="3466"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法人或其他组织</w:t>
            </w:r>
          </w:p>
        </w:tc>
        <w:tc>
          <w:tcPr>
            <w:tcW w:w="66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4713" w:type="dxa"/>
            <w:gridSpan w:val="3"/>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商业企业</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科研机构</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社会公益组织</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法律服务机构</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r>
              <w:rPr>
                <w:rFonts w:hint="eastAsia"/>
                <w:szCs w:val="21"/>
              </w:rPr>
              <w:t>其他</w:t>
            </w:r>
          </w:p>
        </w:tc>
        <w:tc>
          <w:tcPr>
            <w:tcW w:w="66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一、本年新收政府信息公开申请数量</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5</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713" w:type="dxa"/>
            <w:gridSpan w:val="3"/>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二、上年结转政府信息公开申请数量</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三、本年度办理结果</w:t>
            </w:r>
          </w:p>
        </w:tc>
        <w:tc>
          <w:tcPr>
            <w:tcW w:w="4159" w:type="dxa"/>
            <w:gridSpan w:val="2"/>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（一）予以公开</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5</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4159" w:type="dxa"/>
            <w:gridSpan w:val="2"/>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（三）不予公开</w:t>
            </w: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2．其他法律行政法规禁止公开</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3．危及“三安全一稳定”</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4．保护第三方合法权益</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5．属于三类内部事务信息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6．属于四类过程性信息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7．属于行政执法案卷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8．属于行政查询事项</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r>
              <w:rPr>
                <w:rFonts w:hint="eastAsia"/>
                <w:sz w:val="18"/>
                <w:szCs w:val="18"/>
              </w:rPr>
              <w:t>（四）无法提供</w:t>
            </w: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1．本机关不掌握相关政府信息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2．没有现成信息需要另行制作</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3．补正后申请内容仍不明确</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r>
              <w:rPr>
                <w:rFonts w:hint="eastAsia"/>
                <w:sz w:val="18"/>
                <w:szCs w:val="18"/>
              </w:rPr>
              <w:t>（五）</w:t>
            </w:r>
            <w:r>
              <w:rPr>
                <w:rFonts w:hint="eastAsia" w:asciiTheme="minorEastAsia" w:hAnsiTheme="minorEastAsia"/>
                <w:sz w:val="18"/>
                <w:szCs w:val="18"/>
              </w:rPr>
              <w:t>不予处理</w:t>
            </w: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1．信访举报投诉类申请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2．重复申请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textAlignment w:val="auto"/>
              <w:rPr>
                <w:rFonts w:asciiTheme="minorEastAsia" w:hAnsiTheme="minorEastAsia"/>
                <w:sz w:val="18"/>
                <w:szCs w:val="18"/>
              </w:rPr>
            </w:pPr>
            <w:r>
              <w:rPr>
                <w:rFonts w:hint="eastAsia" w:asciiTheme="minorEastAsia" w:hAnsiTheme="minorEastAsia"/>
                <w:sz w:val="18"/>
                <w:szCs w:val="18"/>
              </w:rPr>
              <w:t>4．无正当理由大量反复申请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restart"/>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sz w:val="18"/>
                <w:szCs w:val="18"/>
              </w:rPr>
              <w:t>（六）其他处理</w:t>
            </w: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申请人无正当理由逾期不补正、行政机关不再处理其政府信息公开申请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申请人逾期未按收费通知 要求缴纳费用、行政机关不再处理其政府信息公开申请</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1525"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2634" w:type="dxa"/>
          </w:tcPr>
          <w:p>
            <w:pPr>
              <w:keepNext w:val="0"/>
              <w:keepLines w:val="0"/>
              <w:pageBreakBefore w:val="0"/>
              <w:kinsoku/>
              <w:wordWrap/>
              <w:overflowPunct/>
              <w:topLinePunct w:val="0"/>
              <w:autoSpaceDE/>
              <w:autoSpaceDN/>
              <w:bidi w:val="0"/>
              <w:adjustRightInd/>
              <w:snapToGrid/>
              <w:spacing w:line="620" w:lineRule="exact"/>
              <w:ind w:left="180" w:hanging="180" w:hangingChars="100"/>
              <w:textAlignment w:val="auto"/>
              <w:rPr>
                <w:rFonts w:asciiTheme="minorEastAsia" w:hAnsiTheme="minorEastAsia"/>
                <w:sz w:val="18"/>
                <w:szCs w:val="18"/>
              </w:rPr>
            </w:pPr>
            <w:r>
              <w:rPr>
                <w:rFonts w:hint="eastAsia" w:asciiTheme="minorEastAsia" w:hAnsiTheme="minorEastAsia"/>
                <w:sz w:val="18"/>
                <w:szCs w:val="18"/>
              </w:rPr>
              <w:t>3</w:t>
            </w:r>
            <w:r>
              <w:rPr>
                <w:rFonts w:asciiTheme="minorEastAsia" w:hAnsiTheme="minorEastAsia"/>
                <w:sz w:val="18"/>
                <w:szCs w:val="18"/>
              </w:rPr>
              <w:t>.</w:t>
            </w:r>
            <w:r>
              <w:rPr>
                <w:rFonts w:hint="eastAsia" w:asciiTheme="minorEastAsia" w:hAnsiTheme="minorEastAsia"/>
                <w:sz w:val="18"/>
                <w:szCs w:val="18"/>
              </w:rPr>
              <w:t>其他</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554" w:type="dxa"/>
            <w:vMerge w:val="continue"/>
          </w:tcPr>
          <w:p>
            <w:pPr>
              <w:keepNext w:val="0"/>
              <w:keepLines w:val="0"/>
              <w:pageBreakBefore w:val="0"/>
              <w:kinsoku/>
              <w:wordWrap/>
              <w:overflowPunct/>
              <w:topLinePunct w:val="0"/>
              <w:autoSpaceDE/>
              <w:autoSpaceDN/>
              <w:bidi w:val="0"/>
              <w:adjustRightInd/>
              <w:snapToGrid/>
              <w:spacing w:line="620" w:lineRule="exact"/>
              <w:textAlignment w:val="auto"/>
            </w:pPr>
          </w:p>
        </w:tc>
        <w:tc>
          <w:tcPr>
            <w:tcW w:w="4159" w:type="dxa"/>
            <w:gridSpan w:val="2"/>
            <w:vAlign w:val="center"/>
          </w:tcPr>
          <w:p>
            <w:pPr>
              <w:keepNext w:val="0"/>
              <w:keepLines w:val="0"/>
              <w:pageBreakBefore w:val="0"/>
              <w:kinsoku/>
              <w:wordWrap/>
              <w:overflowPunct/>
              <w:topLinePunct w:val="0"/>
              <w:autoSpaceDE/>
              <w:autoSpaceDN/>
              <w:bidi w:val="0"/>
              <w:adjustRightInd/>
              <w:snapToGrid/>
              <w:spacing w:line="620" w:lineRule="exact"/>
              <w:textAlignment w:val="auto"/>
              <w:rPr>
                <w:sz w:val="18"/>
                <w:szCs w:val="18"/>
              </w:rPr>
            </w:pPr>
            <w:r>
              <w:rPr>
                <w:rFonts w:hint="eastAsia"/>
                <w:sz w:val="18"/>
                <w:szCs w:val="18"/>
              </w:rPr>
              <w:t>（七）总计</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lang w:val="en-US" w:eastAsia="zh-CN"/>
              </w:rPr>
            </w:pPr>
            <w:r>
              <w:rPr>
                <w:rFonts w:hint="eastAsia"/>
                <w:lang w:val="en-US" w:eastAsia="zh-CN"/>
              </w:rPr>
              <w:t>5</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713" w:type="dxa"/>
            <w:gridSpan w:val="3"/>
            <w:vAlign w:val="center"/>
          </w:tcPr>
          <w:p>
            <w:pPr>
              <w:keepNext w:val="0"/>
              <w:keepLines w:val="0"/>
              <w:pageBreakBefore w:val="0"/>
              <w:kinsoku/>
              <w:wordWrap/>
              <w:overflowPunct/>
              <w:topLinePunct w:val="0"/>
              <w:autoSpaceDE/>
              <w:autoSpaceDN/>
              <w:bidi w:val="0"/>
              <w:adjustRightInd/>
              <w:snapToGrid/>
              <w:spacing w:line="620" w:lineRule="exact"/>
              <w:textAlignment w:val="auto"/>
            </w:pPr>
            <w:r>
              <w:rPr>
                <w:rFonts w:hint="eastAsia"/>
              </w:rPr>
              <w:t>四、结转下年度继续办理</w:t>
            </w:r>
          </w:p>
        </w:tc>
        <w:tc>
          <w:tcPr>
            <w:tcW w:w="55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2"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3"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9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c>
          <w:tcPr>
            <w:tcW w:w="66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pPr>
            <w:r>
              <w:rPr>
                <w:rFonts w:hint="eastAsia"/>
                <w:lang w:val="en-US" w:eastAsia="zh-CN"/>
              </w:rPr>
              <w:t>0</w:t>
            </w:r>
          </w:p>
        </w:tc>
      </w:tr>
    </w:tbl>
    <w:p>
      <w:pPr>
        <w:keepNext w:val="0"/>
        <w:keepLines w:val="0"/>
        <w:pageBreakBefore w:val="0"/>
        <w:kinsoku/>
        <w:wordWrap/>
        <w:overflowPunct/>
        <w:topLinePunct w:val="0"/>
        <w:autoSpaceDE/>
        <w:autoSpaceDN/>
        <w:bidi w:val="0"/>
        <w:adjustRightInd/>
        <w:snapToGrid/>
        <w:spacing w:line="620" w:lineRule="exact"/>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snapToGrid/>
        <w:spacing w:line="620" w:lineRule="exact"/>
        <w:ind w:firstLine="640" w:firstLineChars="200"/>
        <w:textAlignment w:val="auto"/>
        <w:rPr>
          <w:rFonts w:ascii="黑体" w:hAnsi="黑体" w:eastAsia="黑体"/>
          <w:sz w:val="32"/>
          <w:szCs w:val="32"/>
        </w:rPr>
      </w:pPr>
      <w:r>
        <w:rPr>
          <w:rFonts w:hint="eastAsia" w:ascii="黑体" w:hAnsi="黑体" w:eastAsia="黑体"/>
          <w:sz w:val="32"/>
          <w:szCs w:val="32"/>
        </w:rPr>
        <w:t>四、政府信息公开行政复议、行政诉讼情况</w:t>
      </w:r>
    </w:p>
    <w:tbl>
      <w:tblPr>
        <w:tblStyle w:val="7"/>
        <w:tblW w:w="97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709"/>
        <w:gridCol w:w="709"/>
        <w:gridCol w:w="706"/>
        <w:gridCol w:w="428"/>
        <w:gridCol w:w="708"/>
        <w:gridCol w:w="709"/>
        <w:gridCol w:w="709"/>
        <w:gridCol w:w="709"/>
        <w:gridCol w:w="425"/>
        <w:gridCol w:w="709"/>
        <w:gridCol w:w="708"/>
        <w:gridCol w:w="709"/>
        <w:gridCol w:w="694"/>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207"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行政复议</w:t>
            </w:r>
          </w:p>
        </w:tc>
        <w:tc>
          <w:tcPr>
            <w:tcW w:w="6505" w:type="dxa"/>
            <w:gridSpan w:val="10"/>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5"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结果维持</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结果纠正</w:t>
            </w:r>
          </w:p>
        </w:tc>
        <w:tc>
          <w:tcPr>
            <w:tcW w:w="709"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其他结果</w:t>
            </w:r>
          </w:p>
        </w:tc>
        <w:tc>
          <w:tcPr>
            <w:tcW w:w="706"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尚未审结</w:t>
            </w:r>
          </w:p>
        </w:tc>
        <w:tc>
          <w:tcPr>
            <w:tcW w:w="428" w:type="dxa"/>
            <w:vMerge w:val="restart"/>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总计</w:t>
            </w:r>
          </w:p>
        </w:tc>
        <w:tc>
          <w:tcPr>
            <w:tcW w:w="3260"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未经复议直接起诉</w:t>
            </w:r>
          </w:p>
        </w:tc>
        <w:tc>
          <w:tcPr>
            <w:tcW w:w="3245" w:type="dxa"/>
            <w:gridSpan w:val="5"/>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655"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p>
        </w:tc>
        <w:tc>
          <w:tcPr>
            <w:tcW w:w="709"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 w:val="18"/>
                <w:szCs w:val="18"/>
              </w:rPr>
            </w:pPr>
          </w:p>
        </w:tc>
        <w:tc>
          <w:tcPr>
            <w:tcW w:w="706"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p>
        </w:tc>
        <w:tc>
          <w:tcPr>
            <w:tcW w:w="428" w:type="dxa"/>
            <w:vMerge w:val="continue"/>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结果维持</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其他结果</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总计</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结果维持</w:t>
            </w: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结果纠正</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其他结果</w:t>
            </w:r>
          </w:p>
        </w:tc>
        <w:tc>
          <w:tcPr>
            <w:tcW w:w="69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尚未审结</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5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 w:val="18"/>
                <w:szCs w:val="18"/>
                <w:lang w:val="en-US" w:eastAsia="zh-CN"/>
              </w:rPr>
            </w:pPr>
            <w:r>
              <w:rPr>
                <w:rFonts w:hint="eastAsia"/>
                <w:sz w:val="18"/>
                <w:szCs w:val="18"/>
                <w:lang w:val="en-US" w:eastAsia="zh-CN"/>
              </w:rPr>
              <w:t>0</w:t>
            </w:r>
          </w:p>
        </w:tc>
        <w:tc>
          <w:tcPr>
            <w:tcW w:w="706"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42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default" w:eastAsiaTheme="minorEastAsia"/>
                <w:szCs w:val="21"/>
                <w:lang w:val="en-US" w:eastAsia="zh-CN"/>
              </w:rPr>
            </w:pPr>
            <w:r>
              <w:rPr>
                <w:rFonts w:hint="eastAsia"/>
                <w:szCs w:val="21"/>
                <w:lang w:val="en-US" w:eastAsia="zh-CN"/>
              </w:rPr>
              <w:t>0</w:t>
            </w:r>
          </w:p>
        </w:tc>
        <w:tc>
          <w:tcPr>
            <w:tcW w:w="708"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709"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694"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c>
          <w:tcPr>
            <w:tcW w:w="425" w:type="dxa"/>
            <w:vAlign w:val="center"/>
          </w:tcPr>
          <w:p>
            <w:pPr>
              <w:keepNext w:val="0"/>
              <w:keepLines w:val="0"/>
              <w:pageBreakBefore w:val="0"/>
              <w:kinsoku/>
              <w:wordWrap/>
              <w:overflowPunct/>
              <w:topLinePunct w:val="0"/>
              <w:autoSpaceDE/>
              <w:autoSpaceDN/>
              <w:bidi w:val="0"/>
              <w:adjustRightInd/>
              <w:snapToGrid/>
              <w:spacing w:line="620" w:lineRule="exact"/>
              <w:jc w:val="center"/>
              <w:textAlignment w:val="auto"/>
              <w:rPr>
                <w:rFonts w:hint="eastAsia" w:eastAsiaTheme="minorEastAsia"/>
                <w:szCs w:val="21"/>
                <w:lang w:val="en-US" w:eastAsia="zh-CN"/>
              </w:rPr>
            </w:pPr>
            <w:r>
              <w:rPr>
                <w:rFonts w:hint="eastAsia"/>
                <w:szCs w:val="21"/>
                <w:lang w:val="en-US" w:eastAsia="zh-CN"/>
              </w:rPr>
              <w:t>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黑体" w:hAnsi="黑体" w:eastAsia="黑体" w:cs="黑体"/>
          <w:caps w:val="0"/>
          <w:color w:val="000000"/>
          <w:spacing w:val="0"/>
          <w:sz w:val="32"/>
          <w:szCs w:val="32"/>
          <w:lang w:val="en-US" w:eastAsia="zh-CN"/>
        </w:rPr>
      </w:pPr>
      <w:r>
        <w:rPr>
          <w:rFonts w:hint="eastAsia" w:ascii="黑体" w:hAnsi="黑体" w:eastAsia="黑体" w:cs="黑体"/>
          <w:caps w:val="0"/>
          <w:color w:val="000000"/>
          <w:spacing w:val="0"/>
          <w:sz w:val="32"/>
          <w:szCs w:val="32"/>
          <w:lang w:val="en-US" w:eastAsia="zh-CN"/>
        </w:rPr>
        <w:t>五、存在的主要问题及改进情况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仿宋_GB2312" w:eastAsia="仿宋_GB2312" w:cs="仿宋_GB2312"/>
          <w:caps w:val="0"/>
          <w:color w:val="000000"/>
          <w:spacing w:val="0"/>
          <w:sz w:val="32"/>
          <w:szCs w:val="32"/>
          <w:lang w:val="en-US" w:eastAsia="zh-CN"/>
        </w:rPr>
      </w:pPr>
      <w:r>
        <w:rPr>
          <w:rFonts w:hint="eastAsia" w:ascii="仿宋_GB2312" w:hAnsi="仿宋_GB2312" w:eastAsia="仿宋_GB2312" w:cs="仿宋_GB2312"/>
          <w:caps w:val="0"/>
          <w:color w:val="000000"/>
          <w:spacing w:val="0"/>
          <w:sz w:val="32"/>
          <w:szCs w:val="32"/>
          <w:lang w:val="en-US" w:eastAsia="zh-CN"/>
        </w:rPr>
        <w:t>1.存在问</w:t>
      </w:r>
      <w:r>
        <w:rPr>
          <w:rFonts w:hint="eastAsia" w:ascii="仿宋_GB2312" w:hAnsi="仿宋_GB2312" w:eastAsia="仿宋_GB2312" w:cs="仿宋_GB2312"/>
          <w:caps w:val="0"/>
          <w:color w:val="000000"/>
          <w:spacing w:val="0"/>
          <w:sz w:val="32"/>
          <w:szCs w:val="32"/>
        </w:rPr>
        <w:t>题</w:t>
      </w:r>
      <w:r>
        <w:rPr>
          <w:rFonts w:hint="eastAsia" w:ascii="仿宋_GB2312" w:hAnsi="仿宋_GB2312" w:eastAsia="仿宋_GB2312" w:cs="仿宋_GB2312"/>
          <w:caps w:val="0"/>
          <w:color w:val="000000"/>
          <w:spacing w:val="0"/>
          <w:sz w:val="32"/>
          <w:szCs w:val="32"/>
          <w:lang w:eastAsia="zh-CN"/>
        </w:rPr>
        <w:t>：</w:t>
      </w:r>
      <w:r>
        <w:rPr>
          <w:rFonts w:hint="eastAsia" w:ascii="仿宋_GB2312" w:hAnsi="仿宋_GB2312" w:eastAsia="仿宋_GB2312" w:cs="仿宋_GB2312"/>
          <w:caps w:val="0"/>
          <w:color w:val="000000"/>
          <w:spacing w:val="0"/>
          <w:sz w:val="32"/>
          <w:szCs w:val="32"/>
          <w:lang w:val="en-US" w:eastAsia="zh-CN"/>
        </w:rPr>
        <w:t>一是</w:t>
      </w:r>
      <w:r>
        <w:rPr>
          <w:rFonts w:hint="eastAsia" w:ascii="仿宋_GB2312" w:hAnsi="仿宋_GB2312" w:eastAsia="仿宋_GB2312" w:cs="仿宋_GB2312"/>
          <w:caps w:val="0"/>
          <w:color w:val="000000"/>
          <w:spacing w:val="0"/>
          <w:sz w:val="32"/>
          <w:szCs w:val="32"/>
        </w:rPr>
        <w:t>政府信息依申请公开事项</w:t>
      </w:r>
      <w:r>
        <w:rPr>
          <w:rFonts w:hint="eastAsia" w:ascii="仿宋_GB2312" w:hAnsi="仿宋_GB2312" w:eastAsia="仿宋_GB2312" w:cs="仿宋_GB2312"/>
          <w:caps w:val="0"/>
          <w:color w:val="000000"/>
          <w:spacing w:val="0"/>
          <w:sz w:val="32"/>
          <w:szCs w:val="32"/>
          <w:lang w:val="en-US" w:eastAsia="zh-CN"/>
        </w:rPr>
        <w:t>流程</w:t>
      </w:r>
      <w:r>
        <w:rPr>
          <w:rFonts w:hint="eastAsia" w:ascii="仿宋_GB2312" w:hAnsi="仿宋_GB2312" w:eastAsia="仿宋_GB2312" w:cs="仿宋_GB2312"/>
          <w:caps w:val="0"/>
          <w:color w:val="000000"/>
          <w:spacing w:val="0"/>
          <w:sz w:val="32"/>
          <w:szCs w:val="32"/>
        </w:rPr>
        <w:t>仍需进一步规范</w:t>
      </w:r>
      <w:r>
        <w:rPr>
          <w:rFonts w:hint="eastAsia" w:ascii="仿宋_GB2312" w:hAnsi="仿宋_GB2312" w:eastAsia="仿宋_GB2312" w:cs="仿宋_GB2312"/>
          <w:caps w:val="0"/>
          <w:color w:val="000000"/>
          <w:spacing w:val="0"/>
          <w:sz w:val="32"/>
          <w:szCs w:val="32"/>
          <w:lang w:eastAsia="zh-CN"/>
        </w:rPr>
        <w:t>；</w:t>
      </w:r>
      <w:r>
        <w:rPr>
          <w:rFonts w:hint="eastAsia" w:ascii="仿宋_GB2312" w:hAnsi="仿宋_GB2312" w:eastAsia="仿宋_GB2312" w:cs="仿宋_GB2312"/>
          <w:caps w:val="0"/>
          <w:color w:val="000000"/>
          <w:spacing w:val="0"/>
          <w:sz w:val="32"/>
          <w:szCs w:val="32"/>
          <w:lang w:val="en-US" w:eastAsia="zh-CN"/>
        </w:rPr>
        <w:t>二是个别学校校务公开工作人员对工作认识不够，相关政策学习不深入，能力和水平需要进一步提升。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仿宋_GB2312" w:eastAsia="仿宋_GB2312" w:cs="仿宋_GB2312"/>
          <w:caps w:val="0"/>
          <w:color w:val="000000"/>
          <w:spacing w:val="0"/>
          <w:sz w:val="32"/>
          <w:szCs w:val="32"/>
          <w:lang w:val="en-US" w:eastAsia="zh-CN"/>
        </w:rPr>
      </w:pPr>
      <w:r>
        <w:rPr>
          <w:rFonts w:hint="eastAsia" w:ascii="仿宋_GB2312" w:hAnsi="仿宋_GB2312" w:eastAsia="仿宋_GB2312" w:cs="仿宋_GB2312"/>
          <w:caps w:val="0"/>
          <w:color w:val="000000"/>
          <w:spacing w:val="0"/>
          <w:sz w:val="32"/>
          <w:szCs w:val="32"/>
          <w:lang w:val="en-US" w:eastAsia="zh-CN"/>
        </w:rPr>
        <w:t>2.</w:t>
      </w:r>
      <w:r>
        <w:rPr>
          <w:rFonts w:hint="eastAsia" w:ascii="仿宋_GB2312" w:hAnsi="仿宋_GB2312" w:eastAsia="仿宋_GB2312" w:cs="仿宋_GB2312"/>
          <w:caps w:val="0"/>
          <w:color w:val="000000"/>
          <w:spacing w:val="0"/>
          <w:sz w:val="32"/>
          <w:szCs w:val="32"/>
        </w:rPr>
        <w:t>改进措施</w:t>
      </w:r>
      <w:r>
        <w:rPr>
          <w:rFonts w:hint="eastAsia" w:ascii="仿宋_GB2312" w:hAnsi="仿宋_GB2312" w:eastAsia="仿宋_GB2312" w:cs="仿宋_GB2312"/>
          <w:caps w:val="0"/>
          <w:color w:val="000000"/>
          <w:spacing w:val="0"/>
          <w:sz w:val="32"/>
          <w:szCs w:val="32"/>
          <w:lang w:eastAsia="zh-CN"/>
        </w:rPr>
        <w:t>：</w:t>
      </w:r>
      <w:r>
        <w:rPr>
          <w:rFonts w:hint="eastAsia" w:ascii="仿宋_GB2312" w:hAnsi="仿宋_GB2312" w:eastAsia="仿宋_GB2312" w:cs="仿宋_GB2312"/>
          <w:caps w:val="0"/>
          <w:color w:val="000000"/>
          <w:spacing w:val="0"/>
          <w:sz w:val="32"/>
          <w:szCs w:val="32"/>
          <w:lang w:val="en-US" w:eastAsia="zh-CN"/>
        </w:rPr>
        <w:t>一</w:t>
      </w:r>
      <w:r>
        <w:rPr>
          <w:rFonts w:hint="eastAsia" w:ascii="仿宋_GB2312" w:hAnsi="仿宋_GB2312" w:eastAsia="仿宋_GB2312" w:cs="仿宋_GB2312"/>
          <w:caps w:val="0"/>
          <w:color w:val="000000"/>
          <w:spacing w:val="0"/>
          <w:sz w:val="32"/>
          <w:szCs w:val="32"/>
        </w:rPr>
        <w:t>是规范政府信息依申请公开办理。</w:t>
      </w:r>
      <w:r>
        <w:rPr>
          <w:rFonts w:hint="eastAsia" w:ascii="仿宋_GB2312" w:hAnsi="仿宋_GB2312" w:eastAsia="仿宋_GB2312" w:cs="仿宋_GB2312"/>
          <w:caps w:val="0"/>
          <w:color w:val="000000"/>
          <w:spacing w:val="0"/>
          <w:sz w:val="32"/>
          <w:szCs w:val="32"/>
          <w:lang w:val="en-US" w:eastAsia="zh-CN"/>
        </w:rPr>
        <w:t>完善</w:t>
      </w:r>
      <w:r>
        <w:rPr>
          <w:rFonts w:hint="eastAsia" w:ascii="仿宋_GB2312" w:hAnsi="仿宋_GB2312" w:eastAsia="仿宋_GB2312" w:cs="仿宋_GB2312"/>
          <w:caps w:val="0"/>
          <w:color w:val="000000"/>
          <w:spacing w:val="0"/>
          <w:sz w:val="32"/>
          <w:szCs w:val="32"/>
        </w:rPr>
        <w:t>政府信息依申请公开事项台账，严格</w:t>
      </w:r>
      <w:r>
        <w:rPr>
          <w:rFonts w:hint="eastAsia" w:ascii="仿宋_GB2312" w:hAnsi="仿宋_GB2312" w:eastAsia="仿宋_GB2312" w:cs="仿宋_GB2312"/>
          <w:caps w:val="0"/>
          <w:color w:val="000000"/>
          <w:spacing w:val="0"/>
          <w:sz w:val="32"/>
          <w:szCs w:val="32"/>
          <w:lang w:val="en-US" w:eastAsia="zh-CN"/>
        </w:rPr>
        <w:t>受理、办理、</w:t>
      </w:r>
      <w:r>
        <w:rPr>
          <w:rFonts w:hint="eastAsia" w:ascii="仿宋_GB2312" w:hAnsi="仿宋_GB2312" w:eastAsia="仿宋_GB2312" w:cs="仿宋_GB2312"/>
          <w:caps w:val="0"/>
          <w:color w:val="000000"/>
          <w:spacing w:val="0"/>
          <w:sz w:val="32"/>
          <w:szCs w:val="32"/>
        </w:rPr>
        <w:t>答复等环节，</w:t>
      </w:r>
      <w:r>
        <w:rPr>
          <w:rFonts w:hint="eastAsia" w:ascii="仿宋_GB2312" w:hAnsi="仿宋_GB2312" w:eastAsia="仿宋_GB2312" w:cs="仿宋_GB2312"/>
          <w:caps w:val="0"/>
          <w:color w:val="000000"/>
          <w:spacing w:val="0"/>
          <w:sz w:val="32"/>
          <w:szCs w:val="32"/>
          <w:lang w:val="en-US" w:eastAsia="zh-CN"/>
        </w:rPr>
        <w:t>规范答复表述、法规适用，做到按时、合法、合规答复；二是强化各学校对政务公开认识，明确分管负责人和专职工作人员，做到分工明确，责任到人，采取多种方式加强对学校政务公开工作的指导，明确文件格式、上传、公开时限等要求，做到全区学校政务公开工作规范有序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仿宋_GB2312" w:eastAsia="仿宋_GB2312" w:cs="仿宋_GB2312"/>
          <w:caps w:val="0"/>
          <w:color w:val="000000"/>
          <w:spacing w:val="0"/>
          <w:sz w:val="32"/>
          <w:szCs w:val="32"/>
        </w:rPr>
      </w:pPr>
      <w:r>
        <w:rPr>
          <w:rFonts w:hint="eastAsia" w:ascii="黑体" w:hAnsi="黑体" w:eastAsia="黑体" w:cs="黑体"/>
          <w:caps w:val="0"/>
          <w:color w:val="000000"/>
          <w:spacing w:val="0"/>
          <w:sz w:val="32"/>
          <w:szCs w:val="32"/>
        </w:rPr>
        <w:t>六、其他需要报告的事项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仿宋_GB2312" w:eastAsia="仿宋_GB2312" w:cs="仿宋_GB2312"/>
          <w:caps w:val="0"/>
          <w:color w:val="000000"/>
          <w:spacing w:val="0"/>
          <w:sz w:val="32"/>
          <w:szCs w:val="32"/>
        </w:rPr>
      </w:pPr>
      <w:r>
        <w:rPr>
          <w:rFonts w:hint="eastAsia" w:ascii="楷体_GB2312" w:hAnsi="楷体_GB2312" w:eastAsia="楷体_GB2312" w:cs="楷体_GB2312"/>
          <w:caps w:val="0"/>
          <w:color w:val="000000"/>
          <w:spacing w:val="0"/>
          <w:sz w:val="32"/>
          <w:szCs w:val="32"/>
        </w:rPr>
        <w:t>（一）收取信息处理费情况。</w:t>
      </w:r>
      <w:r>
        <w:rPr>
          <w:rFonts w:hint="eastAsia" w:ascii="仿宋_GB2312" w:hAnsi="仿宋_GB2312" w:eastAsia="仿宋_GB2312" w:cs="仿宋_GB2312"/>
          <w:caps w:val="0"/>
          <w:color w:val="000000"/>
          <w:spacing w:val="0"/>
          <w:sz w:val="32"/>
          <w:szCs w:val="32"/>
          <w:lang w:val="en-US" w:eastAsia="zh-CN"/>
        </w:rPr>
        <w:t>2022</w:t>
      </w:r>
      <w:r>
        <w:rPr>
          <w:rFonts w:hint="eastAsia" w:ascii="仿宋_GB2312" w:hAnsi="仿宋_GB2312" w:eastAsia="仿宋_GB2312" w:cs="仿宋_GB2312"/>
          <w:caps w:val="0"/>
          <w:color w:val="000000"/>
          <w:spacing w:val="0"/>
          <w:sz w:val="32"/>
          <w:szCs w:val="32"/>
        </w:rPr>
        <w:t>年，无收取信息处理费情况。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rPr>
          <w:rFonts w:hint="eastAsia" w:ascii="仿宋_GB2312" w:hAnsi="仿宋_GB2312" w:eastAsia="仿宋_GB2312" w:cs="仿宋_GB2312"/>
          <w:caps w:val="0"/>
          <w:color w:val="000000"/>
          <w:spacing w:val="0"/>
          <w:sz w:val="32"/>
          <w:szCs w:val="32"/>
        </w:rPr>
      </w:pPr>
      <w:r>
        <w:rPr>
          <w:rFonts w:hint="eastAsia" w:ascii="楷体_GB2312" w:hAnsi="楷体_GB2312" w:eastAsia="楷体_GB2312" w:cs="楷体_GB2312"/>
          <w:caps w:val="0"/>
          <w:color w:val="000000"/>
          <w:spacing w:val="0"/>
          <w:sz w:val="32"/>
          <w:szCs w:val="32"/>
        </w:rPr>
        <w:t>（二）人大代表建议和政协提案办理结果情况。</w:t>
      </w:r>
      <w:r>
        <w:rPr>
          <w:rFonts w:hint="eastAsia" w:ascii="仿宋_GB2312" w:hAnsi="仿宋_GB2312" w:eastAsia="仿宋_GB2312" w:cs="仿宋_GB2312"/>
          <w:caps w:val="0"/>
          <w:color w:val="000000"/>
          <w:spacing w:val="0"/>
          <w:sz w:val="32"/>
          <w:szCs w:val="32"/>
          <w:lang w:val="en-US" w:eastAsia="zh-CN"/>
        </w:rPr>
        <w:t>2022年，</w:t>
      </w:r>
      <w:r>
        <w:rPr>
          <w:rFonts w:hint="eastAsia" w:ascii="仿宋_GB2312" w:hAnsi="仿宋_GB2312" w:eastAsia="仿宋_GB2312" w:cs="仿宋_GB2312"/>
          <w:caps w:val="0"/>
          <w:color w:val="000000"/>
          <w:spacing w:val="0"/>
          <w:sz w:val="32"/>
          <w:szCs w:val="32"/>
        </w:rPr>
        <w:t>办理区人大代表建议和区政协委员提案42件，其中区人大代表建议20件，区政协委员提案22件。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20" w:lineRule="atLeast"/>
        <w:ind w:left="0" w:right="0" w:firstLine="640"/>
        <w:jc w:val="both"/>
      </w:pPr>
      <w:r>
        <w:rPr>
          <w:rFonts w:hint="eastAsia" w:ascii="楷体_GB2312" w:eastAsia="楷体_GB2312" w:cs="楷体_GB2312"/>
          <w:caps w:val="0"/>
          <w:color w:val="000000"/>
          <w:spacing w:val="0"/>
          <w:sz w:val="32"/>
          <w:szCs w:val="32"/>
        </w:rPr>
        <w:t>（三）</w:t>
      </w:r>
      <w:r>
        <w:rPr>
          <w:rFonts w:ascii="楷体" w:hAnsi="楷体" w:eastAsia="楷体" w:cs="楷体"/>
          <w:i w:val="0"/>
          <w:iCs w:val="0"/>
          <w:caps w:val="0"/>
          <w:color w:val="000000"/>
          <w:spacing w:val="0"/>
          <w:sz w:val="32"/>
          <w:szCs w:val="32"/>
          <w:shd w:val="clear" w:fill="FFFFFF"/>
        </w:rPr>
        <w:t>年度工作要点落实情况。</w:t>
      </w:r>
      <w:r>
        <w:rPr>
          <w:rFonts w:hint="eastAsia" w:ascii="仿宋" w:hAnsi="仿宋" w:eastAsia="仿宋" w:cs="仿宋"/>
          <w:i w:val="0"/>
          <w:iCs w:val="0"/>
          <w:caps w:val="0"/>
          <w:color w:val="000000"/>
          <w:spacing w:val="0"/>
          <w:sz w:val="32"/>
          <w:szCs w:val="32"/>
          <w:shd w:val="clear" w:fill="FFFFFF"/>
          <w:lang w:val="en-US" w:eastAsia="zh-CN"/>
        </w:rPr>
        <w:t>做好教育领域公共企事业单位信息公开工作，组织全区40所学校录入教育信息，有效保障群众对教育的知情权、参与权和监督权，努力打造群众满意的教育。</w:t>
      </w:r>
      <w:r>
        <w:rPr>
          <w:rFonts w:hint="eastAsia" w:ascii="仿宋" w:hAnsi="仿宋" w:eastAsia="仿宋" w:cs="仿宋"/>
          <w:i w:val="0"/>
          <w:iCs w:val="0"/>
          <w:caps w:val="0"/>
          <w:color w:val="000000"/>
          <w:spacing w:val="0"/>
          <w:sz w:val="32"/>
          <w:szCs w:val="32"/>
          <w:shd w:val="clear" w:fill="FFFFFF"/>
        </w:rPr>
        <w:t>做好</w:t>
      </w:r>
      <w:r>
        <w:rPr>
          <w:rFonts w:hint="eastAsia" w:ascii="仿宋" w:hAnsi="仿宋" w:eastAsia="仿宋" w:cs="仿宋"/>
          <w:i w:val="0"/>
          <w:iCs w:val="0"/>
          <w:caps w:val="0"/>
          <w:color w:val="000000"/>
          <w:spacing w:val="0"/>
          <w:sz w:val="32"/>
          <w:szCs w:val="32"/>
          <w:shd w:val="clear" w:fill="FFFFFF"/>
          <w:lang w:val="en-US" w:eastAsia="zh-CN"/>
        </w:rPr>
        <w:t>政策</w:t>
      </w:r>
      <w:r>
        <w:rPr>
          <w:rFonts w:hint="eastAsia" w:ascii="仿宋" w:hAnsi="仿宋" w:eastAsia="仿宋" w:cs="仿宋"/>
          <w:i w:val="0"/>
          <w:iCs w:val="0"/>
          <w:caps w:val="0"/>
          <w:color w:val="000000"/>
          <w:spacing w:val="0"/>
          <w:sz w:val="32"/>
          <w:szCs w:val="32"/>
          <w:shd w:val="clear" w:fill="FFFFFF"/>
        </w:rPr>
        <w:t>文件解读</w:t>
      </w:r>
      <w:r>
        <w:rPr>
          <w:rFonts w:hint="eastAsia" w:ascii="仿宋" w:hAnsi="仿宋" w:eastAsia="仿宋" w:cs="仿宋"/>
          <w:i w:val="0"/>
          <w:iCs w:val="0"/>
          <w:caps w:val="0"/>
          <w:color w:val="000000"/>
          <w:spacing w:val="0"/>
          <w:sz w:val="32"/>
          <w:szCs w:val="32"/>
          <w:shd w:val="clear" w:fill="FFFFFF"/>
          <w:lang w:val="en-US" w:eastAsia="zh-CN"/>
        </w:rPr>
        <w:t>公开；</w:t>
      </w:r>
      <w:r>
        <w:rPr>
          <w:rFonts w:hint="eastAsia" w:ascii="仿宋" w:hAnsi="仿宋" w:eastAsia="仿宋" w:cs="仿宋"/>
          <w:i w:val="0"/>
          <w:iCs w:val="0"/>
          <w:caps w:val="0"/>
          <w:color w:val="000000"/>
          <w:spacing w:val="0"/>
          <w:sz w:val="32"/>
          <w:szCs w:val="32"/>
          <w:shd w:val="clear" w:fill="FFFFFF"/>
        </w:rPr>
        <w:t>做好本部门财政预算、决算公开。</w:t>
      </w:r>
    </w:p>
    <w:p>
      <w:pPr>
        <w:spacing w:line="560" w:lineRule="exact"/>
        <w:ind w:firstLine="640" w:firstLineChars="200"/>
        <w:rPr>
          <w:rFonts w:hint="eastAsia" w:ascii="仿宋" w:hAnsi="仿宋" w:eastAsia="仿宋" w:cs="仿宋"/>
          <w:color w:val="00000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sdt>
                <w:sdtPr>
                  <w:id w:val="683659"/>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2"/>
                </w:pP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MxMGU3N2RiOTI0MTUwY2Q4OGRiODliMDhjMTIwNTYifQ=="/>
  </w:docVars>
  <w:rsids>
    <w:rsidRoot w:val="00E04258"/>
    <w:rsid w:val="00001C9E"/>
    <w:rsid w:val="0000594A"/>
    <w:rsid w:val="00013109"/>
    <w:rsid w:val="00023AAC"/>
    <w:rsid w:val="00024810"/>
    <w:rsid w:val="00030DFB"/>
    <w:rsid w:val="000414C6"/>
    <w:rsid w:val="00042CA0"/>
    <w:rsid w:val="00043D31"/>
    <w:rsid w:val="00046423"/>
    <w:rsid w:val="00052AD6"/>
    <w:rsid w:val="00055473"/>
    <w:rsid w:val="00055E11"/>
    <w:rsid w:val="00056B8B"/>
    <w:rsid w:val="00063220"/>
    <w:rsid w:val="0006628C"/>
    <w:rsid w:val="000706E1"/>
    <w:rsid w:val="00085190"/>
    <w:rsid w:val="00087FF0"/>
    <w:rsid w:val="00092898"/>
    <w:rsid w:val="00094E08"/>
    <w:rsid w:val="00097052"/>
    <w:rsid w:val="000A5D01"/>
    <w:rsid w:val="000B1602"/>
    <w:rsid w:val="000C34FF"/>
    <w:rsid w:val="000C7BD7"/>
    <w:rsid w:val="000D4473"/>
    <w:rsid w:val="000E1057"/>
    <w:rsid w:val="000F497F"/>
    <w:rsid w:val="000F7617"/>
    <w:rsid w:val="00105B3E"/>
    <w:rsid w:val="001108EA"/>
    <w:rsid w:val="001240A4"/>
    <w:rsid w:val="00125C8A"/>
    <w:rsid w:val="00127976"/>
    <w:rsid w:val="00131A3C"/>
    <w:rsid w:val="0013565C"/>
    <w:rsid w:val="00140E3F"/>
    <w:rsid w:val="00143DC5"/>
    <w:rsid w:val="00144ABF"/>
    <w:rsid w:val="00144B5F"/>
    <w:rsid w:val="00170D63"/>
    <w:rsid w:val="00172B20"/>
    <w:rsid w:val="0017420B"/>
    <w:rsid w:val="0017427C"/>
    <w:rsid w:val="00176618"/>
    <w:rsid w:val="00176B17"/>
    <w:rsid w:val="00187315"/>
    <w:rsid w:val="001900C0"/>
    <w:rsid w:val="00196FD6"/>
    <w:rsid w:val="001A21B5"/>
    <w:rsid w:val="001B26AB"/>
    <w:rsid w:val="001B4410"/>
    <w:rsid w:val="001C1DC2"/>
    <w:rsid w:val="001C4706"/>
    <w:rsid w:val="001C6DFA"/>
    <w:rsid w:val="001C6F55"/>
    <w:rsid w:val="001D41A6"/>
    <w:rsid w:val="001E0CBD"/>
    <w:rsid w:val="001E5A28"/>
    <w:rsid w:val="001E72C7"/>
    <w:rsid w:val="002019C6"/>
    <w:rsid w:val="00204AA5"/>
    <w:rsid w:val="00205590"/>
    <w:rsid w:val="002157C1"/>
    <w:rsid w:val="00216261"/>
    <w:rsid w:val="00216DF6"/>
    <w:rsid w:val="0021763D"/>
    <w:rsid w:val="00224377"/>
    <w:rsid w:val="002264B1"/>
    <w:rsid w:val="0023206E"/>
    <w:rsid w:val="00234868"/>
    <w:rsid w:val="0023602C"/>
    <w:rsid w:val="00240EAF"/>
    <w:rsid w:val="00246626"/>
    <w:rsid w:val="002572C0"/>
    <w:rsid w:val="002604BD"/>
    <w:rsid w:val="00270C0E"/>
    <w:rsid w:val="0027691A"/>
    <w:rsid w:val="00276B13"/>
    <w:rsid w:val="00276E5B"/>
    <w:rsid w:val="002774CD"/>
    <w:rsid w:val="0028009A"/>
    <w:rsid w:val="002A188B"/>
    <w:rsid w:val="002A1F5C"/>
    <w:rsid w:val="002B463A"/>
    <w:rsid w:val="002B6F68"/>
    <w:rsid w:val="002D115E"/>
    <w:rsid w:val="002D6A99"/>
    <w:rsid w:val="002D70DF"/>
    <w:rsid w:val="002E594D"/>
    <w:rsid w:val="002E6EDF"/>
    <w:rsid w:val="0031332E"/>
    <w:rsid w:val="003135A4"/>
    <w:rsid w:val="003164F6"/>
    <w:rsid w:val="00316CE4"/>
    <w:rsid w:val="003257C1"/>
    <w:rsid w:val="003318E7"/>
    <w:rsid w:val="00332905"/>
    <w:rsid w:val="00334C65"/>
    <w:rsid w:val="00357E22"/>
    <w:rsid w:val="00357E4E"/>
    <w:rsid w:val="003638D5"/>
    <w:rsid w:val="00363B37"/>
    <w:rsid w:val="0038169B"/>
    <w:rsid w:val="00383519"/>
    <w:rsid w:val="003856CA"/>
    <w:rsid w:val="00390173"/>
    <w:rsid w:val="0039072E"/>
    <w:rsid w:val="00395676"/>
    <w:rsid w:val="00397E9C"/>
    <w:rsid w:val="003A4408"/>
    <w:rsid w:val="003A617F"/>
    <w:rsid w:val="003B4A71"/>
    <w:rsid w:val="003C0527"/>
    <w:rsid w:val="003C44C8"/>
    <w:rsid w:val="003C5789"/>
    <w:rsid w:val="003D6959"/>
    <w:rsid w:val="003D7EB2"/>
    <w:rsid w:val="003E1F92"/>
    <w:rsid w:val="003E6B2B"/>
    <w:rsid w:val="003F2DA8"/>
    <w:rsid w:val="003F38D1"/>
    <w:rsid w:val="003F538D"/>
    <w:rsid w:val="00405DB6"/>
    <w:rsid w:val="00414EEE"/>
    <w:rsid w:val="00420F86"/>
    <w:rsid w:val="00423431"/>
    <w:rsid w:val="00434746"/>
    <w:rsid w:val="00446210"/>
    <w:rsid w:val="00460593"/>
    <w:rsid w:val="0046437F"/>
    <w:rsid w:val="004713FB"/>
    <w:rsid w:val="00473626"/>
    <w:rsid w:val="00481ED7"/>
    <w:rsid w:val="00481FD3"/>
    <w:rsid w:val="004847BC"/>
    <w:rsid w:val="0048518B"/>
    <w:rsid w:val="004936CF"/>
    <w:rsid w:val="00495EBA"/>
    <w:rsid w:val="004A6081"/>
    <w:rsid w:val="004B1B2D"/>
    <w:rsid w:val="004B36CF"/>
    <w:rsid w:val="004B3DE8"/>
    <w:rsid w:val="004B53B3"/>
    <w:rsid w:val="004B7413"/>
    <w:rsid w:val="004D2882"/>
    <w:rsid w:val="004D7633"/>
    <w:rsid w:val="004D788E"/>
    <w:rsid w:val="004E5DF1"/>
    <w:rsid w:val="004F244D"/>
    <w:rsid w:val="004F2625"/>
    <w:rsid w:val="004F39DF"/>
    <w:rsid w:val="005026C8"/>
    <w:rsid w:val="00503B08"/>
    <w:rsid w:val="00504DE1"/>
    <w:rsid w:val="005162AB"/>
    <w:rsid w:val="00523B84"/>
    <w:rsid w:val="0052540C"/>
    <w:rsid w:val="00531036"/>
    <w:rsid w:val="00533338"/>
    <w:rsid w:val="0053359A"/>
    <w:rsid w:val="00540904"/>
    <w:rsid w:val="00543FE0"/>
    <w:rsid w:val="005637BC"/>
    <w:rsid w:val="00564F0C"/>
    <w:rsid w:val="00567AE3"/>
    <w:rsid w:val="0057319B"/>
    <w:rsid w:val="005771DE"/>
    <w:rsid w:val="00580B3B"/>
    <w:rsid w:val="005818BC"/>
    <w:rsid w:val="00582EFB"/>
    <w:rsid w:val="00584920"/>
    <w:rsid w:val="00586957"/>
    <w:rsid w:val="00593F9E"/>
    <w:rsid w:val="0059666D"/>
    <w:rsid w:val="005A3BFA"/>
    <w:rsid w:val="005C071E"/>
    <w:rsid w:val="005D4DA2"/>
    <w:rsid w:val="005D7981"/>
    <w:rsid w:val="005E2D72"/>
    <w:rsid w:val="005E5225"/>
    <w:rsid w:val="005E5EA6"/>
    <w:rsid w:val="005F07DB"/>
    <w:rsid w:val="005F410F"/>
    <w:rsid w:val="005F7CFA"/>
    <w:rsid w:val="006001B7"/>
    <w:rsid w:val="00604767"/>
    <w:rsid w:val="00607754"/>
    <w:rsid w:val="00607BD2"/>
    <w:rsid w:val="00614243"/>
    <w:rsid w:val="00615468"/>
    <w:rsid w:val="0062406E"/>
    <w:rsid w:val="00630352"/>
    <w:rsid w:val="00633AD3"/>
    <w:rsid w:val="00634DDC"/>
    <w:rsid w:val="006359EF"/>
    <w:rsid w:val="006364F7"/>
    <w:rsid w:val="00640DE1"/>
    <w:rsid w:val="006419CD"/>
    <w:rsid w:val="00641A49"/>
    <w:rsid w:val="00641B33"/>
    <w:rsid w:val="00651342"/>
    <w:rsid w:val="0065594E"/>
    <w:rsid w:val="00660AAE"/>
    <w:rsid w:val="006634C0"/>
    <w:rsid w:val="00675D05"/>
    <w:rsid w:val="00677652"/>
    <w:rsid w:val="006821DB"/>
    <w:rsid w:val="00687144"/>
    <w:rsid w:val="0069301A"/>
    <w:rsid w:val="00693534"/>
    <w:rsid w:val="00697E19"/>
    <w:rsid w:val="00697EE4"/>
    <w:rsid w:val="006A1171"/>
    <w:rsid w:val="006A5226"/>
    <w:rsid w:val="006A5288"/>
    <w:rsid w:val="006B72A8"/>
    <w:rsid w:val="006C2EA0"/>
    <w:rsid w:val="006C58BC"/>
    <w:rsid w:val="006C656F"/>
    <w:rsid w:val="006E0094"/>
    <w:rsid w:val="006E2256"/>
    <w:rsid w:val="006E2790"/>
    <w:rsid w:val="006E63B8"/>
    <w:rsid w:val="007011FB"/>
    <w:rsid w:val="007061A3"/>
    <w:rsid w:val="007129AD"/>
    <w:rsid w:val="00714451"/>
    <w:rsid w:val="00717EE3"/>
    <w:rsid w:val="007218A5"/>
    <w:rsid w:val="007234A6"/>
    <w:rsid w:val="00723B47"/>
    <w:rsid w:val="00723D67"/>
    <w:rsid w:val="00724A6A"/>
    <w:rsid w:val="00731CB1"/>
    <w:rsid w:val="00732D81"/>
    <w:rsid w:val="00733F31"/>
    <w:rsid w:val="00736923"/>
    <w:rsid w:val="00736C50"/>
    <w:rsid w:val="00741A40"/>
    <w:rsid w:val="00746739"/>
    <w:rsid w:val="00755418"/>
    <w:rsid w:val="007611C0"/>
    <w:rsid w:val="007720F2"/>
    <w:rsid w:val="00772EA0"/>
    <w:rsid w:val="007745BE"/>
    <w:rsid w:val="00781A3D"/>
    <w:rsid w:val="00791D32"/>
    <w:rsid w:val="007A02B5"/>
    <w:rsid w:val="007A39A8"/>
    <w:rsid w:val="007A3DB5"/>
    <w:rsid w:val="007A46E1"/>
    <w:rsid w:val="007A4F8C"/>
    <w:rsid w:val="007B346E"/>
    <w:rsid w:val="007B68D1"/>
    <w:rsid w:val="007C2141"/>
    <w:rsid w:val="007C53E0"/>
    <w:rsid w:val="007C5C81"/>
    <w:rsid w:val="007D0AF2"/>
    <w:rsid w:val="007D3AB6"/>
    <w:rsid w:val="007D4916"/>
    <w:rsid w:val="007D59C4"/>
    <w:rsid w:val="007D71FE"/>
    <w:rsid w:val="007E07E3"/>
    <w:rsid w:val="007E2505"/>
    <w:rsid w:val="007E55EA"/>
    <w:rsid w:val="007F22F8"/>
    <w:rsid w:val="007F43FC"/>
    <w:rsid w:val="00802361"/>
    <w:rsid w:val="00804E65"/>
    <w:rsid w:val="00805ABE"/>
    <w:rsid w:val="00813BC0"/>
    <w:rsid w:val="00820BB8"/>
    <w:rsid w:val="00830865"/>
    <w:rsid w:val="0083723A"/>
    <w:rsid w:val="00842C3D"/>
    <w:rsid w:val="00842E24"/>
    <w:rsid w:val="00852EEB"/>
    <w:rsid w:val="008556C2"/>
    <w:rsid w:val="00855B3A"/>
    <w:rsid w:val="00856193"/>
    <w:rsid w:val="008579AB"/>
    <w:rsid w:val="008608A2"/>
    <w:rsid w:val="008613A8"/>
    <w:rsid w:val="00873E0F"/>
    <w:rsid w:val="00875291"/>
    <w:rsid w:val="00881404"/>
    <w:rsid w:val="008878D1"/>
    <w:rsid w:val="00892DC4"/>
    <w:rsid w:val="008977A9"/>
    <w:rsid w:val="008A0545"/>
    <w:rsid w:val="008A171F"/>
    <w:rsid w:val="008A3BC0"/>
    <w:rsid w:val="008A66F8"/>
    <w:rsid w:val="008B2FD1"/>
    <w:rsid w:val="008B5D19"/>
    <w:rsid w:val="008B6607"/>
    <w:rsid w:val="008C2625"/>
    <w:rsid w:val="008C37A3"/>
    <w:rsid w:val="008D2DBD"/>
    <w:rsid w:val="008D6B7B"/>
    <w:rsid w:val="008F142B"/>
    <w:rsid w:val="008F188C"/>
    <w:rsid w:val="008F51FF"/>
    <w:rsid w:val="00904289"/>
    <w:rsid w:val="00906B9B"/>
    <w:rsid w:val="00912FB0"/>
    <w:rsid w:val="00913531"/>
    <w:rsid w:val="0092086C"/>
    <w:rsid w:val="00920A8C"/>
    <w:rsid w:val="0092182B"/>
    <w:rsid w:val="00930D46"/>
    <w:rsid w:val="00935E77"/>
    <w:rsid w:val="00940C11"/>
    <w:rsid w:val="009515FD"/>
    <w:rsid w:val="0096093C"/>
    <w:rsid w:val="00962CD0"/>
    <w:rsid w:val="00966C94"/>
    <w:rsid w:val="0097065C"/>
    <w:rsid w:val="00975A80"/>
    <w:rsid w:val="0098598B"/>
    <w:rsid w:val="00993C26"/>
    <w:rsid w:val="009B0107"/>
    <w:rsid w:val="009B7848"/>
    <w:rsid w:val="009C460B"/>
    <w:rsid w:val="009D452F"/>
    <w:rsid w:val="009E68DF"/>
    <w:rsid w:val="009F4FD2"/>
    <w:rsid w:val="00A03AC4"/>
    <w:rsid w:val="00A03E53"/>
    <w:rsid w:val="00A06E87"/>
    <w:rsid w:val="00A1342F"/>
    <w:rsid w:val="00A143E6"/>
    <w:rsid w:val="00A22178"/>
    <w:rsid w:val="00A25860"/>
    <w:rsid w:val="00A353B4"/>
    <w:rsid w:val="00A35AE0"/>
    <w:rsid w:val="00A36C3E"/>
    <w:rsid w:val="00A47C35"/>
    <w:rsid w:val="00A55405"/>
    <w:rsid w:val="00A6302E"/>
    <w:rsid w:val="00A65792"/>
    <w:rsid w:val="00A7163D"/>
    <w:rsid w:val="00A75587"/>
    <w:rsid w:val="00A759E5"/>
    <w:rsid w:val="00A82619"/>
    <w:rsid w:val="00A86F1B"/>
    <w:rsid w:val="00A919F7"/>
    <w:rsid w:val="00A93492"/>
    <w:rsid w:val="00A944C5"/>
    <w:rsid w:val="00AA3C78"/>
    <w:rsid w:val="00AA7AEC"/>
    <w:rsid w:val="00AA7B4B"/>
    <w:rsid w:val="00AB031E"/>
    <w:rsid w:val="00AB09E9"/>
    <w:rsid w:val="00AC222F"/>
    <w:rsid w:val="00AD1A81"/>
    <w:rsid w:val="00AD1C82"/>
    <w:rsid w:val="00AD1D6B"/>
    <w:rsid w:val="00AD49B5"/>
    <w:rsid w:val="00AD76B6"/>
    <w:rsid w:val="00AE6C57"/>
    <w:rsid w:val="00AF2313"/>
    <w:rsid w:val="00AF50F4"/>
    <w:rsid w:val="00B0337D"/>
    <w:rsid w:val="00B1769A"/>
    <w:rsid w:val="00B23183"/>
    <w:rsid w:val="00B245B9"/>
    <w:rsid w:val="00B33075"/>
    <w:rsid w:val="00B414D1"/>
    <w:rsid w:val="00B459E2"/>
    <w:rsid w:val="00B53141"/>
    <w:rsid w:val="00B559FA"/>
    <w:rsid w:val="00B811E5"/>
    <w:rsid w:val="00B8236F"/>
    <w:rsid w:val="00B835A5"/>
    <w:rsid w:val="00B91004"/>
    <w:rsid w:val="00BA000D"/>
    <w:rsid w:val="00BA45ED"/>
    <w:rsid w:val="00BA486D"/>
    <w:rsid w:val="00BC0376"/>
    <w:rsid w:val="00BC0DDF"/>
    <w:rsid w:val="00BC34AC"/>
    <w:rsid w:val="00BD1CAC"/>
    <w:rsid w:val="00BD4F6B"/>
    <w:rsid w:val="00BD789A"/>
    <w:rsid w:val="00BE03F8"/>
    <w:rsid w:val="00BE26F0"/>
    <w:rsid w:val="00BE3FA5"/>
    <w:rsid w:val="00BE4FAC"/>
    <w:rsid w:val="00BF3636"/>
    <w:rsid w:val="00BF42A9"/>
    <w:rsid w:val="00C04961"/>
    <w:rsid w:val="00C055A1"/>
    <w:rsid w:val="00C11BC3"/>
    <w:rsid w:val="00C11D2B"/>
    <w:rsid w:val="00C17388"/>
    <w:rsid w:val="00C206ED"/>
    <w:rsid w:val="00C217D5"/>
    <w:rsid w:val="00C234EF"/>
    <w:rsid w:val="00C307E5"/>
    <w:rsid w:val="00C34DAD"/>
    <w:rsid w:val="00C61A42"/>
    <w:rsid w:val="00C63784"/>
    <w:rsid w:val="00C665B4"/>
    <w:rsid w:val="00C71268"/>
    <w:rsid w:val="00C75B28"/>
    <w:rsid w:val="00C762CA"/>
    <w:rsid w:val="00C83C1A"/>
    <w:rsid w:val="00C90488"/>
    <w:rsid w:val="00C90FBF"/>
    <w:rsid w:val="00C957F6"/>
    <w:rsid w:val="00CA24FE"/>
    <w:rsid w:val="00CA4E64"/>
    <w:rsid w:val="00CB7A70"/>
    <w:rsid w:val="00CC09E5"/>
    <w:rsid w:val="00CC51DA"/>
    <w:rsid w:val="00CD6DCF"/>
    <w:rsid w:val="00CE33B0"/>
    <w:rsid w:val="00CE7BFF"/>
    <w:rsid w:val="00CF2399"/>
    <w:rsid w:val="00CF3DD6"/>
    <w:rsid w:val="00CF509B"/>
    <w:rsid w:val="00CF7DF1"/>
    <w:rsid w:val="00D06B46"/>
    <w:rsid w:val="00D16C7E"/>
    <w:rsid w:val="00D17DF3"/>
    <w:rsid w:val="00D201BD"/>
    <w:rsid w:val="00D21479"/>
    <w:rsid w:val="00D2358D"/>
    <w:rsid w:val="00D25962"/>
    <w:rsid w:val="00D33F3A"/>
    <w:rsid w:val="00D4484C"/>
    <w:rsid w:val="00D53AC2"/>
    <w:rsid w:val="00D54B78"/>
    <w:rsid w:val="00D7609C"/>
    <w:rsid w:val="00D7673F"/>
    <w:rsid w:val="00D81D7A"/>
    <w:rsid w:val="00D96A77"/>
    <w:rsid w:val="00DA076B"/>
    <w:rsid w:val="00DA1BF9"/>
    <w:rsid w:val="00DA443C"/>
    <w:rsid w:val="00DA4831"/>
    <w:rsid w:val="00DA546B"/>
    <w:rsid w:val="00DA5691"/>
    <w:rsid w:val="00DC2AFC"/>
    <w:rsid w:val="00DE0CC2"/>
    <w:rsid w:val="00DE7D42"/>
    <w:rsid w:val="00DF0951"/>
    <w:rsid w:val="00DF3C2A"/>
    <w:rsid w:val="00DF59E8"/>
    <w:rsid w:val="00DF60AB"/>
    <w:rsid w:val="00DF7204"/>
    <w:rsid w:val="00E01F0F"/>
    <w:rsid w:val="00E03F11"/>
    <w:rsid w:val="00E04258"/>
    <w:rsid w:val="00E07D70"/>
    <w:rsid w:val="00E377B4"/>
    <w:rsid w:val="00E42C13"/>
    <w:rsid w:val="00E42DE7"/>
    <w:rsid w:val="00E447EA"/>
    <w:rsid w:val="00E54057"/>
    <w:rsid w:val="00E56D7E"/>
    <w:rsid w:val="00E62601"/>
    <w:rsid w:val="00E651F4"/>
    <w:rsid w:val="00E712E4"/>
    <w:rsid w:val="00E7522E"/>
    <w:rsid w:val="00E756BB"/>
    <w:rsid w:val="00E82A61"/>
    <w:rsid w:val="00E86BFA"/>
    <w:rsid w:val="00E9136E"/>
    <w:rsid w:val="00E92569"/>
    <w:rsid w:val="00E9689B"/>
    <w:rsid w:val="00EA0FDD"/>
    <w:rsid w:val="00EA3993"/>
    <w:rsid w:val="00EC48E7"/>
    <w:rsid w:val="00EC7F71"/>
    <w:rsid w:val="00ED1769"/>
    <w:rsid w:val="00ED2198"/>
    <w:rsid w:val="00ED2963"/>
    <w:rsid w:val="00ED4E74"/>
    <w:rsid w:val="00EE3275"/>
    <w:rsid w:val="00EF7239"/>
    <w:rsid w:val="00F00F32"/>
    <w:rsid w:val="00F0322D"/>
    <w:rsid w:val="00F0408E"/>
    <w:rsid w:val="00F22E87"/>
    <w:rsid w:val="00F40BD5"/>
    <w:rsid w:val="00F45E29"/>
    <w:rsid w:val="00F503E6"/>
    <w:rsid w:val="00F60260"/>
    <w:rsid w:val="00F651BF"/>
    <w:rsid w:val="00F6601D"/>
    <w:rsid w:val="00F71A9E"/>
    <w:rsid w:val="00F739B0"/>
    <w:rsid w:val="00F9603E"/>
    <w:rsid w:val="00FA2749"/>
    <w:rsid w:val="00FA3378"/>
    <w:rsid w:val="00FA4017"/>
    <w:rsid w:val="00FA67ED"/>
    <w:rsid w:val="00FB0E1B"/>
    <w:rsid w:val="00FB16F3"/>
    <w:rsid w:val="00FB45EE"/>
    <w:rsid w:val="00FB5467"/>
    <w:rsid w:val="00FB7C20"/>
    <w:rsid w:val="00FC66CE"/>
    <w:rsid w:val="00FD0EE2"/>
    <w:rsid w:val="00FD598D"/>
    <w:rsid w:val="00FD7A66"/>
    <w:rsid w:val="00FE1203"/>
    <w:rsid w:val="00FE1DCB"/>
    <w:rsid w:val="00FE2E48"/>
    <w:rsid w:val="00FE3091"/>
    <w:rsid w:val="01E274B5"/>
    <w:rsid w:val="026C2FE2"/>
    <w:rsid w:val="02AD1871"/>
    <w:rsid w:val="02F96864"/>
    <w:rsid w:val="0337117D"/>
    <w:rsid w:val="034A70C0"/>
    <w:rsid w:val="03CA0201"/>
    <w:rsid w:val="046C77CE"/>
    <w:rsid w:val="048E759A"/>
    <w:rsid w:val="04AC5B58"/>
    <w:rsid w:val="04DE21B6"/>
    <w:rsid w:val="05485881"/>
    <w:rsid w:val="05BC599B"/>
    <w:rsid w:val="064C13A1"/>
    <w:rsid w:val="0721638A"/>
    <w:rsid w:val="07387741"/>
    <w:rsid w:val="07724E37"/>
    <w:rsid w:val="07CA6A21"/>
    <w:rsid w:val="086D1A8A"/>
    <w:rsid w:val="0870581B"/>
    <w:rsid w:val="0874698D"/>
    <w:rsid w:val="08A70B11"/>
    <w:rsid w:val="09151F1E"/>
    <w:rsid w:val="097B05EC"/>
    <w:rsid w:val="09BE4364"/>
    <w:rsid w:val="0B0E4E77"/>
    <w:rsid w:val="0B393F8E"/>
    <w:rsid w:val="0B41524D"/>
    <w:rsid w:val="0B7F3FC7"/>
    <w:rsid w:val="0B8E7D66"/>
    <w:rsid w:val="0BB265D1"/>
    <w:rsid w:val="0BC8771C"/>
    <w:rsid w:val="0C142961"/>
    <w:rsid w:val="0CB33F28"/>
    <w:rsid w:val="0D4E1EA3"/>
    <w:rsid w:val="0D6C40D7"/>
    <w:rsid w:val="0D9C5E1D"/>
    <w:rsid w:val="0DF2282E"/>
    <w:rsid w:val="0F1862C4"/>
    <w:rsid w:val="0F7E1545"/>
    <w:rsid w:val="0F977B31"/>
    <w:rsid w:val="0FB12275"/>
    <w:rsid w:val="0FC81379"/>
    <w:rsid w:val="100920B1"/>
    <w:rsid w:val="1074577C"/>
    <w:rsid w:val="10DB03D6"/>
    <w:rsid w:val="111807FE"/>
    <w:rsid w:val="115F467E"/>
    <w:rsid w:val="119D51A7"/>
    <w:rsid w:val="124F46F3"/>
    <w:rsid w:val="12E36BE9"/>
    <w:rsid w:val="12EA61CA"/>
    <w:rsid w:val="13CE1647"/>
    <w:rsid w:val="144813FA"/>
    <w:rsid w:val="14A81E98"/>
    <w:rsid w:val="15001CD4"/>
    <w:rsid w:val="153028E3"/>
    <w:rsid w:val="159266A5"/>
    <w:rsid w:val="15CE5D44"/>
    <w:rsid w:val="166B7621"/>
    <w:rsid w:val="16CB6312"/>
    <w:rsid w:val="175718CF"/>
    <w:rsid w:val="1763654B"/>
    <w:rsid w:val="17EE22B8"/>
    <w:rsid w:val="18297794"/>
    <w:rsid w:val="185514AE"/>
    <w:rsid w:val="189D5A8C"/>
    <w:rsid w:val="19706CFD"/>
    <w:rsid w:val="1990114D"/>
    <w:rsid w:val="19E75211"/>
    <w:rsid w:val="1ADA2FC8"/>
    <w:rsid w:val="1B3A34BE"/>
    <w:rsid w:val="1BFA27C7"/>
    <w:rsid w:val="1C215A59"/>
    <w:rsid w:val="1C5F19D6"/>
    <w:rsid w:val="1C8C02F2"/>
    <w:rsid w:val="1CB6711D"/>
    <w:rsid w:val="1CC17F9B"/>
    <w:rsid w:val="1CC57360"/>
    <w:rsid w:val="1CF3211F"/>
    <w:rsid w:val="1D050BBE"/>
    <w:rsid w:val="1D091942"/>
    <w:rsid w:val="1D141D14"/>
    <w:rsid w:val="1D5F1562"/>
    <w:rsid w:val="1D9B1E76"/>
    <w:rsid w:val="1EA21315"/>
    <w:rsid w:val="1EE346C7"/>
    <w:rsid w:val="1EE61F3B"/>
    <w:rsid w:val="1F70485A"/>
    <w:rsid w:val="1F751511"/>
    <w:rsid w:val="1FA31BDA"/>
    <w:rsid w:val="1FDB75C6"/>
    <w:rsid w:val="20685324"/>
    <w:rsid w:val="219E6AFD"/>
    <w:rsid w:val="22745AB0"/>
    <w:rsid w:val="22A5210D"/>
    <w:rsid w:val="22E471B1"/>
    <w:rsid w:val="231828DF"/>
    <w:rsid w:val="2355768F"/>
    <w:rsid w:val="236500D9"/>
    <w:rsid w:val="23871813"/>
    <w:rsid w:val="23897339"/>
    <w:rsid w:val="23ED1676"/>
    <w:rsid w:val="24392B0D"/>
    <w:rsid w:val="248F6BD1"/>
    <w:rsid w:val="25D6438C"/>
    <w:rsid w:val="25FF7D86"/>
    <w:rsid w:val="2606737E"/>
    <w:rsid w:val="265579A6"/>
    <w:rsid w:val="267F7D48"/>
    <w:rsid w:val="277D71B5"/>
    <w:rsid w:val="2835183D"/>
    <w:rsid w:val="28C130D1"/>
    <w:rsid w:val="28E3573D"/>
    <w:rsid w:val="290336EA"/>
    <w:rsid w:val="29B532F9"/>
    <w:rsid w:val="2A13795C"/>
    <w:rsid w:val="2A39664F"/>
    <w:rsid w:val="2AB7478C"/>
    <w:rsid w:val="2B656623"/>
    <w:rsid w:val="2BE62F7E"/>
    <w:rsid w:val="2C210A56"/>
    <w:rsid w:val="2CA20869"/>
    <w:rsid w:val="2CD0422B"/>
    <w:rsid w:val="2D033AAD"/>
    <w:rsid w:val="2D347A35"/>
    <w:rsid w:val="2D67693D"/>
    <w:rsid w:val="2DA76D39"/>
    <w:rsid w:val="2E3D31FA"/>
    <w:rsid w:val="2E671B3F"/>
    <w:rsid w:val="2E724916"/>
    <w:rsid w:val="2EED69CE"/>
    <w:rsid w:val="2F0536A8"/>
    <w:rsid w:val="2F44677C"/>
    <w:rsid w:val="2F971ADA"/>
    <w:rsid w:val="302F1268"/>
    <w:rsid w:val="306A33BB"/>
    <w:rsid w:val="309F63EE"/>
    <w:rsid w:val="30B023A9"/>
    <w:rsid w:val="30C419B0"/>
    <w:rsid w:val="310D15A9"/>
    <w:rsid w:val="31132938"/>
    <w:rsid w:val="313F0724"/>
    <w:rsid w:val="319C292D"/>
    <w:rsid w:val="31E340B8"/>
    <w:rsid w:val="3213501E"/>
    <w:rsid w:val="32E620B2"/>
    <w:rsid w:val="332C1A8F"/>
    <w:rsid w:val="3361798A"/>
    <w:rsid w:val="344277BC"/>
    <w:rsid w:val="35727C2D"/>
    <w:rsid w:val="359D0A22"/>
    <w:rsid w:val="35C67F79"/>
    <w:rsid w:val="35EC4782"/>
    <w:rsid w:val="368C4D1E"/>
    <w:rsid w:val="3733163E"/>
    <w:rsid w:val="37BA1D5F"/>
    <w:rsid w:val="37FA1102"/>
    <w:rsid w:val="384C2197"/>
    <w:rsid w:val="38724612"/>
    <w:rsid w:val="38743CBC"/>
    <w:rsid w:val="38B76B7F"/>
    <w:rsid w:val="38E057F5"/>
    <w:rsid w:val="390433BE"/>
    <w:rsid w:val="39047736"/>
    <w:rsid w:val="393D0552"/>
    <w:rsid w:val="3953395C"/>
    <w:rsid w:val="39861EF9"/>
    <w:rsid w:val="39D47B84"/>
    <w:rsid w:val="3AAA009C"/>
    <w:rsid w:val="3BA66882"/>
    <w:rsid w:val="3BC1546A"/>
    <w:rsid w:val="3BF375EE"/>
    <w:rsid w:val="3C2E0626"/>
    <w:rsid w:val="3CEA0EC5"/>
    <w:rsid w:val="3D9D3B42"/>
    <w:rsid w:val="3DAC5CA6"/>
    <w:rsid w:val="3DF338D5"/>
    <w:rsid w:val="3DFF04CC"/>
    <w:rsid w:val="3E35213F"/>
    <w:rsid w:val="3E4267DB"/>
    <w:rsid w:val="3FBE7F13"/>
    <w:rsid w:val="3FDF34B0"/>
    <w:rsid w:val="41466412"/>
    <w:rsid w:val="41630D72"/>
    <w:rsid w:val="41894C7C"/>
    <w:rsid w:val="41A82C28"/>
    <w:rsid w:val="41A93BEF"/>
    <w:rsid w:val="41BB5AD4"/>
    <w:rsid w:val="41FD4695"/>
    <w:rsid w:val="42644DA1"/>
    <w:rsid w:val="42890CAC"/>
    <w:rsid w:val="42D27F5D"/>
    <w:rsid w:val="42E45EE2"/>
    <w:rsid w:val="433A3D54"/>
    <w:rsid w:val="43882D11"/>
    <w:rsid w:val="43BE6733"/>
    <w:rsid w:val="44156C31"/>
    <w:rsid w:val="44550E45"/>
    <w:rsid w:val="44931001"/>
    <w:rsid w:val="44A915DD"/>
    <w:rsid w:val="44BF2DEB"/>
    <w:rsid w:val="452D1715"/>
    <w:rsid w:val="45BF6144"/>
    <w:rsid w:val="45C85647"/>
    <w:rsid w:val="464909CF"/>
    <w:rsid w:val="464A0752"/>
    <w:rsid w:val="465670F7"/>
    <w:rsid w:val="46D30747"/>
    <w:rsid w:val="47397193"/>
    <w:rsid w:val="476A10AC"/>
    <w:rsid w:val="476B0980"/>
    <w:rsid w:val="47760556"/>
    <w:rsid w:val="47D06A35"/>
    <w:rsid w:val="481E3C44"/>
    <w:rsid w:val="48671147"/>
    <w:rsid w:val="487B6CD6"/>
    <w:rsid w:val="4977185E"/>
    <w:rsid w:val="49D02E2F"/>
    <w:rsid w:val="4A5751EC"/>
    <w:rsid w:val="4A8E50B1"/>
    <w:rsid w:val="4A965D14"/>
    <w:rsid w:val="4BDD7B3E"/>
    <w:rsid w:val="4BED22AB"/>
    <w:rsid w:val="4CAC5CC3"/>
    <w:rsid w:val="4D067CE2"/>
    <w:rsid w:val="4DE93206"/>
    <w:rsid w:val="4DEF40B9"/>
    <w:rsid w:val="4E776D2C"/>
    <w:rsid w:val="4EB861D8"/>
    <w:rsid w:val="4ECA2430"/>
    <w:rsid w:val="4F021BCA"/>
    <w:rsid w:val="4F1E1B73"/>
    <w:rsid w:val="4F280623"/>
    <w:rsid w:val="4F4915A7"/>
    <w:rsid w:val="4F895E47"/>
    <w:rsid w:val="4FC7696F"/>
    <w:rsid w:val="51CB0999"/>
    <w:rsid w:val="51FB0B52"/>
    <w:rsid w:val="526E05B1"/>
    <w:rsid w:val="52A777AC"/>
    <w:rsid w:val="52C13B4A"/>
    <w:rsid w:val="52CA29FF"/>
    <w:rsid w:val="52CF270B"/>
    <w:rsid w:val="53F02939"/>
    <w:rsid w:val="543C792C"/>
    <w:rsid w:val="54A83213"/>
    <w:rsid w:val="54C87412"/>
    <w:rsid w:val="559B1514"/>
    <w:rsid w:val="55BB0D24"/>
    <w:rsid w:val="563B3C13"/>
    <w:rsid w:val="567C4958"/>
    <w:rsid w:val="56FE35BF"/>
    <w:rsid w:val="57AF6667"/>
    <w:rsid w:val="57C2639A"/>
    <w:rsid w:val="58FD56C7"/>
    <w:rsid w:val="58FD660E"/>
    <w:rsid w:val="5952374E"/>
    <w:rsid w:val="5A3D7F5A"/>
    <w:rsid w:val="5A407A4A"/>
    <w:rsid w:val="5AD84127"/>
    <w:rsid w:val="5B6643A7"/>
    <w:rsid w:val="5C2A09B2"/>
    <w:rsid w:val="5CAC13C7"/>
    <w:rsid w:val="5CB5471F"/>
    <w:rsid w:val="5CF54B1C"/>
    <w:rsid w:val="5CFB5EAA"/>
    <w:rsid w:val="5D123920"/>
    <w:rsid w:val="5D213B63"/>
    <w:rsid w:val="5D9C768D"/>
    <w:rsid w:val="5DAD189A"/>
    <w:rsid w:val="5E60690D"/>
    <w:rsid w:val="5F6D12E1"/>
    <w:rsid w:val="60885CA7"/>
    <w:rsid w:val="60B62814"/>
    <w:rsid w:val="60D33E59"/>
    <w:rsid w:val="61A94127"/>
    <w:rsid w:val="61ED6CF8"/>
    <w:rsid w:val="62015D11"/>
    <w:rsid w:val="62DD40C1"/>
    <w:rsid w:val="62F13FD7"/>
    <w:rsid w:val="631B2E02"/>
    <w:rsid w:val="63480BA8"/>
    <w:rsid w:val="63864720"/>
    <w:rsid w:val="63A66B70"/>
    <w:rsid w:val="644E7869"/>
    <w:rsid w:val="64590086"/>
    <w:rsid w:val="649E1F3D"/>
    <w:rsid w:val="650E252F"/>
    <w:rsid w:val="651A5A67"/>
    <w:rsid w:val="652561BA"/>
    <w:rsid w:val="65270184"/>
    <w:rsid w:val="654220C4"/>
    <w:rsid w:val="660E6C4E"/>
    <w:rsid w:val="664D0CD3"/>
    <w:rsid w:val="667B0788"/>
    <w:rsid w:val="66BC2B4E"/>
    <w:rsid w:val="6708240F"/>
    <w:rsid w:val="672C3830"/>
    <w:rsid w:val="677733AE"/>
    <w:rsid w:val="67D53EC8"/>
    <w:rsid w:val="6841155D"/>
    <w:rsid w:val="69961435"/>
    <w:rsid w:val="69E71C90"/>
    <w:rsid w:val="69EE74C3"/>
    <w:rsid w:val="6A042842"/>
    <w:rsid w:val="6A070584"/>
    <w:rsid w:val="6A1862EE"/>
    <w:rsid w:val="6A6652AB"/>
    <w:rsid w:val="6AEA7C8A"/>
    <w:rsid w:val="6B2807B2"/>
    <w:rsid w:val="6B282560"/>
    <w:rsid w:val="6B511AB7"/>
    <w:rsid w:val="6B5C220A"/>
    <w:rsid w:val="6B625A72"/>
    <w:rsid w:val="6B6E08BB"/>
    <w:rsid w:val="6C206C75"/>
    <w:rsid w:val="6C8062F6"/>
    <w:rsid w:val="6C8E6E97"/>
    <w:rsid w:val="6ED1156E"/>
    <w:rsid w:val="6EDF497A"/>
    <w:rsid w:val="6F8A1A3C"/>
    <w:rsid w:val="6FD70AEF"/>
    <w:rsid w:val="70182BA3"/>
    <w:rsid w:val="703419A7"/>
    <w:rsid w:val="7036127C"/>
    <w:rsid w:val="70A73F27"/>
    <w:rsid w:val="71066EA0"/>
    <w:rsid w:val="711E6F19"/>
    <w:rsid w:val="71754026"/>
    <w:rsid w:val="71A566B9"/>
    <w:rsid w:val="723E2669"/>
    <w:rsid w:val="72895C7F"/>
    <w:rsid w:val="72B97911"/>
    <w:rsid w:val="73C82B32"/>
    <w:rsid w:val="75197A63"/>
    <w:rsid w:val="75325260"/>
    <w:rsid w:val="759F65DA"/>
    <w:rsid w:val="760503EB"/>
    <w:rsid w:val="766034F6"/>
    <w:rsid w:val="76A566E0"/>
    <w:rsid w:val="77387FCF"/>
    <w:rsid w:val="776B3F01"/>
    <w:rsid w:val="77AD62C7"/>
    <w:rsid w:val="77EF0669"/>
    <w:rsid w:val="78294FA7"/>
    <w:rsid w:val="78574485"/>
    <w:rsid w:val="78C935D5"/>
    <w:rsid w:val="78CC3768"/>
    <w:rsid w:val="78D45AD6"/>
    <w:rsid w:val="78D6184E"/>
    <w:rsid w:val="797F5A41"/>
    <w:rsid w:val="799314ED"/>
    <w:rsid w:val="79D55FA9"/>
    <w:rsid w:val="7A326F58"/>
    <w:rsid w:val="7A552C46"/>
    <w:rsid w:val="7AEF309B"/>
    <w:rsid w:val="7B0528B9"/>
    <w:rsid w:val="7B492B18"/>
    <w:rsid w:val="7BA21EBB"/>
    <w:rsid w:val="7BA9718D"/>
    <w:rsid w:val="7BF81ADB"/>
    <w:rsid w:val="7CC61BD9"/>
    <w:rsid w:val="7D033C70"/>
    <w:rsid w:val="7D140B97"/>
    <w:rsid w:val="7DFA62FA"/>
    <w:rsid w:val="7E786F03"/>
    <w:rsid w:val="7EFC5D86"/>
    <w:rsid w:val="7F4B27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eastAsia="宋体" w:cs="宋体"/>
      <w:kern w:val="0"/>
      <w:sz w:val="24"/>
    </w:rPr>
  </w:style>
  <w:style w:type="table" w:styleId="7">
    <w:name w:val="Table Grid"/>
    <w:basedOn w:val="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rPr>
  </w:style>
  <w:style w:type="character" w:customStyle="1" w:styleId="10">
    <w:name w:val="页眉 字符"/>
    <w:basedOn w:val="8"/>
    <w:link w:val="4"/>
    <w:qFormat/>
    <w:uiPriority w:val="99"/>
    <w:rPr>
      <w:kern w:val="2"/>
      <w:sz w:val="18"/>
      <w:szCs w:val="18"/>
    </w:rPr>
  </w:style>
  <w:style w:type="character" w:customStyle="1" w:styleId="11">
    <w:name w:val="页脚 字符"/>
    <w:basedOn w:val="8"/>
    <w:link w:val="3"/>
    <w:qFormat/>
    <w:uiPriority w:val="99"/>
    <w:rPr>
      <w:kern w:val="2"/>
      <w:sz w:val="18"/>
      <w:szCs w:val="18"/>
    </w:rPr>
  </w:style>
  <w:style w:type="paragraph" w:customStyle="1" w:styleId="12">
    <w:name w:val="正文1"/>
    <w:qFormat/>
    <w:uiPriority w:val="0"/>
    <w:pPr>
      <w:widowControl w:val="0"/>
      <w:jc w:val="both"/>
    </w:pPr>
    <w:rPr>
      <w:rFonts w:hint="eastAsia" w:ascii="Times New Roman" w:hAnsi="Times New Roman" w:eastAsia="宋体" w:cs="Times New Roman"/>
      <w:kern w:val="2"/>
      <w:sz w:val="21"/>
      <w:szCs w:val="22"/>
      <w:lang w:val="en-US" w:eastAsia="zh-CN" w:bidi="ar-SA"/>
    </w:rPr>
  </w:style>
  <w:style w:type="table" w:customStyle="1" w:styleId="13">
    <w:name w:val="Table Normal"/>
    <w:autoRedefine/>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7</Pages>
  <Words>2793</Words>
  <Characters>2907</Characters>
  <Lines>10</Lines>
  <Paragraphs>2</Paragraphs>
  <TotalTime>1</TotalTime>
  <ScaleCrop>false</ScaleCrop>
  <LinksUpToDate>false</LinksUpToDate>
  <CharactersWithSpaces>2927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√邂逅</cp:lastModifiedBy>
  <dcterms:modified xsi:type="dcterms:W3CDTF">2024-01-15T03:32:39Z</dcterms:modified>
  <cp:revision>1868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A0DBB17D645F4EF7945E35554A7D0093</vt:lpwstr>
  </property>
</Properties>
</file>