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教育和体育局</w:t>
      </w:r>
      <w:r>
        <w:rPr>
          <w:rFonts w:hint="eastAsia" w:ascii="方正小标宋简体" w:hAnsi="黑体" w:eastAsia="方正小标宋简体"/>
          <w:sz w:val="44"/>
          <w:szCs w:val="44"/>
        </w:rPr>
        <w:t>20</w:t>
      </w:r>
      <w:r>
        <w:rPr>
          <w:rFonts w:ascii="方正小标宋简体" w:hAnsi="黑体" w:eastAsia="方正小标宋简体"/>
          <w:sz w:val="44"/>
          <w:szCs w:val="44"/>
        </w:rPr>
        <w:t>21</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pPr>
      <w:r>
        <w:rPr>
          <w:rFonts w:ascii="黑体" w:hAnsi="宋体" w:eastAsia="黑体" w:cs="黑体"/>
          <w:sz w:val="32"/>
          <w:szCs w:val="32"/>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20" w:lineRule="atLeast"/>
        <w:ind w:left="0" w:right="0" w:firstLine="640"/>
        <w:jc w:val="both"/>
      </w:pPr>
      <w:r>
        <w:rPr>
          <w:rFonts w:ascii="仿宋" w:hAnsi="仿宋" w:eastAsia="仿宋" w:cs="仿宋"/>
          <w:caps w:val="0"/>
          <w:color w:val="000000"/>
          <w:spacing w:val="0"/>
          <w:sz w:val="32"/>
          <w:szCs w:val="32"/>
          <w:bdr w:val="none" w:color="auto" w:sz="0" w:space="0"/>
          <w:shd w:val="clear" w:fill="FFFFFF"/>
        </w:rPr>
        <w:t>202</w:t>
      </w:r>
      <w:r>
        <w:rPr>
          <w:rFonts w:hint="eastAsia" w:ascii="仿宋" w:hAnsi="仿宋" w:eastAsia="仿宋" w:cs="仿宋"/>
          <w:caps w:val="0"/>
          <w:color w:val="000000"/>
          <w:spacing w:val="0"/>
          <w:sz w:val="32"/>
          <w:szCs w:val="32"/>
          <w:bdr w:val="none" w:color="auto" w:sz="0" w:space="0"/>
          <w:shd w:val="clear" w:fill="FFFFFF"/>
        </w:rPr>
        <w:t>1年，临淄区教体局高度重视政务信息公开工作，严格按照《条例》和《办法》文件精神，不断丰富完善政府信息公开内容，保障政府信息公开工作依法、及时、有序地开展，为社会提供方便、快捷的教育信息公开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20" w:lineRule="atLeast"/>
        <w:ind w:left="0" w:right="0" w:firstLine="640"/>
      </w:pPr>
      <w:r>
        <w:rPr>
          <w:rFonts w:ascii="楷体_GB2312" w:eastAsia="楷体_GB2312" w:cs="楷体_GB2312"/>
          <w:caps w:val="0"/>
          <w:color w:val="000000"/>
          <w:spacing w:val="0"/>
          <w:sz w:val="32"/>
          <w:szCs w:val="32"/>
          <w:bdr w:val="none" w:color="auto" w:sz="0" w:space="0"/>
          <w:shd w:val="clear" w:fill="FFFFFF"/>
        </w:rPr>
        <w:t>1.</w:t>
      </w:r>
      <w:r>
        <w:rPr>
          <w:rFonts w:hint="eastAsia" w:ascii="楷体_GB2312" w:eastAsia="楷体_GB2312" w:cs="楷体_GB2312"/>
          <w:caps w:val="0"/>
          <w:color w:val="000000"/>
          <w:spacing w:val="0"/>
          <w:sz w:val="32"/>
          <w:szCs w:val="32"/>
          <w:bdr w:val="none" w:color="auto" w:sz="0" w:space="0"/>
          <w:shd w:val="clear" w:fill="FFFFFF"/>
        </w:rPr>
        <w:t>主动公开情况。</w:t>
      </w:r>
      <w:r>
        <w:rPr>
          <w:rFonts w:hint="eastAsia" w:ascii="仿宋" w:hAnsi="仿宋" w:eastAsia="仿宋" w:cs="仿宋"/>
          <w:caps w:val="0"/>
          <w:color w:val="000000"/>
          <w:spacing w:val="0"/>
          <w:sz w:val="32"/>
          <w:szCs w:val="32"/>
          <w:bdr w:val="none" w:color="auto" w:sz="0" w:space="0"/>
          <w:shd w:val="clear" w:fill="FFFFFF"/>
        </w:rPr>
        <w:t>我局通过政府信息公开网站和临淄教育公共服务平台分别公开全区和各学校教育信息，确保信息依法依规公开。我局对2021年以来形成的政府信息进行了及时更新和发布，本年度共主动公开政府信息1435条。其中，政府网站公开信息215条，包括：机构职能3条、法规公文8条、部门会议42条、政策解读1条、规划计划1条、重大项目建设2条、民生公益12条、教育信息19条、公共文化体育4条、重要部署执行公开2条、财政信息8条、管理和公共服务信息11条、人事信息31条、业务工作60条、政务公开保障机制5条、主动公开基本目录1条、基层政务公开标准化目录1条、其他3条；政务微博公开信息1220条；微信公众号公开信息1220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center"/>
        <w:textAlignment w:val="auto"/>
        <w:rPr>
          <w:rFonts w:hint="default" w:ascii="仿宋" w:hAnsi="仿宋" w:eastAsia="仿宋" w:cs="仿宋"/>
          <w:i w:val="0"/>
          <w:iCs w:val="0"/>
          <w:caps w:val="0"/>
          <w:color w:val="000000"/>
          <w:spacing w:val="0"/>
          <w:sz w:val="32"/>
          <w:szCs w:val="32"/>
          <w:shd w:val="clear" w:fill="FFFFFF"/>
          <w:lang w:val="en-US"/>
        </w:rPr>
      </w:pPr>
      <w:r>
        <w:rPr>
          <w:rFonts w:hint="default" w:ascii="仿宋" w:hAnsi="仿宋" w:eastAsia="仿宋" w:cs="仿宋"/>
          <w:i w:val="0"/>
          <w:iCs w:val="0"/>
          <w:caps w:val="0"/>
          <w:color w:val="000000"/>
          <w:spacing w:val="0"/>
          <w:sz w:val="32"/>
          <w:szCs w:val="32"/>
          <w:shd w:val="clear" w:fill="FFFFFF"/>
          <w:lang w:val="en-US"/>
        </w:rPr>
        <w:drawing>
          <wp:anchor distT="0" distB="0" distL="114300" distR="114300" simplePos="0" relativeHeight="251659264" behindDoc="0" locked="0" layoutInCell="1" allowOverlap="1">
            <wp:simplePos x="0" y="0"/>
            <wp:positionH relativeFrom="column">
              <wp:posOffset>168275</wp:posOffset>
            </wp:positionH>
            <wp:positionV relativeFrom="paragraph">
              <wp:posOffset>45720</wp:posOffset>
            </wp:positionV>
            <wp:extent cx="5521960" cy="4171315"/>
            <wp:effectExtent l="0" t="0" r="2540" b="635"/>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521960" cy="4171315"/>
                    </a:xfrm>
                    <a:prstGeom prst="rect">
                      <a:avLst/>
                    </a:prstGeom>
                  </pic:spPr>
                </pic:pic>
              </a:graphicData>
            </a:graphic>
          </wp:anchor>
        </w:drawing>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仿宋" w:hAnsi="仿宋" w:eastAsia="仿宋" w:cs="仿宋"/>
          <w:i w:val="0"/>
          <w:iCs w:val="0"/>
          <w:caps w:val="0"/>
          <w:color w:val="000000"/>
          <w:spacing w:val="0"/>
          <w:sz w:val="32"/>
          <w:szCs w:val="32"/>
          <w:shd w:val="clear" w:fill="FFFFFF"/>
          <w:lang w:val="en-US"/>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仿宋" w:hAnsi="仿宋" w:eastAsia="仿宋" w:cs="仿宋"/>
          <w:i w:val="0"/>
          <w:iCs w:val="0"/>
          <w:caps w:val="0"/>
          <w:color w:val="000000"/>
          <w:spacing w:val="0"/>
          <w:sz w:val="32"/>
          <w:szCs w:val="32"/>
          <w:shd w:val="clear" w:fill="FFFFFF"/>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r>
        <w:rPr>
          <w:rFonts w:hint="default" w:ascii="楷体_GB2312" w:eastAsia="楷体_GB2312" w:cs="楷体_GB2312"/>
          <w:caps w:val="0"/>
          <w:color w:val="000000"/>
          <w:spacing w:val="0"/>
          <w:sz w:val="32"/>
          <w:szCs w:val="32"/>
          <w:lang w:val="en-US"/>
        </w:rPr>
        <w:drawing>
          <wp:anchor distT="0" distB="0" distL="114300" distR="114300" simplePos="0" relativeHeight="251660288" behindDoc="1" locked="0" layoutInCell="1" allowOverlap="1">
            <wp:simplePos x="0" y="0"/>
            <wp:positionH relativeFrom="column">
              <wp:posOffset>244475</wp:posOffset>
            </wp:positionH>
            <wp:positionV relativeFrom="paragraph">
              <wp:posOffset>21590</wp:posOffset>
            </wp:positionV>
            <wp:extent cx="4735830" cy="3212465"/>
            <wp:effectExtent l="0" t="0" r="7620" b="6985"/>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4735830" cy="3212465"/>
                    </a:xfrm>
                    <a:prstGeom prst="rect">
                      <a:avLst/>
                    </a:prstGeom>
                  </pic:spPr>
                </pic:pic>
              </a:graphicData>
            </a:graphic>
          </wp:anchor>
        </w:drawing>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r>
        <w:rPr>
          <w:rFonts w:hint="default" w:ascii="楷体_GB2312" w:eastAsia="楷体_GB2312" w:cs="楷体_GB2312"/>
          <w:caps w:val="0"/>
          <w:color w:val="000000"/>
          <w:spacing w:val="0"/>
          <w:sz w:val="32"/>
          <w:szCs w:val="32"/>
          <w:lang w:val="en-US"/>
        </w:rPr>
        <w:drawing>
          <wp:anchor distT="0" distB="0" distL="114300" distR="114300" simplePos="0" relativeHeight="251660288" behindDoc="1" locked="0" layoutInCell="1" allowOverlap="1">
            <wp:simplePos x="0" y="0"/>
            <wp:positionH relativeFrom="column">
              <wp:posOffset>2724150</wp:posOffset>
            </wp:positionH>
            <wp:positionV relativeFrom="paragraph">
              <wp:posOffset>108585</wp:posOffset>
            </wp:positionV>
            <wp:extent cx="2566670" cy="4693285"/>
            <wp:effectExtent l="0" t="0" r="5080" b="12065"/>
            <wp:wrapNone/>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2566670" cy="4693285"/>
                    </a:xfrm>
                    <a:prstGeom prst="rect">
                      <a:avLst/>
                    </a:prstGeom>
                  </pic:spPr>
                </pic:pic>
              </a:graphicData>
            </a:graphic>
          </wp:anchor>
        </w:drawing>
      </w:r>
      <w:r>
        <w:rPr>
          <w:rFonts w:hint="default" w:ascii="楷体_GB2312" w:eastAsia="楷体_GB2312" w:cs="楷体_GB2312"/>
          <w:caps w:val="0"/>
          <w:color w:val="000000"/>
          <w:spacing w:val="0"/>
          <w:sz w:val="32"/>
          <w:szCs w:val="32"/>
          <w:lang w:val="en-US"/>
        </w:rPr>
        <w:drawing>
          <wp:anchor distT="0" distB="0" distL="114300" distR="114300" simplePos="0" relativeHeight="251660288" behindDoc="1" locked="0" layoutInCell="1" allowOverlap="1">
            <wp:simplePos x="0" y="0"/>
            <wp:positionH relativeFrom="column">
              <wp:posOffset>-50800</wp:posOffset>
            </wp:positionH>
            <wp:positionV relativeFrom="paragraph">
              <wp:posOffset>377825</wp:posOffset>
            </wp:positionV>
            <wp:extent cx="2687955" cy="4495800"/>
            <wp:effectExtent l="0" t="0" r="17145" b="0"/>
            <wp:wrapNone/>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2687955" cy="4495800"/>
                    </a:xfrm>
                    <a:prstGeom prst="rect">
                      <a:avLst/>
                    </a:prstGeom>
                  </pic:spPr>
                </pic:pic>
              </a:graphicData>
            </a:graphic>
          </wp:anchor>
        </w:drawing>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楷体_GB2312" w:eastAsia="楷体_GB2312" w:cs="楷体_GB2312"/>
          <w:caps w:val="0"/>
          <w:color w:val="000000"/>
          <w:spacing w:val="0"/>
          <w:sz w:val="32"/>
          <w:szCs w:val="32"/>
          <w:lang w:val="en-US"/>
        </w:rPr>
      </w:pPr>
      <w:r>
        <w:rPr>
          <w:rFonts w:hint="default" w:ascii="楷体_GB2312" w:eastAsia="楷体_GB2312" w:cs="楷体_GB2312"/>
          <w:caps w:val="0"/>
          <w:color w:val="000000"/>
          <w:spacing w:val="0"/>
          <w:sz w:val="32"/>
          <w:szCs w:val="32"/>
          <w:lang w:val="en-US"/>
        </w:rPr>
        <w:t xml:space="preserve">                        </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default" w:ascii="楷体_GB2312" w:eastAsia="楷体_GB2312" w:cs="楷体_GB2312"/>
          <w:caps w:val="0"/>
          <w:color w:val="000000"/>
          <w:spacing w:val="0"/>
          <w:sz w:val="32"/>
          <w:szCs w:val="32"/>
          <w:lang w:val="en-US"/>
        </w:rPr>
      </w:pP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textAlignment w:val="auto"/>
        <w:rPr>
          <w:rFonts w:hint="eastAsia" w:ascii="仿宋" w:hAnsi="仿宋" w:eastAsia="仿宋" w:cs="仿宋"/>
          <w:caps w:val="0"/>
          <w:color w:val="000000"/>
          <w:spacing w:val="0"/>
          <w:sz w:val="32"/>
          <w:szCs w:val="32"/>
          <w:shd w:val="clear" w:fill="FFFFFF"/>
        </w:rPr>
      </w:pPr>
      <w:r>
        <w:rPr>
          <w:rFonts w:hint="eastAsia" w:ascii="楷体_GB2312" w:hAnsi="宋体" w:eastAsia="楷体_GB2312" w:cs="楷体_GB2312"/>
          <w:caps w:val="0"/>
          <w:color w:val="000000"/>
          <w:spacing w:val="0"/>
          <w:sz w:val="32"/>
          <w:szCs w:val="32"/>
        </w:rPr>
        <w:t>依申请公开工作情况。</w:t>
      </w:r>
      <w:r>
        <w:rPr>
          <w:rFonts w:ascii="仿宋" w:hAnsi="仿宋" w:eastAsia="仿宋" w:cs="仿宋"/>
          <w:caps w:val="0"/>
          <w:color w:val="000000"/>
          <w:spacing w:val="0"/>
          <w:sz w:val="32"/>
          <w:szCs w:val="32"/>
        </w:rPr>
        <w:t>2021年</w:t>
      </w:r>
      <w:r>
        <w:rPr>
          <w:rFonts w:hint="eastAsia" w:ascii="仿宋" w:hAnsi="仿宋" w:eastAsia="仿宋" w:cs="仿宋"/>
          <w:caps w:val="0"/>
          <w:color w:val="000000"/>
          <w:spacing w:val="0"/>
          <w:sz w:val="32"/>
          <w:szCs w:val="32"/>
          <w:shd w:val="clear" w:fill="FFFFFF"/>
        </w:rPr>
        <w:t>我局通过政府平台收到自然人关于本单位政府信息公开申请2件且已办结，办结率100%。</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 w:hAnsi="仿宋" w:eastAsia="仿宋" w:cs="仿宋"/>
          <w:caps w:val="0"/>
          <w:color w:val="000000"/>
          <w:spacing w:val="0"/>
          <w:sz w:val="32"/>
          <w:szCs w:val="32"/>
          <w:shd w:val="clear" w:fill="FFFFFF"/>
        </w:rPr>
      </w:pPr>
      <w:r>
        <w:rPr>
          <w:rFonts w:hint="default" w:ascii="仿宋" w:hAnsi="仿宋" w:eastAsia="仿宋" w:cs="仿宋"/>
          <w:caps w:val="0"/>
          <w:color w:val="000000"/>
          <w:spacing w:val="0"/>
          <w:sz w:val="32"/>
          <w:szCs w:val="32"/>
          <w:shd w:val="clear" w:fill="FFFFFF"/>
          <w:lang w:val="en-US"/>
        </w:rPr>
        <w:drawing>
          <wp:inline distT="0" distB="0" distL="114300" distR="114300">
            <wp:extent cx="5273675" cy="1590675"/>
            <wp:effectExtent l="0" t="0" r="3175" b="952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9"/>
                    <a:stretch>
                      <a:fillRect/>
                    </a:stretch>
                  </pic:blipFill>
                  <pic:spPr>
                    <a:xfrm>
                      <a:off x="0" y="0"/>
                      <a:ext cx="5273675" cy="159067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pPr>
      <w:r>
        <w:rPr>
          <w:rFonts w:ascii="楷体_GB2312" w:eastAsia="楷体_GB2312" w:cs="楷体_GB2312"/>
          <w:caps w:val="0"/>
          <w:color w:val="000000"/>
          <w:spacing w:val="0"/>
          <w:sz w:val="32"/>
          <w:szCs w:val="32"/>
          <w:bdr w:val="none" w:color="auto" w:sz="0" w:space="0"/>
        </w:rPr>
        <w:t>3.</w:t>
      </w:r>
      <w:r>
        <w:rPr>
          <w:rFonts w:hint="eastAsia" w:ascii="楷体_GB2312" w:eastAsia="楷体_GB2312" w:cs="楷体_GB2312"/>
          <w:caps w:val="0"/>
          <w:color w:val="000000"/>
          <w:spacing w:val="0"/>
          <w:sz w:val="32"/>
          <w:szCs w:val="32"/>
          <w:bdr w:val="none" w:color="auto" w:sz="0" w:space="0"/>
        </w:rPr>
        <w:t>政府信息管理情况。</w:t>
      </w:r>
      <w:r>
        <w:rPr>
          <w:rFonts w:ascii="仿宋" w:hAnsi="仿宋" w:eastAsia="仿宋" w:cs="仿宋"/>
          <w:caps w:val="0"/>
          <w:color w:val="000000"/>
          <w:spacing w:val="0"/>
          <w:sz w:val="32"/>
          <w:szCs w:val="32"/>
          <w:bdr w:val="none" w:color="auto" w:sz="0" w:space="0"/>
          <w:shd w:val="clear" w:fill="FFFFFF"/>
        </w:rPr>
        <w:t>局</w:t>
      </w:r>
      <w:r>
        <w:rPr>
          <w:rFonts w:hint="eastAsia" w:ascii="仿宋" w:hAnsi="仿宋" w:eastAsia="仿宋" w:cs="仿宋"/>
          <w:caps w:val="0"/>
          <w:color w:val="000000"/>
          <w:spacing w:val="0"/>
          <w:sz w:val="32"/>
          <w:szCs w:val="32"/>
          <w:bdr w:val="none" w:color="auto" w:sz="0" w:space="0"/>
          <w:shd w:val="clear" w:fill="FFFFFF"/>
        </w:rPr>
        <w:t>机关领导高度重视政务公开工作，多次开会强调政务公开工作的重要性，安排专人负责政务公开并</w:t>
      </w:r>
      <w:r>
        <w:rPr>
          <w:rFonts w:hint="eastAsia" w:ascii="仿宋" w:hAnsi="仿宋" w:eastAsia="仿宋" w:cs="仿宋"/>
          <w:caps w:val="0"/>
          <w:color w:val="000000"/>
          <w:spacing w:val="0"/>
          <w:sz w:val="32"/>
          <w:szCs w:val="32"/>
          <w:bdr w:val="none" w:color="auto" w:sz="0" w:space="0"/>
        </w:rPr>
        <w:t>严格执行政务公开保密审查制度</w:t>
      </w:r>
      <w:r>
        <w:rPr>
          <w:rFonts w:hint="eastAsia" w:ascii="仿宋" w:hAnsi="仿宋" w:eastAsia="仿宋" w:cs="仿宋"/>
          <w:caps w:val="0"/>
          <w:color w:val="000000"/>
          <w:spacing w:val="0"/>
          <w:sz w:val="32"/>
          <w:szCs w:val="32"/>
          <w:bdr w:val="none" w:color="auto" w:sz="0" w:space="0"/>
          <w:shd w:val="clear" w:fill="FFFFFF"/>
        </w:rPr>
        <w:t>。</w:t>
      </w:r>
      <w:r>
        <w:rPr>
          <w:rFonts w:hint="eastAsia" w:ascii="仿宋" w:hAnsi="仿宋" w:eastAsia="仿宋" w:cs="仿宋"/>
          <w:caps w:val="0"/>
          <w:color w:val="000000"/>
          <w:spacing w:val="0"/>
          <w:sz w:val="32"/>
          <w:szCs w:val="32"/>
          <w:bdr w:val="none" w:color="auto" w:sz="0" w:space="0"/>
        </w:rPr>
        <w:t>依据区政务公开办要求，我单位制定了《政务公开事项标准目录》、《主动公开基本目录》，严格按照目录要求进行标准化规范化公开。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rPr>
          <w:rFonts w:hint="eastAsia" w:ascii="仿宋" w:hAnsi="仿宋" w:eastAsia="仿宋" w:cs="仿宋"/>
          <w:i w:val="0"/>
          <w:iCs w:val="0"/>
          <w:caps w:val="0"/>
          <w:color w:val="000000"/>
          <w:spacing w:val="0"/>
          <w:sz w:val="32"/>
          <w:szCs w:val="32"/>
          <w:bdr w:val="none" w:color="auto" w:sz="0" w:space="0"/>
          <w:shd w:val="clear" w:fill="FFFFFF"/>
        </w:rPr>
      </w:pPr>
      <w:r>
        <w:rPr>
          <w:rFonts w:hint="eastAsia" w:ascii="楷体_GB2312" w:eastAsia="楷体_GB2312" w:cs="楷体_GB2312"/>
          <w:caps w:val="0"/>
          <w:color w:val="000000"/>
          <w:spacing w:val="0"/>
          <w:sz w:val="32"/>
          <w:szCs w:val="32"/>
          <w:bdr w:val="none" w:color="auto" w:sz="0" w:space="0"/>
        </w:rPr>
        <w:t>4.</w:t>
      </w:r>
      <w:r>
        <w:rPr>
          <w:rFonts w:ascii="楷体" w:hAnsi="楷体" w:eastAsia="楷体" w:cs="楷体"/>
          <w:i w:val="0"/>
          <w:iCs w:val="0"/>
          <w:caps w:val="0"/>
          <w:color w:val="000000"/>
          <w:spacing w:val="0"/>
          <w:sz w:val="32"/>
          <w:szCs w:val="32"/>
          <w:bdr w:val="none" w:color="auto" w:sz="0" w:space="0"/>
          <w:shd w:val="clear" w:fill="FFFFFF"/>
        </w:rPr>
        <w:t>政府信息公开平台建设情况</w:t>
      </w:r>
      <w:r>
        <w:rPr>
          <w:rFonts w:hint="eastAsia" w:ascii="楷体_GB2312" w:eastAsia="楷体_GB2312" w:cs="楷体_GB2312"/>
          <w:caps w:val="0"/>
          <w:color w:val="000000"/>
          <w:spacing w:val="0"/>
          <w:sz w:val="32"/>
          <w:szCs w:val="32"/>
          <w:bdr w:val="none" w:color="auto" w:sz="0" w:space="0"/>
        </w:rPr>
        <w:t>。</w:t>
      </w:r>
      <w:r>
        <w:rPr>
          <w:rFonts w:ascii="仿宋" w:hAnsi="仿宋" w:eastAsia="仿宋" w:cs="仿宋"/>
          <w:i w:val="0"/>
          <w:iCs w:val="0"/>
          <w:caps w:val="0"/>
          <w:color w:val="000000"/>
          <w:spacing w:val="0"/>
          <w:sz w:val="32"/>
          <w:szCs w:val="32"/>
          <w:bdr w:val="none" w:color="auto" w:sz="0" w:space="0"/>
          <w:shd w:val="clear" w:fill="FFFFFF"/>
        </w:rPr>
        <w:t>根</w:t>
      </w:r>
      <w:r>
        <w:rPr>
          <w:rFonts w:hint="eastAsia" w:ascii="仿宋" w:hAnsi="仿宋" w:eastAsia="仿宋" w:cs="仿宋"/>
          <w:i w:val="0"/>
          <w:iCs w:val="0"/>
          <w:caps w:val="0"/>
          <w:color w:val="000000"/>
          <w:spacing w:val="0"/>
          <w:sz w:val="32"/>
          <w:szCs w:val="32"/>
          <w:bdr w:val="none" w:color="auto" w:sz="0" w:space="0"/>
          <w:shd w:val="clear" w:fill="FFFFFF"/>
        </w:rPr>
        <w:t>据主动公开目录全面优化政府网站栏目设置，定期维护部门会议、业务工作等实时信息。进一步整合“临淄教育”微信公众号，坚持政府网站和政务新媒体同步发布，优势互联，进一步提高政府信息公开的渠道和知悉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rPr>
          <w:rFonts w:hint="default" w:ascii="仿宋" w:hAnsi="仿宋" w:eastAsia="仿宋" w:cs="仿宋"/>
          <w:i w:val="0"/>
          <w:iCs w:val="0"/>
          <w:caps w:val="0"/>
          <w:color w:val="000000"/>
          <w:spacing w:val="0"/>
          <w:sz w:val="32"/>
          <w:szCs w:val="32"/>
          <w:bdr w:val="none" w:color="auto" w:sz="0" w:space="0"/>
          <w:shd w:val="clear" w:fill="FFFFFF"/>
          <w:lang w:val="en-US"/>
        </w:rPr>
      </w:pPr>
      <w:r>
        <w:rPr>
          <w:rFonts w:hint="default" w:ascii="仿宋" w:hAnsi="仿宋" w:eastAsia="仿宋" w:cs="仿宋"/>
          <w:i w:val="0"/>
          <w:iCs w:val="0"/>
          <w:caps w:val="0"/>
          <w:color w:val="000000"/>
          <w:spacing w:val="0"/>
          <w:sz w:val="32"/>
          <w:szCs w:val="32"/>
          <w:bdr w:val="none" w:color="auto" w:sz="0" w:space="0"/>
          <w:shd w:val="clear" w:fill="FFFFFF"/>
          <w:lang w:val="en-US"/>
        </w:rPr>
        <w:drawing>
          <wp:anchor distT="0" distB="0" distL="114300" distR="114300" simplePos="0" relativeHeight="251660288" behindDoc="0" locked="0" layoutInCell="1" allowOverlap="1">
            <wp:simplePos x="0" y="0"/>
            <wp:positionH relativeFrom="column">
              <wp:posOffset>568325</wp:posOffset>
            </wp:positionH>
            <wp:positionV relativeFrom="paragraph">
              <wp:posOffset>58420</wp:posOffset>
            </wp:positionV>
            <wp:extent cx="4054475" cy="2011045"/>
            <wp:effectExtent l="0" t="0" r="3175" b="8255"/>
            <wp:wrapNone/>
            <wp:docPr id="6" name="图片 6" descr="66fd2252199562ce76fd15e1f2788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6fd2252199562ce76fd15e1f27883c"/>
                    <pic:cNvPicPr>
                      <a:picLocks noChangeAspect="1"/>
                    </pic:cNvPicPr>
                  </pic:nvPicPr>
                  <pic:blipFill>
                    <a:blip r:embed="rId10"/>
                    <a:stretch>
                      <a:fillRect/>
                    </a:stretch>
                  </pic:blipFill>
                  <pic:spPr>
                    <a:xfrm>
                      <a:off x="0" y="0"/>
                      <a:ext cx="4054475" cy="2011045"/>
                    </a:xfrm>
                    <a:prstGeom prst="rect">
                      <a:avLst/>
                    </a:prstGeom>
                  </pic:spPr>
                </pic:pic>
              </a:graphicData>
            </a:graphic>
          </wp:anchor>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rPr>
          <w:rFonts w:hint="eastAsia" w:ascii="仿宋" w:hAnsi="仿宋" w:eastAsia="仿宋" w:cs="仿宋"/>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rPr>
          <w:rFonts w:hint="eastAsia" w:ascii="仿宋" w:hAnsi="仿宋" w:eastAsia="仿宋" w:cs="仿宋"/>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rPr>
          <w:rFonts w:hint="eastAsia" w:ascii="仿宋" w:hAnsi="仿宋" w:eastAsia="仿宋" w:cs="仿宋"/>
          <w:i w:val="0"/>
          <w:iCs w:val="0"/>
          <w:caps w:val="0"/>
          <w:color w:val="000000"/>
          <w:spacing w:val="0"/>
          <w:sz w:val="32"/>
          <w:szCs w:val="32"/>
          <w:bdr w:val="none" w:color="auto" w:sz="0" w:space="0"/>
          <w:shd w:val="clear" w:fill="FFFFFF"/>
        </w:rPr>
      </w:pPr>
    </w:p>
    <w:p>
      <w:pPr>
        <w:keepNext w:val="0"/>
        <w:keepLines w:val="0"/>
        <w:pageBreakBefore w:val="0"/>
        <w:kinsoku/>
        <w:wordWrap/>
        <w:overflowPunct/>
        <w:topLinePunct w:val="0"/>
        <w:autoSpaceDE/>
        <w:autoSpaceDN/>
        <w:bidi w:val="0"/>
        <w:adjustRightInd/>
        <w:snapToGrid/>
        <w:spacing w:line="620" w:lineRule="exact"/>
        <w:ind w:firstLine="648"/>
        <w:textAlignment w:val="auto"/>
        <w:rPr>
          <w:rFonts w:hint="eastAsia" w:ascii="仿宋" w:hAnsi="仿宋" w:eastAsia="仿宋" w:cs="仿宋"/>
          <w:caps w:val="0"/>
          <w:color w:val="000000"/>
          <w:spacing w:val="0"/>
          <w:sz w:val="32"/>
          <w:szCs w:val="32"/>
          <w:shd w:val="clear" w:fill="FFFFFF"/>
        </w:rPr>
      </w:pPr>
      <w:r>
        <w:rPr>
          <w:rFonts w:ascii="楷体_GB2312" w:hAnsi="宋体" w:eastAsia="楷体_GB2312" w:cs="楷体_GB2312"/>
          <w:caps w:val="0"/>
          <w:color w:val="000000"/>
          <w:spacing w:val="0"/>
          <w:sz w:val="32"/>
          <w:szCs w:val="32"/>
        </w:rPr>
        <w:t>5.</w:t>
      </w:r>
      <w:r>
        <w:rPr>
          <w:rFonts w:ascii="楷体" w:hAnsi="楷体" w:eastAsia="楷体" w:cs="楷体"/>
          <w:i w:val="0"/>
          <w:iCs w:val="0"/>
          <w:caps w:val="0"/>
          <w:color w:val="000000"/>
          <w:spacing w:val="0"/>
          <w:sz w:val="32"/>
          <w:szCs w:val="32"/>
          <w:shd w:val="clear" w:fill="FFFFFF"/>
        </w:rPr>
        <w:t>政府信息公开监督保障情况</w:t>
      </w:r>
      <w:r>
        <w:rPr>
          <w:rFonts w:hint="eastAsia" w:ascii="楷体_GB2312" w:hAnsi="宋体" w:eastAsia="楷体_GB2312" w:cs="楷体_GB2312"/>
          <w:caps w:val="0"/>
          <w:color w:val="000000"/>
          <w:spacing w:val="0"/>
          <w:sz w:val="32"/>
          <w:szCs w:val="32"/>
        </w:rPr>
        <w:t>。</w:t>
      </w:r>
      <w:r>
        <w:rPr>
          <w:rFonts w:hint="eastAsia" w:ascii="楷体_GB2312" w:hAnsi="宋体" w:eastAsia="楷体_GB2312" w:cs="楷体_GB2312"/>
          <w:caps w:val="0"/>
          <w:color w:val="000000"/>
          <w:spacing w:val="0"/>
          <w:sz w:val="32"/>
          <w:szCs w:val="32"/>
          <w:shd w:val="clear" w:fill="FFFFFF"/>
        </w:rPr>
        <w:t>一是健全机制。</w:t>
      </w:r>
      <w:r>
        <w:rPr>
          <w:rFonts w:ascii="仿宋" w:hAnsi="仿宋" w:eastAsia="仿宋" w:cs="仿宋"/>
          <w:caps w:val="0"/>
          <w:color w:val="000000"/>
          <w:spacing w:val="0"/>
          <w:sz w:val="32"/>
          <w:szCs w:val="32"/>
          <w:shd w:val="clear" w:fill="FFFFFF"/>
        </w:rPr>
        <w:t>年初制定了政务公开培训计划，设立教体局政务公开小组，制定教体局政务公开工作实施方案，健全责任机制，责任落实到人。</w:t>
      </w:r>
      <w:r>
        <w:rPr>
          <w:rFonts w:hint="eastAsia" w:ascii="楷体_GB2312" w:hAnsi="宋体" w:eastAsia="楷体_GB2312" w:cs="楷体_GB2312"/>
          <w:caps w:val="0"/>
          <w:color w:val="000000"/>
          <w:spacing w:val="0"/>
          <w:sz w:val="32"/>
          <w:szCs w:val="32"/>
          <w:shd w:val="clear" w:fill="FFFFFF"/>
        </w:rPr>
        <w:t>二是加强考核力度。</w:t>
      </w:r>
      <w:r>
        <w:rPr>
          <w:rFonts w:hint="eastAsia" w:ascii="仿宋" w:hAnsi="仿宋" w:eastAsia="仿宋" w:cs="仿宋"/>
          <w:caps w:val="0"/>
          <w:color w:val="000000"/>
          <w:spacing w:val="0"/>
          <w:sz w:val="32"/>
          <w:szCs w:val="32"/>
          <w:shd w:val="clear" w:fill="FFFFFF"/>
        </w:rPr>
        <w:t>将政府信息公开工作纳入年底考核，并定期对各科室信息公示情况进行通报，提高各科室信息公开工作的积极性和主动性。</w:t>
      </w:r>
    </w:p>
    <w:p>
      <w:pPr>
        <w:keepNext w:val="0"/>
        <w:keepLines w:val="0"/>
        <w:pageBreakBefore w:val="0"/>
        <w:kinsoku/>
        <w:wordWrap/>
        <w:overflowPunct/>
        <w:topLinePunct w:val="0"/>
        <w:autoSpaceDE/>
        <w:autoSpaceDN/>
        <w:bidi w:val="0"/>
        <w:adjustRightInd/>
        <w:snapToGrid/>
        <w:spacing w:line="620" w:lineRule="exact"/>
        <w:ind w:firstLine="648"/>
        <w:textAlignment w:val="auto"/>
        <w:rPr>
          <w:rFonts w:ascii="黑体" w:hAnsi="黑体" w:eastAsia="黑体"/>
          <w:sz w:val="32"/>
          <w:szCs w:val="32"/>
        </w:rPr>
      </w:pPr>
      <w:r>
        <w:rPr>
          <w:rFonts w:hint="eastAsia" w:ascii="黑体" w:hAnsi="黑体" w:eastAsia="黑体"/>
          <w:sz w:val="32"/>
          <w:szCs w:val="32"/>
        </w:rPr>
        <w:t>二、主动公开政府信息情况</w:t>
      </w:r>
    </w:p>
    <w:p>
      <w:pPr>
        <w:keepNext w:val="0"/>
        <w:keepLines w:val="0"/>
        <w:pageBreakBefore w:val="0"/>
        <w:kinsoku/>
        <w:wordWrap/>
        <w:overflowPunct/>
        <w:topLinePunct w:val="0"/>
        <w:autoSpaceDE/>
        <w:autoSpaceDN/>
        <w:bidi w:val="0"/>
        <w:adjustRightInd/>
        <w:snapToGrid/>
        <w:spacing w:before="9" w:line="620" w:lineRule="exact"/>
        <w:jc w:val="left"/>
        <w:textAlignment w:val="auto"/>
        <w:rPr>
          <w:rFonts w:ascii="宋体" w:hAnsi="宋体" w:eastAsia="宋体" w:cs="宋体"/>
          <w:kern w:val="0"/>
          <w:szCs w:val="21"/>
        </w:rPr>
      </w:pP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vAlign w:val="top"/>
          </w:tcPr>
          <w:p>
            <w:pPr>
              <w:keepNext w:val="0"/>
              <w:keepLines w:val="0"/>
              <w:pageBreakBefore w:val="0"/>
              <w:tabs>
                <w:tab w:val="left" w:pos="1048"/>
              </w:tabs>
              <w:kinsoku/>
              <w:wordWrap/>
              <w:overflowPunct/>
              <w:topLinePunct w:val="0"/>
              <w:autoSpaceDE/>
              <w:autoSpaceDN/>
              <w:bidi w:val="0"/>
              <w:adjustRightInd/>
              <w:snapToGrid/>
              <w:spacing w:before="142" w:line="620" w:lineRule="exact"/>
              <w:ind w:left="-1" w:right="1"/>
              <w:jc w:val="center"/>
              <w:textAlignment w:val="auto"/>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vAlign w:val="top"/>
          </w:tcPr>
          <w:p>
            <w:pPr>
              <w:keepNext w:val="0"/>
              <w:keepLines w:val="0"/>
              <w:pageBreakBefore w:val="0"/>
              <w:kinsoku/>
              <w:wordWrap/>
              <w:overflowPunct/>
              <w:topLinePunct w:val="0"/>
              <w:autoSpaceDE/>
              <w:autoSpaceDN/>
              <w:bidi w:val="0"/>
              <w:adjustRightInd/>
              <w:snapToGrid/>
              <w:spacing w:before="135" w:line="620" w:lineRule="exact"/>
              <w:ind w:right="27"/>
              <w:jc w:val="both"/>
              <w:textAlignment w:val="auto"/>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vAlign w:val="top"/>
          </w:tcPr>
          <w:p>
            <w:pPr>
              <w:keepNext w:val="0"/>
              <w:keepLines w:val="0"/>
              <w:pageBreakBefore w:val="0"/>
              <w:kinsoku/>
              <w:wordWrap/>
              <w:overflowPunct/>
              <w:topLinePunct w:val="0"/>
              <w:autoSpaceDE/>
              <w:autoSpaceDN/>
              <w:bidi w:val="0"/>
              <w:adjustRightInd/>
              <w:snapToGrid/>
              <w:spacing w:before="135" w:line="620" w:lineRule="exact"/>
              <w:ind w:left="216"/>
              <w:jc w:val="center"/>
              <w:textAlignment w:val="auto"/>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vAlign w:val="top"/>
          </w:tcPr>
          <w:p>
            <w:pPr>
              <w:keepNext w:val="0"/>
              <w:keepLines w:val="0"/>
              <w:pageBreakBefore w:val="0"/>
              <w:kinsoku/>
              <w:wordWrap/>
              <w:overflowPunct/>
              <w:topLinePunct w:val="0"/>
              <w:autoSpaceDE/>
              <w:autoSpaceDN/>
              <w:bidi w:val="0"/>
              <w:adjustRightInd/>
              <w:snapToGrid/>
              <w:spacing w:before="135" w:line="620" w:lineRule="exact"/>
              <w:ind w:left="275"/>
              <w:jc w:val="center"/>
              <w:textAlignment w:val="auto"/>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vAlign w:val="top"/>
          </w:tcPr>
          <w:p>
            <w:pPr>
              <w:keepNext w:val="0"/>
              <w:keepLines w:val="0"/>
              <w:pageBreakBefore w:val="0"/>
              <w:kinsoku/>
              <w:wordWrap/>
              <w:overflowPunct/>
              <w:topLinePunct w:val="0"/>
              <w:autoSpaceDE/>
              <w:autoSpaceDN/>
              <w:bidi w:val="0"/>
              <w:adjustRightInd/>
              <w:snapToGrid/>
              <w:spacing w:before="130" w:line="620" w:lineRule="exact"/>
              <w:jc w:val="center"/>
              <w:textAlignment w:val="auto"/>
              <w:rPr>
                <w:sz w:val="21"/>
                <w:lang w:eastAsia="zh-CN"/>
              </w:rPr>
            </w:pPr>
            <w:r>
              <w:rPr>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vAlign w:val="top"/>
          </w:tcPr>
          <w:p>
            <w:pPr>
              <w:keepNext w:val="0"/>
              <w:keepLines w:val="0"/>
              <w:pageBreakBefore w:val="0"/>
              <w:kinsoku/>
              <w:wordWrap/>
              <w:overflowPunct/>
              <w:topLinePunct w:val="0"/>
              <w:autoSpaceDE/>
              <w:autoSpaceDN/>
              <w:bidi w:val="0"/>
              <w:adjustRightInd/>
              <w:snapToGrid/>
              <w:spacing w:before="147" w:line="620" w:lineRule="exact"/>
              <w:ind w:left="93"/>
              <w:jc w:val="center"/>
              <w:textAlignment w:val="auto"/>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top"/>
          </w:tcPr>
          <w:p>
            <w:pPr>
              <w:keepNext w:val="0"/>
              <w:keepLines w:val="0"/>
              <w:pageBreakBefore w:val="0"/>
              <w:tabs>
                <w:tab w:val="left" w:pos="274"/>
              </w:tabs>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vAlign w:val="top"/>
          </w:tcPr>
          <w:p>
            <w:pPr>
              <w:keepNext w:val="0"/>
              <w:keepLines w:val="0"/>
              <w:pageBreakBefore w:val="0"/>
              <w:kinsoku/>
              <w:wordWrap/>
              <w:overflowPunct/>
              <w:topLinePunct w:val="0"/>
              <w:autoSpaceDE/>
              <w:autoSpaceDN/>
              <w:bidi w:val="0"/>
              <w:adjustRightInd/>
              <w:snapToGrid/>
              <w:spacing w:before="138" w:line="620" w:lineRule="exact"/>
              <w:ind w:left="93"/>
              <w:jc w:val="center"/>
              <w:textAlignment w:val="auto"/>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vAlign w:val="top"/>
          </w:tcPr>
          <w:p>
            <w:pPr>
              <w:keepNext w:val="0"/>
              <w:keepLines w:val="0"/>
              <w:pageBreakBefore w:val="0"/>
              <w:tabs>
                <w:tab w:val="left" w:pos="1049"/>
              </w:tabs>
              <w:kinsoku/>
              <w:wordWrap/>
              <w:overflowPunct/>
              <w:topLinePunct w:val="0"/>
              <w:autoSpaceDE/>
              <w:autoSpaceDN/>
              <w:bidi w:val="0"/>
              <w:adjustRightInd/>
              <w:snapToGrid/>
              <w:spacing w:before="140" w:line="620" w:lineRule="exact"/>
              <w:ind w:left="5"/>
              <w:jc w:val="center"/>
              <w:textAlignment w:val="auto"/>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vAlign w:val="top"/>
          </w:tcPr>
          <w:p>
            <w:pPr>
              <w:keepNext w:val="0"/>
              <w:keepLines w:val="0"/>
              <w:pageBreakBefore w:val="0"/>
              <w:kinsoku/>
              <w:wordWrap/>
              <w:overflowPunct/>
              <w:topLinePunct w:val="0"/>
              <w:autoSpaceDE/>
              <w:autoSpaceDN/>
              <w:bidi w:val="0"/>
              <w:adjustRightInd/>
              <w:snapToGrid/>
              <w:spacing w:before="138" w:line="620" w:lineRule="exact"/>
              <w:ind w:right="17"/>
              <w:jc w:val="center"/>
              <w:textAlignment w:val="auto"/>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before="142" w:line="620" w:lineRule="exact"/>
              <w:ind w:right="16"/>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vAlign w:val="top"/>
          </w:tcPr>
          <w:p>
            <w:pPr>
              <w:keepNext w:val="0"/>
              <w:keepLines w:val="0"/>
              <w:pageBreakBefore w:val="0"/>
              <w:kinsoku/>
              <w:wordWrap/>
              <w:overflowPunct/>
              <w:topLinePunct w:val="0"/>
              <w:autoSpaceDE/>
              <w:autoSpaceDN/>
              <w:bidi w:val="0"/>
              <w:adjustRightInd/>
              <w:snapToGrid/>
              <w:spacing w:before="140" w:line="620" w:lineRule="exact"/>
              <w:ind w:left="98"/>
              <w:jc w:val="center"/>
              <w:textAlignment w:val="auto"/>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868</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vAlign w:val="top"/>
          </w:tcPr>
          <w:p>
            <w:pPr>
              <w:keepNext w:val="0"/>
              <w:keepLines w:val="0"/>
              <w:pageBreakBefore w:val="0"/>
              <w:tabs>
                <w:tab w:val="left" w:pos="1059"/>
              </w:tabs>
              <w:kinsoku/>
              <w:wordWrap/>
              <w:overflowPunct/>
              <w:topLinePunct w:val="0"/>
              <w:autoSpaceDE/>
              <w:autoSpaceDN/>
              <w:bidi w:val="0"/>
              <w:adjustRightInd/>
              <w:snapToGrid/>
              <w:spacing w:before="142" w:line="620" w:lineRule="exact"/>
              <w:ind w:left="15"/>
              <w:jc w:val="center"/>
              <w:textAlignment w:val="auto"/>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vAlign w:val="top"/>
          </w:tcPr>
          <w:p>
            <w:pPr>
              <w:keepNext w:val="0"/>
              <w:keepLines w:val="0"/>
              <w:pageBreakBefore w:val="0"/>
              <w:kinsoku/>
              <w:wordWrap/>
              <w:overflowPunct/>
              <w:topLinePunct w:val="0"/>
              <w:autoSpaceDE/>
              <w:autoSpaceDN/>
              <w:bidi w:val="0"/>
              <w:adjustRightInd/>
              <w:snapToGrid/>
              <w:spacing w:before="142" w:line="620" w:lineRule="exact"/>
              <w:ind w:right="8"/>
              <w:jc w:val="center"/>
              <w:textAlignment w:val="auto"/>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before="142" w:line="620" w:lineRule="exact"/>
              <w:ind w:right="13"/>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vAlign w:val="top"/>
          </w:tcPr>
          <w:p>
            <w:pPr>
              <w:keepNext w:val="0"/>
              <w:keepLines w:val="0"/>
              <w:pageBreakBefore w:val="0"/>
              <w:kinsoku/>
              <w:wordWrap/>
              <w:overflowPunct/>
              <w:topLinePunct w:val="0"/>
              <w:autoSpaceDE/>
              <w:autoSpaceDN/>
              <w:bidi w:val="0"/>
              <w:adjustRightInd/>
              <w:snapToGrid/>
              <w:spacing w:before="139" w:line="620" w:lineRule="exact"/>
              <w:ind w:left="102"/>
              <w:jc w:val="center"/>
              <w:textAlignment w:val="auto"/>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vAlign w:val="top"/>
          </w:tcPr>
          <w:p>
            <w:pPr>
              <w:keepNext w:val="0"/>
              <w:keepLines w:val="0"/>
              <w:pageBreakBefore w:val="0"/>
              <w:kinsoku/>
              <w:wordWrap/>
              <w:overflowPunct/>
              <w:topLinePunct w:val="0"/>
              <w:autoSpaceDE/>
              <w:autoSpaceDN/>
              <w:bidi w:val="0"/>
              <w:adjustRightInd/>
              <w:snapToGrid/>
              <w:spacing w:before="138" w:line="620" w:lineRule="exact"/>
              <w:ind w:left="107"/>
              <w:jc w:val="center"/>
              <w:textAlignment w:val="auto"/>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vAlign w:val="top"/>
          </w:tcPr>
          <w:p>
            <w:pPr>
              <w:keepNext w:val="0"/>
              <w:keepLines w:val="0"/>
              <w:pageBreakBefore w:val="0"/>
              <w:tabs>
                <w:tab w:val="left" w:pos="1068"/>
              </w:tabs>
              <w:kinsoku/>
              <w:wordWrap/>
              <w:overflowPunct/>
              <w:topLinePunct w:val="0"/>
              <w:autoSpaceDE/>
              <w:autoSpaceDN/>
              <w:bidi w:val="0"/>
              <w:adjustRightInd/>
              <w:snapToGrid/>
              <w:spacing w:before="142" w:line="620" w:lineRule="exact"/>
              <w:ind w:left="25"/>
              <w:jc w:val="center"/>
              <w:textAlignment w:val="auto"/>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135" w:line="620" w:lineRule="exact"/>
              <w:ind w:right="1"/>
              <w:jc w:val="center"/>
              <w:textAlignment w:val="auto"/>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145" w:line="620" w:lineRule="exact"/>
              <w:ind w:left="1446"/>
              <w:jc w:val="center"/>
              <w:textAlignment w:val="auto"/>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vAlign w:val="top"/>
          </w:tcPr>
          <w:p>
            <w:pPr>
              <w:keepNext w:val="0"/>
              <w:keepLines w:val="0"/>
              <w:pageBreakBefore w:val="0"/>
              <w:kinsoku/>
              <w:wordWrap/>
              <w:overflowPunct/>
              <w:topLinePunct w:val="0"/>
              <w:autoSpaceDE/>
              <w:autoSpaceDN/>
              <w:bidi w:val="0"/>
              <w:adjustRightInd/>
              <w:snapToGrid/>
              <w:spacing w:before="138" w:line="620" w:lineRule="exact"/>
              <w:ind w:left="107"/>
              <w:jc w:val="center"/>
              <w:textAlignment w:val="auto"/>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top"/>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sz w:val="21"/>
                <w:lang w:val="en-US" w:eastAsia="zh-CN"/>
              </w:rPr>
            </w:pPr>
            <w:r>
              <w:rPr>
                <w:rFonts w:hint="eastAsia"/>
                <w:sz w:val="21"/>
                <w:lang w:val="en-US" w:eastAsia="zh-CN"/>
              </w:rPr>
              <w:t>45</w:t>
            </w:r>
            <w:r>
              <w:rPr>
                <w:rFonts w:hint="default"/>
                <w:sz w:val="21"/>
                <w:lang w:val="en-US" w:eastAsia="zh-CN"/>
              </w:rPr>
              <w:t>.</w:t>
            </w:r>
            <w:r>
              <w:rPr>
                <w:rFonts w:hint="eastAsia"/>
                <w:sz w:val="21"/>
                <w:lang w:val="en-US" w:eastAsia="zh-CN"/>
              </w:rPr>
              <w:t>13</w:t>
            </w:r>
          </w:p>
        </w:tc>
      </w:tr>
    </w:tbl>
    <w:p>
      <w:pPr>
        <w:keepNext w:val="0"/>
        <w:keepLines w:val="0"/>
        <w:pageBreakBefore w:val="0"/>
        <w:kinsoku/>
        <w:wordWrap/>
        <w:overflowPunct/>
        <w:topLinePunct w:val="0"/>
        <w:autoSpaceDE/>
        <w:autoSpaceDN/>
        <w:bidi w:val="0"/>
        <w:adjustRightInd/>
        <w:snapToGrid/>
        <w:spacing w:line="620" w:lineRule="exact"/>
        <w:ind w:firstLine="480" w:firstLineChars="150"/>
        <w:textAlignment w:val="auto"/>
        <w:rPr>
          <w:rFonts w:ascii="黑体" w:hAnsi="黑体" w:eastAsia="黑体"/>
          <w:sz w:val="32"/>
          <w:szCs w:val="32"/>
        </w:rPr>
      </w:pPr>
      <w:bookmarkStart w:id="0" w:name="_GoBack"/>
      <w:bookmarkEnd w:id="0"/>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（本列数据的勾稽关系为：第一项加第二项之和，等于第三项加第四项之和）</w:t>
            </w:r>
          </w:p>
        </w:tc>
        <w:tc>
          <w:tcPr>
            <w:tcW w:w="4685" w:type="dxa"/>
            <w:gridSpan w:val="7"/>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554"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r>
              <w:rPr>
                <w:rFonts w:hint="eastAsia"/>
                <w:szCs w:val="21"/>
              </w:rPr>
              <w:t>自然人</w:t>
            </w:r>
          </w:p>
        </w:tc>
        <w:tc>
          <w:tcPr>
            <w:tcW w:w="3466"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法人或其他组织</w:t>
            </w:r>
          </w:p>
        </w:tc>
        <w:tc>
          <w:tcPr>
            <w:tcW w:w="66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商业企业</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科研机构</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社会公益组织</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法律服务机构</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其他</w:t>
            </w:r>
          </w:p>
        </w:tc>
        <w:tc>
          <w:tcPr>
            <w:tcW w:w="66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一、本年新收政府信息公开申请数量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2</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二、上年结转政府信息公开申请数量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三、本年度办理结果</w:t>
            </w:r>
          </w:p>
        </w:tc>
        <w:tc>
          <w:tcPr>
            <w:tcW w:w="4159" w:type="dxa"/>
            <w:gridSpan w:val="2"/>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（一）予以公开</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4159" w:type="dxa"/>
            <w:gridSpan w:val="2"/>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1</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（四）无法提供</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1</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2．重复申请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sz w:val="18"/>
                <w:szCs w:val="18"/>
              </w:rPr>
              <w:t>（六）其他处理</w:t>
            </w: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4159" w:type="dxa"/>
            <w:gridSpan w:val="2"/>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（七）总计</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2</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defaul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四、结转下年度继续办理</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line="620" w:lineRule="exact"/>
        <w:textAlignment w:val="auto"/>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行政复议</w:t>
            </w:r>
          </w:p>
        </w:tc>
        <w:tc>
          <w:tcPr>
            <w:tcW w:w="6505" w:type="dxa"/>
            <w:gridSpan w:val="10"/>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706"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8"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c>
          <w:tcPr>
            <w:tcW w:w="3260"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未经复议直接起诉</w:t>
            </w:r>
          </w:p>
        </w:tc>
        <w:tc>
          <w:tcPr>
            <w:tcW w:w="3245"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6"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p>
        </w:tc>
        <w:tc>
          <w:tcPr>
            <w:tcW w:w="428"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69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r>
    </w:tbl>
    <w:p>
      <w:pPr>
        <w:pStyle w:val="4"/>
        <w:keepNext w:val="0"/>
        <w:keepLines w:val="0"/>
        <w:widowControl/>
        <w:suppressLineNumbers w:val="0"/>
        <w:autoSpaceDE w:val="0"/>
        <w:autoSpaceDN/>
        <w:spacing w:line="620" w:lineRule="atLeast"/>
        <w:ind w:firstLine="640" w:firstLineChars="200"/>
      </w:pPr>
      <w:r>
        <w:rPr>
          <w:rFonts w:ascii="黑体" w:hAnsi="宋体" w:eastAsia="黑体" w:cs="黑体"/>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jc w:val="both"/>
        <w:rPr>
          <w:rFonts w:hint="eastAsia" w:ascii="楷体_GB2312" w:hAnsi="楷体_GB2312" w:eastAsia="楷体_GB2312" w:cs="楷体_GB2312"/>
        </w:rPr>
      </w:pPr>
      <w:r>
        <w:rPr>
          <w:rFonts w:ascii="楷体_GB2312" w:eastAsia="楷体_GB2312" w:cs="楷体_GB2312"/>
          <w:caps w:val="0"/>
          <w:color w:val="333333"/>
          <w:spacing w:val="0"/>
          <w:sz w:val="32"/>
          <w:szCs w:val="32"/>
          <w:bdr w:val="none" w:color="auto" w:sz="0" w:space="0"/>
        </w:rPr>
        <w:t>（一）存在的问题：</w:t>
      </w:r>
      <w:r>
        <w:rPr>
          <w:rFonts w:ascii="仿宋" w:hAnsi="仿宋" w:eastAsia="仿宋" w:cs="仿宋"/>
          <w:caps w:val="0"/>
          <w:color w:val="000000"/>
          <w:spacing w:val="0"/>
          <w:sz w:val="31"/>
          <w:szCs w:val="31"/>
          <w:bdr w:val="none" w:color="auto" w:sz="0" w:space="0"/>
        </w:rPr>
        <w:t>我局在政府信息公开工作中，</w:t>
      </w:r>
      <w:r>
        <w:rPr>
          <w:rFonts w:hint="eastAsia" w:ascii="楷体_GB2312" w:hAnsi="楷体_GB2312" w:eastAsia="楷体_GB2312" w:cs="楷体_GB2312"/>
          <w:caps w:val="0"/>
          <w:color w:val="000000"/>
          <w:spacing w:val="0"/>
          <w:sz w:val="31"/>
          <w:szCs w:val="31"/>
          <w:bdr w:val="none" w:color="auto" w:sz="0" w:space="0"/>
        </w:rPr>
        <w:t>一是主动公开的力度不够，公开内容不够细化；二是本单位开展政务公开培训的次数不多，部分人员对政务公开工作的认识还不够。</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pPr>
      <w:r>
        <w:rPr>
          <w:rFonts w:hint="eastAsia" w:ascii="楷体_GB2312" w:eastAsia="楷体_GB2312" w:cs="楷体_GB2312"/>
          <w:caps w:val="0"/>
          <w:color w:val="333333"/>
          <w:spacing w:val="0"/>
          <w:sz w:val="32"/>
          <w:szCs w:val="32"/>
          <w:bdr w:val="none" w:color="auto" w:sz="0" w:space="0"/>
        </w:rPr>
        <w:t>（二）改进情况：</w:t>
      </w:r>
      <w:r>
        <w:rPr>
          <w:rFonts w:hint="eastAsia" w:ascii="楷体_GB2312" w:eastAsia="楷体_GB2312" w:cs="楷体_GB2312"/>
          <w:caps w:val="0"/>
          <w:color w:val="000000"/>
          <w:spacing w:val="0"/>
          <w:sz w:val="31"/>
          <w:szCs w:val="31"/>
          <w:bdr w:val="none" w:color="auto" w:sz="0" w:space="0"/>
        </w:rPr>
        <w:t>一是加强政府信息公开制度的研读。</w:t>
      </w:r>
      <w:r>
        <w:rPr>
          <w:rFonts w:hint="eastAsia" w:ascii="仿宋" w:hAnsi="仿宋" w:eastAsia="仿宋" w:cs="仿宋"/>
          <w:caps w:val="0"/>
          <w:color w:val="000000"/>
          <w:spacing w:val="0"/>
          <w:sz w:val="31"/>
          <w:szCs w:val="31"/>
          <w:bdr w:val="none" w:color="auto" w:sz="0" w:space="0"/>
        </w:rPr>
        <w:t>我局按照《条例》要求，认真梳理教体局相关职责，坚持以“公开为原则，不公开为例外”，确保教体信息及时、有效公开。</w:t>
      </w:r>
      <w:r>
        <w:rPr>
          <w:rFonts w:hint="eastAsia" w:ascii="楷体_GB2312" w:eastAsia="楷体_GB2312" w:cs="楷体_GB2312"/>
          <w:caps w:val="0"/>
          <w:color w:val="000000"/>
          <w:spacing w:val="0"/>
          <w:sz w:val="31"/>
          <w:szCs w:val="31"/>
          <w:bdr w:val="none" w:color="auto" w:sz="0" w:space="0"/>
        </w:rPr>
        <w:t>二</w:t>
      </w:r>
      <w:r>
        <w:rPr>
          <w:rFonts w:hint="eastAsia" w:ascii="楷体_GB2312" w:eastAsia="楷体_GB2312" w:cs="楷体_GB2312"/>
          <w:caps w:val="0"/>
          <w:color w:val="000000"/>
          <w:spacing w:val="0"/>
          <w:sz w:val="32"/>
          <w:szCs w:val="32"/>
          <w:bdr w:val="none" w:color="auto" w:sz="0" w:space="0"/>
          <w:shd w:val="clear" w:fill="FFFFFF"/>
        </w:rPr>
        <w:t>是加强信息公开培训。结合各科室实际情况，开展政务公开工作定期培训，</w:t>
      </w:r>
      <w:r>
        <w:rPr>
          <w:rFonts w:ascii="仿宋_GB2312" w:eastAsia="仿宋_GB2312" w:cs="仿宋_GB2312"/>
          <w:caps w:val="0"/>
          <w:color w:val="000000"/>
          <w:spacing w:val="0"/>
          <w:sz w:val="32"/>
          <w:szCs w:val="32"/>
          <w:bdr w:val="none" w:color="auto" w:sz="0" w:space="0"/>
          <w:shd w:val="clear" w:fill="FFFFFF"/>
        </w:rPr>
        <w:t>提高</w:t>
      </w:r>
      <w:r>
        <w:rPr>
          <w:rFonts w:hint="eastAsia" w:ascii="仿宋_GB2312" w:eastAsia="仿宋_GB2312" w:cs="仿宋_GB2312"/>
          <w:caps w:val="0"/>
          <w:color w:val="000000"/>
          <w:spacing w:val="0"/>
          <w:sz w:val="32"/>
          <w:szCs w:val="32"/>
          <w:bdr w:val="none" w:color="auto" w:sz="0" w:space="0"/>
          <w:shd w:val="clear" w:fill="FFFFFF"/>
        </w:rPr>
        <w:t>我局工作人员信息公开工作的敏锐性和业务能力；</w:t>
      </w:r>
      <w:r>
        <w:rPr>
          <w:rFonts w:hint="eastAsia" w:ascii="楷体_GB2312" w:eastAsia="楷体_GB2312" w:cs="楷体_GB2312"/>
          <w:caps w:val="0"/>
          <w:color w:val="000000"/>
          <w:spacing w:val="0"/>
          <w:sz w:val="32"/>
          <w:szCs w:val="32"/>
          <w:bdr w:val="none" w:color="auto" w:sz="0" w:space="0"/>
          <w:shd w:val="clear" w:fill="FFFFFF"/>
        </w:rPr>
        <w:t>三</w:t>
      </w:r>
      <w:r>
        <w:rPr>
          <w:rFonts w:hint="eastAsia" w:ascii="楷体_GB2312" w:eastAsia="楷体_GB2312" w:cs="楷体_GB2312"/>
          <w:caps w:val="0"/>
          <w:color w:val="000000"/>
          <w:spacing w:val="0"/>
          <w:sz w:val="31"/>
          <w:szCs w:val="31"/>
          <w:bdr w:val="none" w:color="auto" w:sz="0" w:space="0"/>
        </w:rPr>
        <w:t>是进一步加强教体信息宣传。</w:t>
      </w:r>
      <w:r>
        <w:rPr>
          <w:rFonts w:hint="eastAsia" w:ascii="仿宋" w:hAnsi="仿宋" w:eastAsia="仿宋" w:cs="仿宋"/>
          <w:caps w:val="0"/>
          <w:color w:val="000000"/>
          <w:spacing w:val="0"/>
          <w:sz w:val="31"/>
          <w:szCs w:val="31"/>
          <w:bdr w:val="none" w:color="auto" w:sz="0" w:space="0"/>
        </w:rPr>
        <w:t>通过“临淄教育”微博、微信平台以及融媒体的宣传力度，将最新教育动态及时传递给公众，提高群众对教育信息的知悉度，扩大知悉范围。</w:t>
      </w:r>
    </w:p>
    <w:p>
      <w:pPr>
        <w:pStyle w:val="4"/>
        <w:keepNext w:val="0"/>
        <w:keepLines w:val="0"/>
        <w:widowControl/>
        <w:suppressLineNumbers w:val="0"/>
        <w:autoSpaceDE w:val="0"/>
        <w:autoSpaceDN/>
        <w:spacing w:line="620" w:lineRule="atLeast"/>
        <w:ind w:left="0" w:firstLine="640"/>
      </w:pPr>
      <w:r>
        <w:rPr>
          <w:rFonts w:hint="eastAsia" w:ascii="黑体" w:hAnsi="宋体" w:eastAsia="黑体" w:cs="黑体"/>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jc w:val="both"/>
      </w:pPr>
      <w:r>
        <w:rPr>
          <w:rFonts w:hint="eastAsia" w:ascii="楷体_GB2312" w:eastAsia="楷体_GB2312" w:cs="楷体_GB2312"/>
          <w:caps w:val="0"/>
          <w:color w:val="000000"/>
          <w:spacing w:val="0"/>
          <w:sz w:val="32"/>
          <w:szCs w:val="32"/>
          <w:bdr w:val="none" w:color="auto" w:sz="0" w:space="0"/>
        </w:rPr>
        <w:t>（一）收取信息处理费情况。</w:t>
      </w:r>
      <w:r>
        <w:rPr>
          <w:rFonts w:hint="default" w:ascii="Times New Roman" w:hAnsi="Times New Roman" w:cs="Times New Roman"/>
          <w:caps w:val="0"/>
          <w:color w:val="000000"/>
          <w:spacing w:val="0"/>
          <w:sz w:val="32"/>
          <w:szCs w:val="32"/>
          <w:bdr w:val="none" w:color="auto" w:sz="0" w:space="0"/>
        </w:rPr>
        <w:t>2021</w:t>
      </w:r>
      <w:r>
        <w:rPr>
          <w:rFonts w:hint="eastAsia" w:ascii="仿宋_GB2312" w:eastAsia="仿宋_GB2312" w:cs="仿宋_GB2312"/>
          <w:caps w:val="0"/>
          <w:color w:val="000000"/>
          <w:spacing w:val="0"/>
          <w:sz w:val="32"/>
          <w:szCs w:val="32"/>
          <w:bdr w:val="none" w:color="auto" w:sz="0" w:space="0"/>
        </w:rPr>
        <w:t>年，无收取信息处理费情况。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left="0" w:right="0" w:firstLine="640"/>
        <w:jc w:val="both"/>
      </w:pPr>
      <w:r>
        <w:rPr>
          <w:rFonts w:hint="eastAsia" w:ascii="楷体_GB2312" w:eastAsia="楷体_GB2312" w:cs="楷体_GB2312"/>
          <w:caps w:val="0"/>
          <w:color w:val="000000"/>
          <w:spacing w:val="0"/>
          <w:sz w:val="32"/>
          <w:szCs w:val="32"/>
          <w:bdr w:val="none" w:color="auto" w:sz="0" w:space="0"/>
        </w:rPr>
        <w:t>（二）人大代表建议和政协提案办理结果情况。</w:t>
      </w:r>
      <w:r>
        <w:rPr>
          <w:rFonts w:hint="eastAsia" w:ascii="仿宋_GB2312" w:eastAsia="仿宋_GB2312" w:cs="仿宋_GB2312"/>
          <w:caps w:val="0"/>
          <w:color w:val="000000"/>
          <w:spacing w:val="0"/>
          <w:sz w:val="32"/>
          <w:szCs w:val="32"/>
          <w:bdr w:val="none" w:color="auto" w:sz="0" w:space="0"/>
        </w:rPr>
        <w:t>办理区人大代表建议和区政协委员提案</w:t>
      </w:r>
      <w:r>
        <w:rPr>
          <w:rFonts w:hint="default" w:ascii="Times New Roman" w:hAnsi="Times New Roman" w:eastAsia="仿宋_GB2312" w:cs="Times New Roman"/>
          <w:caps w:val="0"/>
          <w:color w:val="000000"/>
          <w:spacing w:val="0"/>
          <w:sz w:val="32"/>
          <w:szCs w:val="32"/>
          <w:bdr w:val="none" w:color="auto" w:sz="0" w:space="0"/>
        </w:rPr>
        <w:t>28</w:t>
      </w:r>
      <w:r>
        <w:rPr>
          <w:rFonts w:hint="eastAsia" w:ascii="仿宋_GB2312" w:eastAsia="仿宋_GB2312" w:cs="仿宋_GB2312"/>
          <w:caps w:val="0"/>
          <w:color w:val="000000"/>
          <w:spacing w:val="0"/>
          <w:sz w:val="32"/>
          <w:szCs w:val="32"/>
          <w:bdr w:val="none" w:color="auto" w:sz="0" w:space="0"/>
        </w:rPr>
        <w:t>件，其中区人大代表建议</w:t>
      </w:r>
      <w:r>
        <w:rPr>
          <w:rFonts w:hint="default" w:ascii="Times New Roman" w:hAnsi="Times New Roman" w:eastAsia="仿宋_GB2312" w:cs="Times New Roman"/>
          <w:caps w:val="0"/>
          <w:color w:val="000000"/>
          <w:spacing w:val="0"/>
          <w:sz w:val="32"/>
          <w:szCs w:val="32"/>
          <w:bdr w:val="none" w:color="auto" w:sz="0" w:space="0"/>
        </w:rPr>
        <w:t>12</w:t>
      </w:r>
      <w:r>
        <w:rPr>
          <w:rFonts w:hint="eastAsia" w:ascii="仿宋_GB2312" w:eastAsia="仿宋_GB2312" w:cs="仿宋_GB2312"/>
          <w:caps w:val="0"/>
          <w:color w:val="000000"/>
          <w:spacing w:val="0"/>
          <w:sz w:val="32"/>
          <w:szCs w:val="32"/>
          <w:bdr w:val="none" w:color="auto" w:sz="0" w:space="0"/>
        </w:rPr>
        <w:t>件，区政协委员提案</w:t>
      </w:r>
      <w:r>
        <w:rPr>
          <w:rFonts w:hint="default" w:ascii="Times New Roman" w:hAnsi="Times New Roman" w:eastAsia="微软雅黑" w:cs="Times New Roman"/>
          <w:caps w:val="0"/>
          <w:color w:val="000000"/>
          <w:spacing w:val="0"/>
          <w:sz w:val="32"/>
          <w:szCs w:val="32"/>
          <w:bdr w:val="none" w:color="auto" w:sz="0" w:space="0"/>
        </w:rPr>
        <w:t>16</w:t>
      </w:r>
      <w:r>
        <w:rPr>
          <w:rFonts w:hint="eastAsia" w:ascii="仿宋_GB2312" w:eastAsia="仿宋_GB2312" w:cs="仿宋_GB2312"/>
          <w:caps w:val="0"/>
          <w:color w:val="000000"/>
          <w:spacing w:val="0"/>
          <w:sz w:val="32"/>
          <w:szCs w:val="32"/>
          <w:bdr w:val="none" w:color="auto" w:sz="0" w:space="0"/>
        </w:rPr>
        <w:t>件，代表委员对区财政局办理态度满意率</w:t>
      </w:r>
      <w:r>
        <w:rPr>
          <w:rFonts w:hint="default" w:ascii="Times New Roman" w:hAnsi="Times New Roman" w:cs="Times New Roman"/>
          <w:caps w:val="0"/>
          <w:color w:val="000000"/>
          <w:spacing w:val="0"/>
          <w:sz w:val="32"/>
          <w:szCs w:val="32"/>
          <w:bdr w:val="none" w:color="auto" w:sz="0" w:space="0"/>
        </w:rPr>
        <w:t>100%</w:t>
      </w:r>
      <w:r>
        <w:rPr>
          <w:rFonts w:hint="eastAsia" w:ascii="仿宋_GB2312" w:eastAsia="仿宋_GB2312" w:cs="仿宋_GB2312"/>
          <w:caps w:val="0"/>
          <w:color w:val="000000"/>
          <w:spacing w:val="0"/>
          <w:sz w:val="32"/>
          <w:szCs w:val="3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pPr>
      <w:r>
        <w:rPr>
          <w:rFonts w:hint="eastAsia" w:ascii="楷体_GB2312" w:eastAsia="楷体_GB2312" w:cs="楷体_GB2312"/>
          <w:caps w:val="0"/>
          <w:color w:val="000000"/>
          <w:spacing w:val="0"/>
          <w:sz w:val="32"/>
          <w:szCs w:val="32"/>
          <w:bdr w:val="none" w:color="auto" w:sz="0" w:space="0"/>
        </w:rPr>
        <w:t>（三）</w:t>
      </w:r>
      <w:r>
        <w:rPr>
          <w:rFonts w:ascii="楷体" w:hAnsi="楷体" w:eastAsia="楷体" w:cs="楷体"/>
          <w:i w:val="0"/>
          <w:iCs w:val="0"/>
          <w:caps w:val="0"/>
          <w:color w:val="000000"/>
          <w:spacing w:val="0"/>
          <w:sz w:val="32"/>
          <w:szCs w:val="32"/>
          <w:bdr w:val="none" w:color="auto" w:sz="0" w:space="0"/>
          <w:shd w:val="clear" w:fill="FFFFFF"/>
        </w:rPr>
        <w:t>年度工作要点落实情况。</w:t>
      </w:r>
      <w:r>
        <w:rPr>
          <w:rFonts w:hint="eastAsia" w:ascii="仿宋" w:hAnsi="仿宋" w:eastAsia="仿宋" w:cs="仿宋"/>
          <w:i w:val="0"/>
          <w:iCs w:val="0"/>
          <w:caps w:val="0"/>
          <w:color w:val="000000"/>
          <w:spacing w:val="0"/>
          <w:sz w:val="32"/>
          <w:szCs w:val="32"/>
          <w:bdr w:val="none" w:color="auto" w:sz="0" w:space="0"/>
          <w:shd w:val="clear" w:fill="FFFFFF"/>
        </w:rPr>
        <w:t>按照本部门职责，做好</w:t>
      </w:r>
      <w:r>
        <w:rPr>
          <w:rFonts w:hint="eastAsia" w:ascii="仿宋" w:hAnsi="仿宋" w:eastAsia="仿宋" w:cs="仿宋"/>
          <w:i w:val="0"/>
          <w:iCs w:val="0"/>
          <w:caps w:val="0"/>
          <w:color w:val="000000"/>
          <w:spacing w:val="0"/>
          <w:sz w:val="32"/>
          <w:szCs w:val="32"/>
          <w:bdr w:val="none" w:color="auto" w:sz="0" w:space="0"/>
          <w:shd w:val="clear" w:fill="FFFFFF"/>
          <w:lang w:val="en-US"/>
        </w:rPr>
        <w:t>2021</w:t>
      </w:r>
      <w:r>
        <w:rPr>
          <w:rFonts w:hint="eastAsia" w:ascii="仿宋" w:hAnsi="仿宋" w:eastAsia="仿宋" w:cs="仿宋"/>
          <w:i w:val="0"/>
          <w:iCs w:val="0"/>
          <w:caps w:val="0"/>
          <w:color w:val="000000"/>
          <w:spacing w:val="0"/>
          <w:sz w:val="32"/>
          <w:szCs w:val="32"/>
          <w:bdr w:val="none" w:color="auto" w:sz="0" w:space="0"/>
          <w:shd w:val="clear" w:fill="FFFFFF"/>
        </w:rPr>
        <w:t>年区政府工作报告主要任务目标落实情况，并按季度进行公示；做好本部门财政预算、决算公开；做好重要文件的解读公开，对主动公开的行政规范性文件进行解读；做好部门会议公开工作；做好本部门信箱和网站互动平台答复工作，做到按时、合法、合规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pPr>
      <w:r>
        <w:rPr>
          <w:rFonts w:hint="eastAsia" w:ascii="楷体_GB2312" w:eastAsia="楷体_GB2312" w:cs="楷体_GB2312"/>
          <w:caps w:val="0"/>
          <w:color w:val="000000"/>
          <w:spacing w:val="0"/>
          <w:sz w:val="32"/>
          <w:szCs w:val="32"/>
          <w:bdr w:val="none" w:color="auto" w:sz="0" w:space="0"/>
        </w:rPr>
        <w:t>（四）政务公开工作创新情况。</w:t>
      </w:r>
      <w:r>
        <w:rPr>
          <w:rFonts w:hint="default" w:ascii="Times New Roman" w:hAnsi="Times New Roman" w:cs="Times New Roman"/>
          <w:caps w:val="0"/>
          <w:color w:val="000000"/>
          <w:spacing w:val="0"/>
          <w:sz w:val="32"/>
          <w:szCs w:val="32"/>
          <w:bdr w:val="none" w:color="auto" w:sz="0" w:space="0"/>
        </w:rPr>
        <w:t>2021</w:t>
      </w:r>
      <w:r>
        <w:rPr>
          <w:rFonts w:hint="eastAsia" w:ascii="仿宋_GB2312" w:eastAsia="仿宋_GB2312" w:cs="仿宋_GB2312"/>
          <w:caps w:val="0"/>
          <w:color w:val="000000"/>
          <w:spacing w:val="0"/>
          <w:sz w:val="32"/>
          <w:szCs w:val="32"/>
          <w:bdr w:val="none" w:color="auto" w:sz="0" w:space="0"/>
        </w:rPr>
        <w:t>年，政务公开工作创新举措方面，临淄区教体局以政务公开为抓手，大力推进政务服务信息化、快捷化、整合化、制度化，全力打造“风清气正”政务服务品牌。</w:t>
      </w:r>
    </w:p>
    <w:p>
      <w:pPr>
        <w:spacing w:line="560" w:lineRule="exact"/>
        <w:ind w:firstLine="640" w:firstLineChars="200"/>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879E0"/>
    <w:multiLevelType w:val="singleLevel"/>
    <w:tmpl w:val="1F0879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7387741"/>
    <w:rsid w:val="097B05EC"/>
    <w:rsid w:val="0B7F3FC7"/>
    <w:rsid w:val="175718CF"/>
    <w:rsid w:val="1C215A59"/>
    <w:rsid w:val="1D050BBE"/>
    <w:rsid w:val="2A39664F"/>
    <w:rsid w:val="2B656623"/>
    <w:rsid w:val="344277BC"/>
    <w:rsid w:val="37FA1102"/>
    <w:rsid w:val="38B76B7F"/>
    <w:rsid w:val="39047736"/>
    <w:rsid w:val="3AAA009C"/>
    <w:rsid w:val="41630D72"/>
    <w:rsid w:val="42E45EE2"/>
    <w:rsid w:val="452D1715"/>
    <w:rsid w:val="45BF6144"/>
    <w:rsid w:val="49D02E2F"/>
    <w:rsid w:val="4A5751EC"/>
    <w:rsid w:val="4DE93206"/>
    <w:rsid w:val="4E776D2C"/>
    <w:rsid w:val="4F895E47"/>
    <w:rsid w:val="526E05B1"/>
    <w:rsid w:val="54C87412"/>
    <w:rsid w:val="60B62814"/>
    <w:rsid w:val="677733AE"/>
    <w:rsid w:val="70182BA3"/>
    <w:rsid w:val="71066EA0"/>
    <w:rsid w:val="760503EB"/>
    <w:rsid w:val="7BA97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3</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2022-01-26T02:26:10Z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A0DBB17D645F4EF7945E35554A7D0093</vt:lpwstr>
  </property>
</Properties>
</file>