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黑体" w:hAnsi="黑体" w:eastAsia="黑体"/>
          <w:sz w:val="32"/>
          <w:szCs w:val="32"/>
        </w:rPr>
      </w:pPr>
    </w:p>
    <w:p>
      <w:pPr>
        <w:jc w:val="center"/>
        <w:rPr>
          <w:rFonts w:ascii="文星简大标宋" w:eastAsia="文星简大标宋"/>
          <w:sz w:val="84"/>
          <w:szCs w:val="84"/>
        </w:rPr>
      </w:pPr>
    </w:p>
    <w:p>
      <w:pPr>
        <w:jc w:val="center"/>
        <w:rPr>
          <w:rFonts w:ascii="文星简大标宋" w:eastAsia="文星简大标宋"/>
          <w:sz w:val="84"/>
          <w:szCs w:val="84"/>
        </w:rPr>
      </w:pPr>
    </w:p>
    <w:p>
      <w:pPr>
        <w:jc w:val="center"/>
        <w:rPr>
          <w:rFonts w:hint="eastAsia" w:ascii="方正小标宋简体" w:eastAsia="方正小标宋简体"/>
          <w:color w:val="auto"/>
          <w:spacing w:val="60"/>
          <w:sz w:val="74"/>
        </w:rPr>
      </w:pPr>
      <w:r>
        <w:rPr>
          <w:rFonts w:hint="eastAsia" w:ascii="方正小标宋简体" w:eastAsia="方正小标宋简体"/>
          <w:color w:val="auto"/>
          <w:spacing w:val="60"/>
          <w:sz w:val="74"/>
        </w:rPr>
        <w:t>201</w:t>
      </w:r>
      <w:r>
        <w:rPr>
          <w:rFonts w:hint="eastAsia" w:ascii="方正小标宋简体" w:eastAsia="方正小标宋简体"/>
          <w:color w:val="auto"/>
          <w:spacing w:val="60"/>
          <w:sz w:val="74"/>
          <w:lang w:val="en-US" w:eastAsia="zh-CN"/>
        </w:rPr>
        <w:t>8</w:t>
      </w:r>
      <w:bookmarkStart w:id="1" w:name="_GoBack"/>
      <w:bookmarkEnd w:id="1"/>
      <w:r>
        <w:rPr>
          <w:rFonts w:hint="eastAsia" w:ascii="方正小标宋简体" w:eastAsia="方正小标宋简体"/>
          <w:color w:val="auto"/>
          <w:spacing w:val="60"/>
          <w:sz w:val="74"/>
        </w:rPr>
        <w:t>年度</w:t>
      </w:r>
      <w:r>
        <w:rPr>
          <w:rFonts w:hint="eastAsia" w:ascii="方正小标宋简体" w:eastAsia="方正小标宋简体"/>
          <w:color w:val="auto"/>
          <w:spacing w:val="60"/>
          <w:sz w:val="74"/>
          <w:lang w:eastAsia="zh-CN"/>
        </w:rPr>
        <w:t>临淄区教育局</w:t>
      </w:r>
      <w:r>
        <w:rPr>
          <w:rFonts w:hint="eastAsia" w:ascii="方正小标宋简体" w:eastAsia="方正小标宋简体"/>
          <w:color w:val="auto"/>
          <w:spacing w:val="60"/>
          <w:sz w:val="74"/>
        </w:rPr>
        <w:t>部门决算</w:t>
      </w:r>
    </w:p>
    <w:p>
      <w:pPr>
        <w:jc w:val="center"/>
        <w:rPr>
          <w:rFonts w:ascii="文星简大标宋" w:eastAsia="文星简大标宋"/>
          <w:sz w:val="84"/>
          <w:szCs w:val="84"/>
        </w:rPr>
      </w:pPr>
    </w:p>
    <w:p>
      <w:pPr>
        <w:rPr>
          <w:sz w:val="52"/>
          <w:szCs w:val="52"/>
        </w:rPr>
      </w:pPr>
    </w:p>
    <w:p/>
    <w:p/>
    <w:p/>
    <w:p/>
    <w:p/>
    <w:p/>
    <w:p/>
    <w:p/>
    <w:p/>
    <w:p/>
    <w:p/>
    <w:p>
      <w:pPr>
        <w:spacing w:line="580" w:lineRule="exact"/>
      </w:pPr>
      <w: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第一部分部门概况</w:t>
      </w:r>
    </w:p>
    <w:p>
      <w:pPr>
        <w:spacing w:line="580" w:lineRule="exact"/>
        <w:ind w:left="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一、部门职责</w:t>
      </w:r>
    </w:p>
    <w:p>
      <w:pPr>
        <w:spacing w:line="580" w:lineRule="exact"/>
        <w:ind w:left="640"/>
        <w:rPr>
          <w:rFonts w:ascii="黑体" w:eastAsia="黑体"/>
          <w:b w:val="0"/>
          <w:bCs w:val="0"/>
          <w:sz w:val="32"/>
          <w:szCs w:val="32"/>
        </w:rPr>
      </w:pPr>
      <w:r>
        <w:rPr>
          <w:rFonts w:hint="eastAsia" w:ascii="仿宋_GB2312" w:hAnsi="仿宋_GB2312" w:eastAsia="仿宋_GB2312" w:cs="仿宋_GB2312"/>
          <w:b w:val="0"/>
          <w:bCs w:val="0"/>
          <w:sz w:val="32"/>
          <w:szCs w:val="32"/>
        </w:rPr>
        <w:t>二、机构设置</w:t>
      </w:r>
    </w:p>
    <w:p>
      <w:pPr>
        <w:spacing w:line="580" w:lineRule="exact"/>
        <w:rPr>
          <w:rFonts w:ascii="黑体" w:eastAsia="黑体"/>
          <w:sz w:val="36"/>
          <w:szCs w:val="36"/>
        </w:rPr>
      </w:pPr>
      <w:r>
        <w:rPr>
          <w:rFonts w:hint="eastAsia" w:ascii="黑体" w:eastAsia="黑体"/>
          <w:sz w:val="36"/>
          <w:szCs w:val="36"/>
        </w:rPr>
        <w:t>第二部分2018年度部门决算表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八、一般公共预算财政拨款“三公”经费支出决算表</w:t>
      </w:r>
    </w:p>
    <w:p>
      <w:pPr>
        <w:spacing w:line="580" w:lineRule="exact"/>
        <w:ind w:left="1602" w:hanging="1602" w:hangingChars="445"/>
        <w:rPr>
          <w:rFonts w:ascii="黑体" w:eastAsia="黑体"/>
          <w:sz w:val="36"/>
          <w:szCs w:val="36"/>
        </w:rPr>
      </w:pPr>
      <w:r>
        <w:rPr>
          <w:rFonts w:hint="eastAsia" w:ascii="黑体" w:eastAsia="黑体"/>
          <w:sz w:val="36"/>
          <w:szCs w:val="36"/>
        </w:rPr>
        <w:t>第三部分2018年度部门决算情况和重要事项说明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一、2018年度部门决算情况说明</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二、重要事项说明</w:t>
      </w:r>
    </w:p>
    <w:p>
      <w:pPr>
        <w:spacing w:line="580" w:lineRule="exact"/>
        <w:ind w:left="1602" w:hanging="1602" w:hangingChars="445"/>
        <w:rPr>
          <w:rFonts w:ascii="黑体" w:eastAsia="黑体"/>
          <w:sz w:val="36"/>
          <w:szCs w:val="36"/>
        </w:rPr>
      </w:pPr>
      <w:r>
        <w:rPr>
          <w:rFonts w:hint="eastAsia" w:ascii="黑体" w:eastAsia="黑体"/>
          <w:sz w:val="36"/>
          <w:szCs w:val="36"/>
        </w:rPr>
        <w:t>第四部分 名词解释</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p>
    <w:p>
      <w:pPr>
        <w:ind w:left="1609" w:leftChars="766"/>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b/>
          <w:sz w:val="36"/>
          <w:szCs w:val="36"/>
        </w:rPr>
      </w:pPr>
    </w:p>
    <w:p>
      <w:pPr>
        <w:rPr>
          <w:rFonts w:ascii="黑体" w:eastAsia="黑体"/>
          <w:b/>
          <w:sz w:val="36"/>
          <w:szCs w:val="36"/>
        </w:rPr>
      </w:pPr>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numPr>
          <w:ilvl w:val="0"/>
          <w:numId w:val="1"/>
        </w:numPr>
        <w:spacing w:line="580" w:lineRule="exact"/>
        <w:ind w:firstLine="273"/>
        <w:rPr>
          <w:rFonts w:ascii="黑体" w:eastAsia="黑体"/>
          <w:sz w:val="32"/>
          <w:szCs w:val="32"/>
        </w:rPr>
      </w:pPr>
      <w:r>
        <w:rPr>
          <w:rFonts w:hint="eastAsia" w:ascii="黑体" w:eastAsia="黑体"/>
          <w:sz w:val="32"/>
          <w:szCs w:val="32"/>
        </w:rPr>
        <w:t>部门职责</w:t>
      </w:r>
    </w:p>
    <w:p>
      <w:pPr>
        <w:spacing w:line="580" w:lineRule="exact"/>
        <w:ind w:firstLine="707" w:firstLineChars="221"/>
        <w:rPr>
          <w:rFonts w:eastAsia="仿宋_GB2312"/>
          <w:sz w:val="32"/>
          <w:szCs w:val="32"/>
        </w:rPr>
      </w:pPr>
      <w:r>
        <w:rPr>
          <w:rFonts w:hint="eastAsia" w:eastAsia="仿宋_GB2312"/>
          <w:sz w:val="32"/>
          <w:szCs w:val="32"/>
        </w:rPr>
        <w:t>（一）贯彻执行党和国家、省、市教育方针、政策和法律、法规，拟订全区教育工作的规章、政策和全区教育事业发展战略、中长期规划及年度计划并组织实施。</w:t>
      </w:r>
    </w:p>
    <w:p>
      <w:pPr>
        <w:spacing w:line="580" w:lineRule="exact"/>
        <w:ind w:firstLine="707" w:firstLineChars="221"/>
        <w:rPr>
          <w:rFonts w:eastAsia="仿宋_GB2312"/>
          <w:sz w:val="32"/>
          <w:szCs w:val="32"/>
        </w:rPr>
      </w:pPr>
      <w:r>
        <w:rPr>
          <w:rFonts w:hint="eastAsia" w:eastAsia="仿宋_GB2312"/>
          <w:sz w:val="32"/>
          <w:szCs w:val="32"/>
        </w:rPr>
        <w:t>（二）负责全区学前教育、基础教育、特殊教育、职业教育、成人教育、民办教育统筹规划和协调管理工作；主管全区教师工作，指导学校教职工队伍建设；指导学校内部管理体制改革和教育体制改革；组织教育督导与评估。</w:t>
      </w:r>
    </w:p>
    <w:p>
      <w:pPr>
        <w:spacing w:line="580" w:lineRule="exact"/>
        <w:ind w:firstLine="707" w:firstLineChars="221"/>
        <w:rPr>
          <w:rFonts w:eastAsia="仿宋_GB2312"/>
          <w:sz w:val="32"/>
          <w:szCs w:val="32"/>
        </w:rPr>
      </w:pPr>
      <w:r>
        <w:rPr>
          <w:rFonts w:hint="eastAsia" w:eastAsia="仿宋_GB2312"/>
          <w:sz w:val="32"/>
          <w:szCs w:val="32"/>
        </w:rPr>
        <w:t>（三）会同有关部门拟订教育经费筹措、教育拨款、教育基建投资的政策；编报区级教育经费的年度预算建议方案，监测教育经费的筹措和使用情况；管理所属单位的教育经费、基建投资和教育系统的专项经费，协调管理国内外对全区教育的贷款、援款等，并对使用情况进行监督检查；负责学生资助工作；对所属单位教育经费使用、校产管理进行指导、检查、监督；协调实施全区解决中小学大班额项目工程。</w:t>
      </w:r>
    </w:p>
    <w:p>
      <w:pPr>
        <w:spacing w:line="580" w:lineRule="exact"/>
        <w:ind w:firstLine="707" w:firstLineChars="221"/>
        <w:rPr>
          <w:rFonts w:eastAsia="仿宋_GB2312"/>
          <w:sz w:val="32"/>
          <w:szCs w:val="32"/>
        </w:rPr>
      </w:pPr>
      <w:r>
        <w:rPr>
          <w:rFonts w:hint="eastAsia" w:eastAsia="仿宋_GB2312"/>
          <w:sz w:val="32"/>
          <w:szCs w:val="32"/>
        </w:rPr>
        <w:t>（四）参与拟订教育系统组织、人事、机构编制管理的有关政策；负责师范类研究生、大中专毕业生招聘录用和就业指导工作；负责所属单位编制内教职工调配工作。</w:t>
      </w:r>
    </w:p>
    <w:p>
      <w:pPr>
        <w:spacing w:line="580" w:lineRule="exact"/>
        <w:ind w:firstLine="707" w:firstLineChars="221"/>
        <w:rPr>
          <w:rFonts w:eastAsia="仿宋_GB2312"/>
          <w:sz w:val="32"/>
          <w:szCs w:val="32"/>
        </w:rPr>
      </w:pPr>
      <w:r>
        <w:rPr>
          <w:rFonts w:hint="eastAsia" w:eastAsia="仿宋_GB2312"/>
          <w:sz w:val="32"/>
          <w:szCs w:val="32"/>
        </w:rPr>
        <w:t>（五）统筹规划和协调指导全区学校布局规划、校舍建设、电化教育和教学仪器设备、实训基地建设、校企合作、图书资料的配备与管理、实验室建设及后勤管理服务工作。</w:t>
      </w:r>
    </w:p>
    <w:p>
      <w:pPr>
        <w:spacing w:line="580" w:lineRule="exact"/>
        <w:ind w:firstLine="707" w:firstLineChars="221"/>
        <w:rPr>
          <w:rFonts w:eastAsia="仿宋_GB2312"/>
          <w:sz w:val="32"/>
          <w:szCs w:val="32"/>
        </w:rPr>
      </w:pPr>
      <w:r>
        <w:rPr>
          <w:rFonts w:hint="eastAsia" w:eastAsia="仿宋_GB2312"/>
          <w:sz w:val="32"/>
          <w:szCs w:val="32"/>
        </w:rPr>
        <w:t>（六）管理全区各级各类学历教育及其招生考试工作，协调编制全区初中段及以下教育招生计划，审查上报高中段教育招生计划；负责初中段及以下学校教育的学籍管理工作。</w:t>
      </w:r>
    </w:p>
    <w:p>
      <w:pPr>
        <w:spacing w:line="580" w:lineRule="exact"/>
        <w:ind w:firstLine="707" w:firstLineChars="221"/>
        <w:rPr>
          <w:rFonts w:eastAsia="仿宋_GB2312"/>
          <w:sz w:val="32"/>
          <w:szCs w:val="32"/>
        </w:rPr>
      </w:pPr>
      <w:r>
        <w:rPr>
          <w:rFonts w:hint="eastAsia" w:eastAsia="仿宋_GB2312"/>
          <w:sz w:val="32"/>
          <w:szCs w:val="32"/>
        </w:rPr>
        <w:t>（七）组织、指导教育科研、教学研究和教育学术团体工作，配合有关部门推广教育科研成果。</w:t>
      </w:r>
    </w:p>
    <w:p>
      <w:pPr>
        <w:spacing w:line="580" w:lineRule="exact"/>
        <w:ind w:firstLine="707" w:firstLineChars="221"/>
        <w:rPr>
          <w:rFonts w:eastAsia="仿宋_GB2312"/>
          <w:sz w:val="32"/>
          <w:szCs w:val="32"/>
        </w:rPr>
      </w:pPr>
      <w:r>
        <w:rPr>
          <w:rFonts w:hint="eastAsia" w:eastAsia="仿宋_GB2312"/>
          <w:sz w:val="32"/>
          <w:szCs w:val="32"/>
        </w:rPr>
        <w:t>（八）负责教育基本信息的统计、分析、发布及信息系统的开发和建设工作；指导全区各级各类学校体育、卫生健康、艺术教育、国防教育、心理健康教育和人口教育工作。</w:t>
      </w:r>
    </w:p>
    <w:p>
      <w:pPr>
        <w:spacing w:line="580" w:lineRule="exact"/>
        <w:ind w:firstLine="707" w:firstLineChars="221"/>
        <w:rPr>
          <w:rFonts w:eastAsia="仿宋_GB2312"/>
          <w:sz w:val="32"/>
          <w:szCs w:val="32"/>
        </w:rPr>
      </w:pPr>
      <w:r>
        <w:rPr>
          <w:rFonts w:hint="eastAsia" w:eastAsia="仿宋_GB2312"/>
          <w:sz w:val="32"/>
          <w:szCs w:val="32"/>
        </w:rPr>
        <w:t>（九）负责全区教育对外交流与合作工作以及与港、澳、台地区的教育交流与合作工作，管理全区教育系统出国留学和接受外国留学生、中外合作办学工作。</w:t>
      </w:r>
    </w:p>
    <w:p>
      <w:pPr>
        <w:spacing w:line="580" w:lineRule="exact"/>
        <w:ind w:firstLine="707" w:firstLineChars="221"/>
        <w:rPr>
          <w:rFonts w:eastAsia="仿宋_GB2312"/>
          <w:sz w:val="32"/>
          <w:szCs w:val="32"/>
        </w:rPr>
      </w:pPr>
      <w:r>
        <w:rPr>
          <w:rFonts w:hint="eastAsia" w:eastAsia="仿宋_GB2312"/>
          <w:sz w:val="32"/>
          <w:szCs w:val="32"/>
        </w:rPr>
        <w:t>（十）会同有关部门指导学校党的建设、思想政治工作和精神文明建设；指导学校的安全保卫工作。</w:t>
      </w:r>
    </w:p>
    <w:p>
      <w:pPr>
        <w:spacing w:line="580" w:lineRule="exact"/>
        <w:ind w:firstLine="707" w:firstLineChars="221"/>
        <w:rPr>
          <w:rFonts w:eastAsia="仿宋_GB2312"/>
          <w:sz w:val="32"/>
          <w:szCs w:val="32"/>
        </w:rPr>
      </w:pPr>
      <w:r>
        <w:rPr>
          <w:rFonts w:hint="eastAsia" w:eastAsia="仿宋_GB2312"/>
          <w:sz w:val="32"/>
          <w:szCs w:val="32"/>
        </w:rPr>
        <w:t>（十一）协助区委组织部管理所属单位领导班子，提出充实、调整、任免意见；指导所属单位党的组织建设，做好党员的教育、发展和管理工作；负责所属单位的稳定工作。</w:t>
      </w:r>
    </w:p>
    <w:p>
      <w:pPr>
        <w:spacing w:line="580" w:lineRule="exact"/>
        <w:ind w:firstLine="707" w:firstLineChars="221"/>
        <w:rPr>
          <w:rFonts w:eastAsia="仿宋_GB2312"/>
          <w:sz w:val="32"/>
          <w:szCs w:val="32"/>
        </w:rPr>
      </w:pPr>
      <w:r>
        <w:rPr>
          <w:rFonts w:hint="eastAsia" w:eastAsia="仿宋_GB2312"/>
          <w:sz w:val="32"/>
          <w:szCs w:val="32"/>
        </w:rPr>
        <w:t>（十二）负责全区语言文字管理工作。</w:t>
      </w:r>
    </w:p>
    <w:p>
      <w:pPr>
        <w:spacing w:line="580" w:lineRule="exact"/>
        <w:ind w:firstLine="707" w:firstLineChars="221"/>
        <w:rPr>
          <w:rFonts w:eastAsia="黑体"/>
          <w:sz w:val="32"/>
          <w:szCs w:val="32"/>
        </w:rPr>
      </w:pPr>
      <w:r>
        <w:rPr>
          <w:rFonts w:hint="eastAsia" w:eastAsia="仿宋_GB2312"/>
          <w:sz w:val="32"/>
          <w:szCs w:val="32"/>
        </w:rPr>
        <w:t>（十三）承办区委、区政府交办的其他事项。</w:t>
      </w:r>
    </w:p>
    <w:p>
      <w:pPr>
        <w:numPr>
          <w:ilvl w:val="0"/>
          <w:numId w:val="1"/>
        </w:numPr>
        <w:spacing w:line="580" w:lineRule="exact"/>
        <w:ind w:hanging="11"/>
        <w:rPr>
          <w:rFonts w:ascii="黑体" w:eastAsia="黑体"/>
          <w:b/>
          <w:sz w:val="30"/>
          <w:szCs w:val="30"/>
        </w:rPr>
      </w:pPr>
      <w:r>
        <w:rPr>
          <w:rFonts w:hint="eastAsia" w:ascii="黑体" w:eastAsia="黑体"/>
          <w:sz w:val="32"/>
          <w:szCs w:val="32"/>
        </w:rPr>
        <w:t>机构设置</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eastAsia="仿宋_GB2312"/>
          <w:sz w:val="32"/>
          <w:szCs w:val="32"/>
        </w:rPr>
      </w:pPr>
      <w:r>
        <w:rPr>
          <w:rFonts w:hint="eastAsia" w:eastAsia="仿宋_GB2312"/>
          <w:sz w:val="32"/>
          <w:szCs w:val="32"/>
        </w:rPr>
        <w:t>从决算单位构成看，</w:t>
      </w:r>
      <w:r>
        <w:rPr>
          <w:rFonts w:hint="eastAsia" w:eastAsia="仿宋_GB2312"/>
          <w:sz w:val="32"/>
          <w:szCs w:val="32"/>
          <w:lang w:eastAsia="zh-CN"/>
        </w:rPr>
        <w:t>淄博市临淄区教育</w:t>
      </w:r>
      <w:r>
        <w:rPr>
          <w:rFonts w:hint="eastAsia" w:eastAsia="仿宋_GB2312"/>
          <w:sz w:val="32"/>
          <w:szCs w:val="32"/>
        </w:rPr>
        <w:t>局部门决算包括：局本级决算、局属事业单位决算。</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eastAsia="仿宋_GB2312"/>
          <w:sz w:val="32"/>
          <w:szCs w:val="32"/>
        </w:rPr>
      </w:pPr>
      <w:r>
        <w:rPr>
          <w:rFonts w:hint="eastAsia" w:eastAsia="仿宋_GB2312"/>
          <w:sz w:val="32"/>
          <w:szCs w:val="32"/>
        </w:rPr>
        <w:t>纳入</w:t>
      </w:r>
      <w:r>
        <w:rPr>
          <w:rFonts w:hint="eastAsia" w:eastAsia="仿宋_GB2312"/>
          <w:sz w:val="32"/>
          <w:szCs w:val="32"/>
          <w:lang w:eastAsia="zh-CN"/>
        </w:rPr>
        <w:t>临淄区教育</w:t>
      </w:r>
      <w:r>
        <w:rPr>
          <w:rFonts w:hint="eastAsia" w:eastAsia="仿宋_GB2312"/>
          <w:sz w:val="32"/>
          <w:szCs w:val="32"/>
        </w:rPr>
        <w:t>局201</w:t>
      </w:r>
      <w:r>
        <w:rPr>
          <w:rFonts w:hint="eastAsia" w:eastAsia="仿宋_GB2312"/>
          <w:sz w:val="32"/>
          <w:szCs w:val="32"/>
          <w:lang w:val="en-US" w:eastAsia="zh-CN"/>
        </w:rPr>
        <w:t>8</w:t>
      </w:r>
      <w:r>
        <w:rPr>
          <w:rFonts w:hint="eastAsia" w:eastAsia="仿宋_GB2312"/>
          <w:sz w:val="32"/>
          <w:szCs w:val="32"/>
        </w:rPr>
        <w:t>年度部门决算编制范围的预算单位</w:t>
      </w:r>
      <w:r>
        <w:rPr>
          <w:rFonts w:hint="eastAsia" w:eastAsia="仿宋_GB2312"/>
          <w:sz w:val="32"/>
          <w:szCs w:val="32"/>
          <w:lang w:val="en-US" w:eastAsia="zh-CN"/>
        </w:rPr>
        <w:t>78</w:t>
      </w:r>
      <w:r>
        <w:rPr>
          <w:rFonts w:hint="eastAsia" w:eastAsia="仿宋_GB2312"/>
          <w:sz w:val="32"/>
          <w:szCs w:val="32"/>
        </w:rPr>
        <w:t>个，包括：</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eastAsia="仿宋_GB2312"/>
          <w:sz w:val="32"/>
          <w:szCs w:val="32"/>
        </w:rPr>
      </w:pPr>
      <w:r>
        <w:rPr>
          <w:rFonts w:hint="eastAsia" w:eastAsia="仿宋_GB2312"/>
          <w:sz w:val="32"/>
          <w:szCs w:val="32"/>
        </w:rPr>
        <w:t>1、</w:t>
      </w:r>
      <w:r>
        <w:rPr>
          <w:rFonts w:hint="eastAsia" w:eastAsia="仿宋_GB2312"/>
          <w:sz w:val="32"/>
          <w:szCs w:val="32"/>
          <w:lang w:eastAsia="zh-CN"/>
        </w:rPr>
        <w:t>临淄区教育</w:t>
      </w:r>
      <w:r>
        <w:rPr>
          <w:rFonts w:hint="eastAsia" w:eastAsia="仿宋_GB2312"/>
          <w:sz w:val="32"/>
          <w:szCs w:val="32"/>
        </w:rPr>
        <w:t>局机关</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eastAsia="仿宋_GB2312"/>
          <w:sz w:val="32"/>
          <w:szCs w:val="32"/>
          <w:lang w:val="en-US" w:eastAsia="zh-CN"/>
        </w:rPr>
      </w:pPr>
      <w:r>
        <w:rPr>
          <w:rFonts w:hint="eastAsia" w:eastAsia="仿宋_GB2312"/>
          <w:sz w:val="32"/>
          <w:szCs w:val="32"/>
          <w:lang w:val="en-US" w:eastAsia="zh-CN"/>
        </w:rPr>
        <w:t>2、</w:t>
      </w:r>
      <w:r>
        <w:rPr>
          <w:rFonts w:hint="eastAsia" w:eastAsia="仿宋_GB2312"/>
          <w:sz w:val="32"/>
          <w:szCs w:val="32"/>
        </w:rPr>
        <w:t>实验小学</w:t>
      </w:r>
      <w:r>
        <w:rPr>
          <w:rFonts w:hint="eastAsia" w:eastAsia="仿宋_GB2312"/>
          <w:sz w:val="32"/>
          <w:szCs w:val="32"/>
          <w:lang w:val="en-US" w:eastAsia="zh-CN"/>
        </w:rPr>
        <w:t>(非独立核算）</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eastAsia="仿宋_GB2312"/>
          <w:sz w:val="32"/>
          <w:szCs w:val="32"/>
        </w:rPr>
      </w:pPr>
      <w:r>
        <w:rPr>
          <w:rFonts w:hint="eastAsia" w:eastAsia="仿宋_GB2312"/>
          <w:sz w:val="32"/>
          <w:szCs w:val="32"/>
        </w:rPr>
        <w:t>3</w:t>
      </w:r>
      <w:r>
        <w:rPr>
          <w:rFonts w:hint="eastAsia" w:eastAsia="仿宋_GB2312"/>
          <w:sz w:val="32"/>
          <w:szCs w:val="32"/>
          <w:lang w:eastAsia="zh-CN"/>
        </w:rPr>
        <w:t>、</w:t>
      </w:r>
      <w:r>
        <w:rPr>
          <w:rFonts w:hint="eastAsia" w:eastAsia="仿宋_GB2312"/>
          <w:sz w:val="32"/>
          <w:szCs w:val="32"/>
        </w:rPr>
        <w:t>实验小学差额</w:t>
      </w:r>
      <w:r>
        <w:rPr>
          <w:rFonts w:hint="eastAsia" w:eastAsia="仿宋_GB2312"/>
          <w:sz w:val="32"/>
          <w:szCs w:val="32"/>
          <w:lang w:val="en-US" w:eastAsia="zh-CN"/>
        </w:rPr>
        <w:t>(非独立核算）</w:t>
      </w:r>
    </w:p>
    <w:p>
      <w:pPr>
        <w:keepNext w:val="0"/>
        <w:keepLines w:val="0"/>
        <w:pageBreakBefore w:val="0"/>
        <w:widowControl w:val="0"/>
        <w:kinsoku/>
        <w:wordWrap/>
        <w:overflowPunct/>
        <w:topLinePunct w:val="0"/>
        <w:autoSpaceDE/>
        <w:autoSpaceDN/>
        <w:bidi w:val="0"/>
        <w:adjustRightInd/>
        <w:spacing w:line="540" w:lineRule="exact"/>
        <w:ind w:firstLine="707" w:firstLineChars="221"/>
        <w:textAlignment w:val="auto"/>
        <w:rPr>
          <w:rFonts w:hint="eastAsia" w:ascii="仿宋_GB2312" w:hAnsi="仿宋_GB2312" w:eastAsia="仿宋_GB2312" w:cs="仿宋_GB2312"/>
          <w:color w:val="auto"/>
          <w:sz w:val="32"/>
          <w:szCs w:val="32"/>
        </w:rPr>
      </w:pPr>
      <w:r>
        <w:rPr>
          <w:rFonts w:hint="eastAsia" w:eastAsia="仿宋_GB2312"/>
          <w:sz w:val="32"/>
          <w:szCs w:val="32"/>
        </w:rPr>
        <w:t>4</w:t>
      </w:r>
      <w:r>
        <w:rPr>
          <w:rFonts w:hint="eastAsia" w:eastAsia="仿宋_GB2312"/>
          <w:sz w:val="32"/>
          <w:szCs w:val="32"/>
          <w:lang w:eastAsia="zh-CN"/>
        </w:rPr>
        <w:t>、</w:t>
      </w:r>
      <w:r>
        <w:rPr>
          <w:rFonts w:hint="eastAsia" w:eastAsia="仿宋_GB2312"/>
          <w:sz w:val="32"/>
          <w:szCs w:val="32"/>
        </w:rPr>
        <w:t>稷下小学</w:t>
      </w:r>
      <w:r>
        <w:rPr>
          <w:rFonts w:hint="eastAsia" w:eastAsia="仿宋_GB2312"/>
          <w:sz w:val="32"/>
          <w:szCs w:val="32"/>
          <w:lang w:val="en-US" w:eastAsia="zh-CN"/>
        </w:rPr>
        <w:t>(非独立核</w:t>
      </w:r>
      <w:r>
        <w:rPr>
          <w:rFonts w:hint="eastAsia" w:ascii="仿宋_GB2312" w:hAnsi="仿宋_GB2312" w:eastAsia="仿宋_GB2312" w:cs="仿宋_GB2312"/>
          <w:color w:val="auto"/>
          <w:sz w:val="32"/>
          <w:szCs w:val="32"/>
          <w:lang w:val="en-US" w:eastAsia="zh-CN"/>
        </w:rPr>
        <w:t>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稷下小学差额</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金茵小学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花园小学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遄台小学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福山小学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虎山小学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康平小学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闻韶小学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雪宫小学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晏婴小学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凤凰镇路山小学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凤凰镇召口小学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凤凰镇北金小学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凤凰镇南坞小学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凤凰镇张王小学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凤凰镇梧台小学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敬仲一小</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敬仲二小</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稷下街道中心小学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稷下街道安次小学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稷下街道董褚小学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齐陵街道第二中学（小学）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齐陵街道中心小学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金岭回族镇中心小学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朱台镇高阳小学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朱台镇桐林小学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朱台镇西单小学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辛店街道大武学校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辛店街道管仲小学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齐都镇中心小学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齐都镇桓公小学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皇城镇第二中学（小学）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皇城镇中心小学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皇城镇六端小学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金山镇王寨小学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金山镇边河小学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太公小学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一中</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二中</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三中</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实验中学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八中</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遄台中学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蜂山学校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金山中学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雪宫中学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凤凰镇中心学校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凤凰镇召口中学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敬仲镇中心校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敬仲中学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稷下街道中心校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齐陵街道中心校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齐陵街道第一中学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齐陵街道第二中学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金岭回族镇中心校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金岭回族中学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朱台镇高阳中学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辛店街道中心校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齐都镇中心校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皇城镇第一中学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皇城镇第二中学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金山镇中心校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金山镇边河中学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临淄中学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淄博工业学校</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特教中心</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教育中心</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淄江中学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玄龄小学</w:t>
      </w:r>
      <w:r>
        <w:rPr>
          <w:rFonts w:hint="eastAsia" w:ascii="仿宋_GB2312" w:hAnsi="仿宋_GB2312" w:eastAsia="仿宋_GB2312" w:cs="仿宋_GB2312"/>
          <w:color w:val="auto"/>
          <w:sz w:val="32"/>
          <w:szCs w:val="32"/>
          <w:lang w:val="en-US" w:eastAsia="zh-CN"/>
        </w:rPr>
        <w:t>(非独立核算）</w:t>
      </w:r>
    </w:p>
    <w:p>
      <w:pPr>
        <w:keepNext w:val="0"/>
        <w:keepLines w:val="0"/>
        <w:pageBreakBefore w:val="0"/>
        <w:widowControl w:val="0"/>
        <w:kinsoku/>
        <w:wordWrap/>
        <w:overflowPunct/>
        <w:topLinePunct w:val="0"/>
        <w:autoSpaceDE/>
        <w:autoSpaceDN/>
        <w:bidi w:val="0"/>
        <w:adjustRightInd/>
        <w:snapToGrid w:val="0"/>
        <w:spacing w:line="540" w:lineRule="exact"/>
        <w:ind w:firstLine="547" w:firstLineChars="171"/>
        <w:textAlignment w:val="auto"/>
        <w:rPr>
          <w:rFonts w:ascii="仿宋_GB2312" w:hAnsi="宋体" w:eastAsia="仿宋_GB2312" w:cs="Courier New"/>
          <w:sz w:val="32"/>
          <w:szCs w:val="32"/>
        </w:rPr>
      </w:pPr>
      <w:r>
        <w:rPr>
          <w:rFonts w:hint="eastAsia" w:ascii="仿宋_GB2312" w:hAnsi="仿宋_GB2312" w:eastAsia="仿宋_GB2312" w:cs="仿宋_GB2312"/>
          <w:color w:val="auto"/>
          <w:sz w:val="32"/>
          <w:szCs w:val="32"/>
        </w:rPr>
        <w:t>78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实验幼儿园</w:t>
      </w:r>
      <w:r>
        <w:rPr>
          <w:rFonts w:hint="eastAsia" w:ascii="仿宋_GB2312" w:hAnsi="仿宋_GB2312" w:eastAsia="仿宋_GB2312" w:cs="仿宋_GB2312"/>
          <w:color w:val="auto"/>
          <w:sz w:val="32"/>
          <w:szCs w:val="32"/>
          <w:lang w:val="en-US" w:eastAsia="zh-CN"/>
        </w:rPr>
        <w:t>(非独立核算）</w:t>
      </w: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rPr>
          <w:rFonts w:ascii="仿宋_GB2312" w:hAnsi="宋体" w:eastAsia="仿宋_GB2312" w:cs="Courier New"/>
          <w:sz w:val="32"/>
          <w:szCs w:val="32"/>
        </w:rPr>
      </w:pPr>
    </w:p>
    <w:p>
      <w:pPr>
        <w:rPr>
          <w:rFonts w:ascii="黑体" w:eastAsia="黑体"/>
          <w:b/>
          <w:sz w:val="48"/>
          <w:szCs w:val="48"/>
        </w:rPr>
      </w:pPr>
    </w:p>
    <w:p>
      <w:pPr>
        <w:rPr>
          <w:rFonts w:ascii="黑体" w:eastAsia="黑体"/>
          <w:b/>
          <w:sz w:val="48"/>
          <w:szCs w:val="48"/>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ind w:left="1041" w:leftChars="372" w:hanging="260" w:hangingChars="50"/>
        <w:jc w:val="center"/>
        <w:rPr>
          <w:rFonts w:ascii="黑体" w:eastAsia="黑体"/>
          <w:sz w:val="52"/>
          <w:szCs w:val="52"/>
        </w:rPr>
      </w:pPr>
      <w:r>
        <w:rPr>
          <w:rFonts w:hint="eastAsia" w:ascii="黑体" w:eastAsia="黑体"/>
          <w:sz w:val="52"/>
          <w:szCs w:val="52"/>
        </w:rPr>
        <w:t>2018年度部门决算表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hint="eastAsia" w:ascii="仿宋_GB2312" w:eastAsia="仿宋_GB2312"/>
          <w:b/>
          <w:sz w:val="30"/>
          <w:szCs w:val="30"/>
        </w:rPr>
      </w:pPr>
      <w:bookmarkStart w:id="0" w:name="RANGE!A2:D28"/>
    </w:p>
    <w:p>
      <w:pPr>
        <w:jc w:val="center"/>
        <w:rPr>
          <w:rFonts w:ascii="仿宋_GB2312" w:hAnsi="宋体" w:eastAsia="仿宋_GB2312" w:cs="宋体"/>
          <w:kern w:val="0"/>
          <w:sz w:val="30"/>
          <w:szCs w:val="30"/>
        </w:rPr>
      </w:pPr>
      <w:r>
        <w:rPr>
          <w:rFonts w:hint="eastAsia" w:ascii="仿宋_GB2312" w:eastAsia="仿宋_GB2312"/>
          <w:b/>
          <w:sz w:val="30"/>
          <w:szCs w:val="30"/>
          <w:lang w:eastAsia="zh-CN"/>
        </w:rPr>
        <w:t>表</w:t>
      </w:r>
      <w:r>
        <w:rPr>
          <w:rFonts w:hint="eastAsia" w:ascii="仿宋_GB2312" w:eastAsia="仿宋_GB2312"/>
          <w:b/>
          <w:sz w:val="30"/>
          <w:szCs w:val="30"/>
          <w:lang w:val="en-US" w:eastAsia="zh-CN"/>
        </w:rPr>
        <w:t>1、</w:t>
      </w:r>
      <w:r>
        <w:rPr>
          <w:rFonts w:hint="eastAsia" w:ascii="仿宋_GB2312" w:eastAsia="仿宋_GB2312"/>
          <w:b/>
          <w:sz w:val="30"/>
          <w:szCs w:val="30"/>
        </w:rPr>
        <w:t>收入支出决算总表</w:t>
      </w:r>
      <w:bookmarkEnd w:id="0"/>
    </w:p>
    <w:p>
      <w:pPr>
        <w:shd w:val="clear"/>
        <w:spacing w:line="380" w:lineRule="exact"/>
        <w:jc w:val="left"/>
        <w:rPr>
          <w:rFonts w:ascii="仿宋_GB2312" w:hAnsi="宋体" w:eastAsia="仿宋_GB2312" w:cs="宋体"/>
          <w:kern w:val="0"/>
          <w:szCs w:val="21"/>
        </w:rPr>
      </w:pPr>
      <w:r>
        <w:rPr>
          <w:rFonts w:hint="eastAsia" w:ascii="仿宋_GB2312" w:hAnsi="宋体" w:eastAsia="仿宋_GB2312" w:cs="宋体"/>
          <w:kern w:val="0"/>
          <w:szCs w:val="21"/>
        </w:rPr>
        <w:t>部门：淄博市临淄区教育局（汇总）</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金额单位：万元</w:t>
      </w:r>
    </w:p>
    <w:tbl>
      <w:tblPr>
        <w:tblStyle w:val="6"/>
        <w:tblW w:w="5000" w:type="pct"/>
        <w:tblInd w:w="0" w:type="dxa"/>
        <w:tblLayout w:type="fixed"/>
        <w:tblCellMar>
          <w:top w:w="0" w:type="dxa"/>
          <w:left w:w="108" w:type="dxa"/>
          <w:bottom w:w="0" w:type="dxa"/>
          <w:right w:w="108" w:type="dxa"/>
        </w:tblCellMar>
      </w:tblPr>
      <w:tblGrid>
        <w:gridCol w:w="2184"/>
        <w:gridCol w:w="630"/>
        <w:gridCol w:w="1252"/>
        <w:gridCol w:w="2755"/>
        <w:gridCol w:w="607"/>
        <w:gridCol w:w="1094"/>
      </w:tblGrid>
      <w:tr>
        <w:tblPrEx>
          <w:tblCellMar>
            <w:top w:w="0" w:type="dxa"/>
            <w:left w:w="108" w:type="dxa"/>
            <w:bottom w:w="0" w:type="dxa"/>
            <w:right w:w="108" w:type="dxa"/>
          </w:tblCellMar>
        </w:tblPrEx>
        <w:trPr>
          <w:trHeight w:val="308" w:hRule="atLeast"/>
        </w:trPr>
        <w:tc>
          <w:tcPr>
            <w:tcW w:w="23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收入</w:t>
            </w:r>
          </w:p>
        </w:tc>
        <w:tc>
          <w:tcPr>
            <w:tcW w:w="2614" w:type="pct"/>
            <w:gridSpan w:val="3"/>
            <w:tcBorders>
              <w:top w:val="single" w:color="000000" w:sz="4" w:space="0"/>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支出</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行次</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金额</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项目</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行次</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金额</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栏次</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栏次</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　</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一、财政拨款收入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120555</w:t>
            </w:r>
            <w:r>
              <w:rPr>
                <w:rFonts w:hint="eastAsia" w:ascii="宋体" w:hAnsi="宋体" w:cs="Arial"/>
                <w:color w:val="000000"/>
                <w:kern w:val="0"/>
                <w:sz w:val="21"/>
                <w:szCs w:val="21"/>
              </w:rPr>
              <w:t>.3</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一、一般公共服务支出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28</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二、上级补助收入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二、外交支出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29</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三、事业收入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4624</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三、国防支出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30</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四、经营收入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四、公共安全支出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31</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五、附属单位上缴收入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五、教育支出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32</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124114</w:t>
            </w:r>
            <w:r>
              <w:rPr>
                <w:rFonts w:hint="eastAsia" w:ascii="宋体" w:hAnsi="宋体" w:cs="Arial"/>
                <w:color w:val="000000"/>
                <w:kern w:val="0"/>
                <w:sz w:val="21"/>
                <w:szCs w:val="21"/>
              </w:rPr>
              <w:t>.34</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六、其他收入</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6</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29</w:t>
            </w:r>
            <w:r>
              <w:rPr>
                <w:rFonts w:hint="eastAsia" w:ascii="宋体" w:hAnsi="宋体" w:cs="Arial"/>
                <w:color w:val="000000"/>
                <w:kern w:val="0"/>
                <w:sz w:val="21"/>
                <w:szCs w:val="21"/>
              </w:rPr>
              <w:t>.5</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六、科学技术支出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33</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7</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七、文化体育与传媒支出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34</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8</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八、社会保障和就业支出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35</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309</w:t>
            </w:r>
            <w:r>
              <w:rPr>
                <w:rFonts w:hint="eastAsia" w:ascii="宋体" w:hAnsi="宋体" w:cs="Arial"/>
                <w:color w:val="000000"/>
                <w:kern w:val="0"/>
                <w:sz w:val="21"/>
                <w:szCs w:val="21"/>
              </w:rPr>
              <w:t>.92</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9</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九、医疗卫生与计划生育支出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36</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10</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十、节能环保支出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37</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11</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十一、城乡社区支出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38</w:t>
            </w:r>
          </w:p>
        </w:tc>
        <w:tc>
          <w:tcPr>
            <w:tcW w:w="641" w:type="pct"/>
            <w:tcBorders>
              <w:top w:val="nil"/>
              <w:left w:val="nil"/>
              <w:bottom w:val="single" w:color="000000" w:sz="4" w:space="0"/>
              <w:right w:val="single" w:color="000000" w:sz="4" w:space="0"/>
            </w:tcBorders>
            <w:shd w:val="clear" w:color="auto" w:fill="auto"/>
            <w:noWrap/>
          </w:tcPr>
          <w:p>
            <w:pPr>
              <w:widowControl/>
              <w:shd w:val="clear"/>
              <w:jc w:val="right"/>
              <w:rPr>
                <w:sz w:val="21"/>
                <w:szCs w:val="21"/>
              </w:rPr>
            </w:pPr>
            <w:r>
              <w:rPr>
                <w:rFonts w:ascii="宋体" w:hAnsi="宋体" w:cs="Arial"/>
                <w:color w:val="000000"/>
                <w:kern w:val="0"/>
                <w:sz w:val="21"/>
                <w:szCs w:val="21"/>
              </w:rPr>
              <w:t>969</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12</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十二、农林水支出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39</w:t>
            </w:r>
          </w:p>
        </w:tc>
        <w:tc>
          <w:tcPr>
            <w:tcW w:w="641" w:type="pct"/>
            <w:tcBorders>
              <w:top w:val="nil"/>
              <w:left w:val="nil"/>
              <w:bottom w:val="single" w:color="000000" w:sz="4" w:space="0"/>
              <w:right w:val="single" w:color="000000" w:sz="4" w:space="0"/>
            </w:tcBorders>
            <w:shd w:val="clear" w:color="auto" w:fill="auto"/>
            <w:noWrap/>
          </w:tcPr>
          <w:p>
            <w:pPr>
              <w:widowControl/>
              <w:shd w:val="clear"/>
              <w:jc w:val="right"/>
              <w:rPr>
                <w:sz w:val="21"/>
                <w:szCs w:val="21"/>
              </w:rPr>
            </w:pPr>
            <w:r>
              <w:rPr>
                <w:sz w:val="21"/>
                <w:szCs w:val="21"/>
              </w:rPr>
              <w:t>54</w:t>
            </w:r>
            <w:r>
              <w:rPr>
                <w:rFonts w:hint="eastAsia"/>
                <w:sz w:val="21"/>
                <w:szCs w:val="21"/>
              </w:rPr>
              <w:t>.4</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13</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十三、交通运输支出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40</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14</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十四、资源勘探信息等支出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41</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15</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十五、商业服务业等支出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42</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16</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十六、金融支出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43</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17</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十七、援助其他地区支出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44</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18</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十八、国土海洋气象等支出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45</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19</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十九、住房保障支出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46</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1.22</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20</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二十、粮油物资储备支出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47</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0.00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21</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二十一、其他支出</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48</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149</w:t>
            </w:r>
            <w:r>
              <w:rPr>
                <w:rFonts w:hint="eastAsia" w:ascii="宋体" w:hAnsi="宋体" w:cs="Arial"/>
                <w:color w:val="000000"/>
                <w:kern w:val="0"/>
                <w:sz w:val="21"/>
                <w:szCs w:val="21"/>
              </w:rPr>
              <w:t>.27</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22</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49</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本年收入合计</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23</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125209</w:t>
            </w:r>
            <w:r>
              <w:rPr>
                <w:rFonts w:hint="eastAsia" w:ascii="宋体" w:hAnsi="宋体" w:cs="Arial"/>
                <w:color w:val="000000"/>
                <w:kern w:val="0"/>
                <w:sz w:val="21"/>
                <w:szCs w:val="21"/>
              </w:rPr>
              <w:t>.5</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本年支出合计</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50</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125598</w:t>
            </w:r>
            <w:r>
              <w:rPr>
                <w:rFonts w:hint="eastAsia" w:ascii="宋体" w:hAnsi="宋体" w:cs="Arial"/>
                <w:color w:val="000000"/>
                <w:kern w:val="0"/>
                <w:sz w:val="21"/>
                <w:szCs w:val="21"/>
              </w:rPr>
              <w:t>.81</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用事业基金弥补收支差额</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24</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733</w:t>
            </w:r>
            <w:r>
              <w:rPr>
                <w:rFonts w:hint="eastAsia" w:ascii="宋体" w:hAnsi="宋体" w:cs="Arial"/>
                <w:color w:val="000000"/>
                <w:kern w:val="0"/>
                <w:sz w:val="21"/>
                <w:szCs w:val="21"/>
              </w:rPr>
              <w:t>.48</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结余分配</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51</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354</w:t>
            </w:r>
            <w:r>
              <w:rPr>
                <w:rFonts w:hint="eastAsia" w:ascii="宋体" w:hAnsi="宋体" w:cs="Arial"/>
                <w:color w:val="000000"/>
                <w:kern w:val="0"/>
                <w:sz w:val="21"/>
                <w:szCs w:val="21"/>
              </w:rPr>
              <w:t>.22</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年初结转和结余</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25</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11.50</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年末结转和结余</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52</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1.50</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26</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left"/>
              <w:rPr>
                <w:rFonts w:ascii="宋体" w:hAnsi="宋体" w:cs="Arial"/>
                <w:color w:val="000000"/>
                <w:kern w:val="0"/>
                <w:sz w:val="21"/>
                <w:szCs w:val="21"/>
              </w:rPr>
            </w:pPr>
            <w:r>
              <w:rPr>
                <w:rFonts w:hint="eastAsia" w:ascii="宋体" w:hAnsi="宋体" w:cs="Arial"/>
                <w:color w:val="000000"/>
                <w:kern w:val="0"/>
                <w:sz w:val="21"/>
                <w:szCs w:val="21"/>
              </w:rPr>
              <w:t>　</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53</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hint="eastAsia" w:ascii="宋体" w:hAnsi="宋体" w:cs="Arial"/>
                <w:color w:val="000000"/>
                <w:kern w:val="0"/>
                <w:sz w:val="21"/>
                <w:szCs w:val="21"/>
              </w:rPr>
              <w:t>　</w:t>
            </w:r>
          </w:p>
        </w:tc>
      </w:tr>
      <w:tr>
        <w:tblPrEx>
          <w:tblCellMar>
            <w:top w:w="0" w:type="dxa"/>
            <w:left w:w="108" w:type="dxa"/>
            <w:bottom w:w="0" w:type="dxa"/>
            <w:right w:w="108" w:type="dxa"/>
          </w:tblCellMar>
        </w:tblPrEx>
        <w:trPr>
          <w:trHeight w:val="308" w:hRule="atLeast"/>
        </w:trPr>
        <w:tc>
          <w:tcPr>
            <w:tcW w:w="1281" w:type="pct"/>
            <w:tcBorders>
              <w:top w:val="nil"/>
              <w:left w:val="single" w:color="000000" w:sz="4" w:space="0"/>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总计</w:t>
            </w:r>
          </w:p>
        </w:tc>
        <w:tc>
          <w:tcPr>
            <w:tcW w:w="369"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27</w:t>
            </w:r>
          </w:p>
        </w:tc>
        <w:tc>
          <w:tcPr>
            <w:tcW w:w="734"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125954</w:t>
            </w:r>
            <w:r>
              <w:rPr>
                <w:rFonts w:hint="eastAsia" w:ascii="宋体" w:hAnsi="宋体" w:cs="Arial"/>
                <w:color w:val="000000"/>
                <w:kern w:val="0"/>
                <w:sz w:val="21"/>
                <w:szCs w:val="21"/>
              </w:rPr>
              <w:t>.54</w:t>
            </w:r>
          </w:p>
        </w:tc>
        <w:tc>
          <w:tcPr>
            <w:tcW w:w="161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总计</w:t>
            </w:r>
          </w:p>
        </w:tc>
        <w:tc>
          <w:tcPr>
            <w:tcW w:w="356" w:type="pct"/>
            <w:tcBorders>
              <w:top w:val="nil"/>
              <w:left w:val="nil"/>
              <w:bottom w:val="single" w:color="000000" w:sz="4" w:space="0"/>
              <w:right w:val="single" w:color="000000" w:sz="4" w:space="0"/>
            </w:tcBorders>
            <w:shd w:val="clear" w:color="auto" w:fill="auto"/>
            <w:noWrap/>
            <w:vAlign w:val="center"/>
          </w:tcPr>
          <w:p>
            <w:pPr>
              <w:widowControl/>
              <w:shd w:val="clear"/>
              <w:jc w:val="center"/>
              <w:rPr>
                <w:rFonts w:ascii="宋体" w:hAnsi="宋体" w:cs="Arial"/>
                <w:color w:val="000000"/>
                <w:kern w:val="0"/>
                <w:sz w:val="21"/>
                <w:szCs w:val="21"/>
              </w:rPr>
            </w:pPr>
            <w:r>
              <w:rPr>
                <w:rFonts w:hint="eastAsia" w:ascii="宋体" w:hAnsi="宋体" w:cs="Arial"/>
                <w:color w:val="000000"/>
                <w:kern w:val="0"/>
                <w:sz w:val="21"/>
                <w:szCs w:val="21"/>
              </w:rPr>
              <w:t>54</w:t>
            </w:r>
          </w:p>
        </w:tc>
        <w:tc>
          <w:tcPr>
            <w:tcW w:w="641" w:type="pct"/>
            <w:tcBorders>
              <w:top w:val="nil"/>
              <w:left w:val="nil"/>
              <w:bottom w:val="single" w:color="000000" w:sz="4" w:space="0"/>
              <w:right w:val="single" w:color="000000" w:sz="4" w:space="0"/>
            </w:tcBorders>
            <w:shd w:val="clear" w:color="auto" w:fill="auto"/>
            <w:noWrap/>
            <w:vAlign w:val="center"/>
          </w:tcPr>
          <w:p>
            <w:pPr>
              <w:widowControl/>
              <w:shd w:val="clear"/>
              <w:jc w:val="right"/>
              <w:rPr>
                <w:rFonts w:ascii="宋体" w:hAnsi="宋体" w:cs="Arial"/>
                <w:color w:val="000000"/>
                <w:kern w:val="0"/>
                <w:sz w:val="21"/>
                <w:szCs w:val="21"/>
              </w:rPr>
            </w:pPr>
            <w:r>
              <w:rPr>
                <w:rFonts w:ascii="宋体" w:hAnsi="宋体" w:cs="Arial"/>
                <w:color w:val="000000"/>
                <w:kern w:val="0"/>
                <w:sz w:val="21"/>
                <w:szCs w:val="21"/>
              </w:rPr>
              <w:t>125954</w:t>
            </w:r>
            <w:r>
              <w:rPr>
                <w:rFonts w:hint="eastAsia" w:ascii="宋体" w:hAnsi="宋体" w:cs="Arial"/>
                <w:color w:val="000000"/>
                <w:kern w:val="0"/>
                <w:sz w:val="21"/>
                <w:szCs w:val="21"/>
              </w:rPr>
              <w:t>.54</w:t>
            </w:r>
          </w:p>
        </w:tc>
      </w:tr>
    </w:tbl>
    <w:p>
      <w:pPr>
        <w:rPr>
          <w:rFonts w:ascii="黑体" w:eastAsia="黑体"/>
          <w:b/>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仿宋_GB2312" w:hAnsi="宋体" w:eastAsia="仿宋_GB2312"/>
          <w:sz w:val="20"/>
          <w:szCs w:val="20"/>
        </w:rPr>
        <w:t>注：本表反映部门本年度的总收支和年末结转结余情</w:t>
      </w:r>
    </w:p>
    <w:p>
      <w:pPr>
        <w:ind w:firstLine="300" w:firstLineChars="100"/>
        <w:jc w:val="center"/>
        <w:rPr>
          <w:rFonts w:ascii="仿宋_GB2312" w:hAnsi="宋体" w:eastAsia="仿宋_GB2312" w:cs="宋体"/>
          <w:kern w:val="0"/>
          <w:szCs w:val="21"/>
        </w:rPr>
      </w:pPr>
      <w:r>
        <w:rPr>
          <w:rFonts w:hint="eastAsia" w:ascii="仿宋_GB2312" w:eastAsia="仿宋_GB2312"/>
          <w:b/>
          <w:sz w:val="30"/>
          <w:szCs w:val="30"/>
          <w:lang w:eastAsia="zh-CN"/>
        </w:rPr>
        <w:t>表</w:t>
      </w:r>
      <w:r>
        <w:rPr>
          <w:rFonts w:hint="eastAsia" w:ascii="仿宋_GB2312" w:eastAsia="仿宋_GB2312"/>
          <w:b/>
          <w:sz w:val="30"/>
          <w:szCs w:val="30"/>
          <w:lang w:val="en-US" w:eastAsia="zh-CN"/>
        </w:rPr>
        <w:t>2、</w:t>
      </w:r>
      <w:r>
        <w:rPr>
          <w:rFonts w:hint="eastAsia" w:ascii="仿宋_GB2312" w:eastAsia="仿宋_GB2312"/>
          <w:b/>
          <w:sz w:val="30"/>
          <w:szCs w:val="30"/>
        </w:rPr>
        <w:t>收入决算表</w:t>
      </w:r>
    </w:p>
    <w:p>
      <w:pPr>
        <w:spacing w:line="3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 部门：淄博市临淄区教育局（汇总）</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金额单位：万元</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6"/>
        <w:gridCol w:w="436"/>
        <w:gridCol w:w="5716"/>
        <w:gridCol w:w="1671"/>
        <w:gridCol w:w="1611"/>
        <w:gridCol w:w="656"/>
        <w:gridCol w:w="1125"/>
        <w:gridCol w:w="657"/>
        <w:gridCol w:w="657"/>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trPr>
        <w:tc>
          <w:tcPr>
            <w:tcW w:w="2356" w:type="pct"/>
            <w:gridSpan w:val="4"/>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620"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583"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财政拨款收入</w:t>
            </w:r>
          </w:p>
        </w:tc>
        <w:tc>
          <w:tcPr>
            <w:tcW w:w="246"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上级补助收入</w:t>
            </w:r>
          </w:p>
        </w:tc>
        <w:tc>
          <w:tcPr>
            <w:tcW w:w="412"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事业收入</w:t>
            </w:r>
          </w:p>
        </w:tc>
        <w:tc>
          <w:tcPr>
            <w:tcW w:w="246"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经营收入</w:t>
            </w:r>
          </w:p>
        </w:tc>
        <w:tc>
          <w:tcPr>
            <w:tcW w:w="246"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附属单位上缴收入</w:t>
            </w:r>
          </w:p>
        </w:tc>
        <w:tc>
          <w:tcPr>
            <w:tcW w:w="287" w:type="pct"/>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91" w:type="pct"/>
            <w:gridSpan w:val="3"/>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支出功能分类科目编码</w:t>
            </w:r>
          </w:p>
        </w:tc>
        <w:tc>
          <w:tcPr>
            <w:tcW w:w="1864" w:type="pct"/>
            <w:vMerge w:val="restar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620"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583"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412"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87" w:type="pct"/>
            <w:vMerge w:val="continue"/>
            <w:shd w:val="clear" w:color="auto" w:fill="auto"/>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91" w:type="pct"/>
            <w:gridSpan w:val="3"/>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1864"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620"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583"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412"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87" w:type="pct"/>
            <w:vMerge w:val="continue"/>
            <w:shd w:val="clear" w:color="auto" w:fill="auto"/>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491" w:type="pct"/>
            <w:gridSpan w:val="3"/>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1864"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620"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583"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412"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46"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287" w:type="pct"/>
            <w:vMerge w:val="continue"/>
            <w:shd w:val="clear" w:color="auto" w:fill="auto"/>
            <w:vAlign w:val="center"/>
          </w:tcPr>
          <w:p>
            <w:pPr>
              <w:widowControl/>
              <w:jc w:val="left"/>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trPr>
        <w:tc>
          <w:tcPr>
            <w:tcW w:w="163" w:type="pct"/>
            <w:vMerge w:val="restar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163" w:type="pct"/>
            <w:vMerge w:val="restar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164" w:type="pct"/>
            <w:vMerge w:val="restar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864"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620"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83"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46"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12"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46"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46"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87" w:type="pc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blHeader/>
        </w:trPr>
        <w:tc>
          <w:tcPr>
            <w:tcW w:w="163"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163"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164" w:type="pct"/>
            <w:vMerge w:val="continue"/>
            <w:shd w:val="clear" w:color="auto" w:fill="auto"/>
            <w:vAlign w:val="center"/>
          </w:tcPr>
          <w:p>
            <w:pPr>
              <w:widowControl/>
              <w:jc w:val="left"/>
              <w:rPr>
                <w:rFonts w:hint="eastAsia" w:ascii="宋体" w:hAnsi="宋体" w:eastAsia="宋体" w:cs="宋体"/>
                <w:color w:val="000000"/>
                <w:kern w:val="0"/>
                <w:sz w:val="22"/>
                <w:szCs w:val="22"/>
              </w:rPr>
            </w:pPr>
          </w:p>
        </w:tc>
        <w:tc>
          <w:tcPr>
            <w:tcW w:w="1864" w:type="pct"/>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125,209.50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120,555.30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4,624.70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123,725.03</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119,070.83</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4,624.70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教育管理事务</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1,545.88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1,458.99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86.89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行政运行</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1,227.88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1,140.99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86.89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一般行政管理事务</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289.00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289.00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其他教育管理事务支出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普通教育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100,413.98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96,509.89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3,874.60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学前教育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3,326.26</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1,530.99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1,795.17</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小学教育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35,255.39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35,235.09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2050203</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初中教育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46,132.99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45,294.73</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835.43</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2050204</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高中教育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13,513.00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12,269.00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1,244.00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其他普通教育支出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2,186.34</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2,180.09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职业教育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11,797.59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11,380.40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417.19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2050302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中专教育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11,686.19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11,269.00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417.19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其他职业教育支出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成人教育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2050404</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成人广播电视教育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其他成人教育支出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特殊学校教育</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进修及培训</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1,566.88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1,320.86</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246.03</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教师进修</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1,556.88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1,310.86</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246.03</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其他进修及培训</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教育费附加安排的支出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2050904</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城市中小学教学设施</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2050905</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中等职业学校教学设施</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其他教育费附加安排的支出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社会保障和就业支出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抚恤</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死亡抚恤</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城乡社区支出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21208</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国有土地使用权出让收入及对应专项债务收入安排的支出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2120801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征地和拆迁补偿支出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农林水支出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扶贫</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2130599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其他扶贫支出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住房保障支出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住房改革支出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2210203</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购房补贴</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彩票公益金及对应专项债务收入安排的支出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2296003</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用于体育事业的彩票公益金支出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61.00</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1" w:type="pct"/>
            <w:gridSpan w:val="3"/>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1864" w:type="pct"/>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用于教育事业的彩票公益金支出</w:t>
            </w:r>
          </w:p>
        </w:tc>
        <w:tc>
          <w:tcPr>
            <w:tcW w:w="620"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88.28</w:t>
            </w:r>
          </w:p>
        </w:tc>
        <w:tc>
          <w:tcPr>
            <w:tcW w:w="583"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88.28</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12"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46"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87" w:type="pct"/>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注：本表反映部门本年度取得的各项收入情况。</w:t>
      </w:r>
    </w:p>
    <w:p>
      <w:pPr>
        <w:jc w:val="right"/>
        <w:rPr>
          <w:rFonts w:ascii="黑体" w:eastAsia="黑体"/>
          <w:b/>
          <w:sz w:val="30"/>
          <w:szCs w:val="30"/>
        </w:rPr>
      </w:pPr>
      <w:r>
        <w:rPr>
          <w:rFonts w:ascii="黑体" w:eastAsia="黑体"/>
          <w:b/>
          <w:sz w:val="30"/>
          <w:szCs w:val="30"/>
        </w:rPr>
        <w:br w:type="page"/>
      </w:r>
    </w:p>
    <w:p>
      <w:pPr>
        <w:jc w:val="center"/>
        <w:rPr>
          <w:rFonts w:ascii="仿宋_GB2312" w:hAnsi="宋体" w:eastAsia="仿宋_GB2312" w:cs="宋体"/>
          <w:kern w:val="0"/>
          <w:szCs w:val="21"/>
        </w:rPr>
      </w:pPr>
      <w:r>
        <w:rPr>
          <w:rFonts w:hint="eastAsia" w:ascii="仿宋_GB2312" w:hAnsi="宋体" w:eastAsia="仿宋_GB2312" w:cs="宋体"/>
          <w:b/>
          <w:kern w:val="0"/>
          <w:sz w:val="30"/>
          <w:szCs w:val="30"/>
          <w:lang w:eastAsia="zh-CN"/>
        </w:rPr>
        <w:t>表</w:t>
      </w:r>
      <w:r>
        <w:rPr>
          <w:rFonts w:hint="eastAsia" w:ascii="仿宋_GB2312" w:hAnsi="宋体" w:eastAsia="仿宋_GB2312" w:cs="宋体"/>
          <w:b/>
          <w:kern w:val="0"/>
          <w:sz w:val="30"/>
          <w:szCs w:val="30"/>
          <w:lang w:val="en-US" w:eastAsia="zh-CN"/>
        </w:rPr>
        <w:t>3、</w:t>
      </w:r>
      <w:r>
        <w:rPr>
          <w:rFonts w:hint="eastAsia" w:ascii="仿宋_GB2312" w:hAnsi="宋体" w:eastAsia="仿宋_GB2312" w:cs="宋体"/>
          <w:b/>
          <w:kern w:val="0"/>
          <w:sz w:val="30"/>
          <w:szCs w:val="30"/>
        </w:rPr>
        <w:t>支出决算表</w:t>
      </w:r>
    </w:p>
    <w:p>
      <w:pPr>
        <w:tabs>
          <w:tab w:val="right" w:pos="13958"/>
        </w:tabs>
        <w:spacing w:line="38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部门：淄博市临淄区教育局（汇总）                                                                                   金额单位：万元</w:t>
      </w:r>
    </w:p>
    <w:tbl>
      <w:tblPr>
        <w:tblStyle w:val="6"/>
        <w:tblW w:w="4998" w:type="pct"/>
        <w:tblInd w:w="0" w:type="dxa"/>
        <w:tblLayout w:type="autofit"/>
        <w:tblCellMar>
          <w:top w:w="0" w:type="dxa"/>
          <w:left w:w="108" w:type="dxa"/>
          <w:bottom w:w="0" w:type="dxa"/>
          <w:right w:w="108" w:type="dxa"/>
        </w:tblCellMar>
      </w:tblPr>
      <w:tblGrid>
        <w:gridCol w:w="488"/>
        <w:gridCol w:w="488"/>
        <w:gridCol w:w="491"/>
        <w:gridCol w:w="6201"/>
        <w:gridCol w:w="1474"/>
        <w:gridCol w:w="1474"/>
        <w:gridCol w:w="1350"/>
        <w:gridCol w:w="734"/>
        <w:gridCol w:w="734"/>
        <w:gridCol w:w="734"/>
      </w:tblGrid>
      <w:tr>
        <w:tblPrEx>
          <w:tblCellMar>
            <w:top w:w="0" w:type="dxa"/>
            <w:left w:w="108" w:type="dxa"/>
            <w:bottom w:w="0" w:type="dxa"/>
            <w:right w:w="108" w:type="dxa"/>
          </w:tblCellMar>
        </w:tblPrEx>
        <w:trPr>
          <w:trHeight w:val="308" w:hRule="atLeast"/>
          <w:tblHeader/>
        </w:trPr>
        <w:tc>
          <w:tcPr>
            <w:tcW w:w="2704" w:type="pct"/>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520" w:type="pct"/>
            <w:vMerge w:val="restar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520" w:type="pct"/>
            <w:vMerge w:val="restar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476" w:type="pct"/>
            <w:vMerge w:val="restar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c>
          <w:tcPr>
            <w:tcW w:w="259" w:type="pct"/>
            <w:vMerge w:val="restar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上缴上级支出</w:t>
            </w:r>
          </w:p>
        </w:tc>
        <w:tc>
          <w:tcPr>
            <w:tcW w:w="259" w:type="pct"/>
            <w:vMerge w:val="restart"/>
            <w:tcBorders>
              <w:top w:val="single" w:color="000000"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经营支出</w:t>
            </w:r>
          </w:p>
        </w:tc>
        <w:tc>
          <w:tcPr>
            <w:tcW w:w="259" w:type="pct"/>
            <w:vMerge w:val="restart"/>
            <w:tcBorders>
              <w:top w:val="single" w:color="000000"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blHeader/>
        </w:trPr>
        <w:tc>
          <w:tcPr>
            <w:tcW w:w="517"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支出功能分类科目编码</w:t>
            </w:r>
          </w:p>
        </w:tc>
        <w:tc>
          <w:tcPr>
            <w:tcW w:w="218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blHeader/>
        </w:trPr>
        <w:tc>
          <w:tcPr>
            <w:tcW w:w="517"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1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blHeader/>
        </w:trPr>
        <w:tc>
          <w:tcPr>
            <w:tcW w:w="517" w:type="pct"/>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18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5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08" w:hRule="atLeast"/>
          <w:tblHeader/>
        </w:trPr>
        <w:tc>
          <w:tcPr>
            <w:tcW w:w="17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17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17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308" w:hRule="atLeast"/>
          <w:tblHeader/>
        </w:trPr>
        <w:tc>
          <w:tcPr>
            <w:tcW w:w="1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1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1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rPr>
            </w:pP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125,598.82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103,160.23</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22,438.59</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124,114.34</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102,849.08</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21,265.26</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教育管理事务</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1,496.00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1,257.57</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238.42</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行政运行</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1,178.00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1,178.00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一般行政管理事务</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289.00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66.58</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222.42</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其他教育管理事务支出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普通教育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100,983.32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91,431.68</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9,551.63</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学前教育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3,338.17</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2,326.48</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1,011.69</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小学教育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35,270.99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32,116.39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3,154.60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2050203</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初中教育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46,205.71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41,818.78</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4,386.93</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2050204</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高中教育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13,983.19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13,321.59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661.61</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2050206</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化解农村义务教育债务支出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其他普通教育支出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2,185.26</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1,848.45</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336.81</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职业教育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11,544.14</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7,697.89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3,846.25</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2050302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中专教育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11,432.74</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7,697.89</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3,734.85</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其他职业教育支出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成人教育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2050404</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成人广播电视教育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其他成人教育支出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803.20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66.80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特殊学校教育</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803.20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66.80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进修及培训</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1,690.20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1,658.73</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31.46</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教师进修</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1,680.20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1,648.73</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31.46</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其他进修及培训</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教育费附加安排的支出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2050904</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城市中小学教学设施</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2050905</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中等职业学校教学设施</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其他教育费附加安排的支出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社会保障和就业支出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抚恤</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死亡抚恤</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城乡社区支出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21208</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国有土地使用权出让收入及对应专项债务收入安排的支出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2120801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征地和拆迁补偿支出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969.65</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农林水支出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扶贫</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2130599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其他扶贫支出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住房保障支出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住房改革支出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2210203</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购房补贴</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彩票公益金及对应专项债务收入安排的支出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149.28</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2296003</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用于体育事业的彩票公益金支出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61.00</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2296004</w:t>
            </w:r>
          </w:p>
        </w:tc>
        <w:tc>
          <w:tcPr>
            <w:tcW w:w="21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用于教育事业的彩票公益金支出</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88.28</w:t>
            </w: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88.28</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25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注：本表反映部门本年度各项支出情况。</w:t>
      </w:r>
    </w:p>
    <w:p>
      <w:pPr>
        <w:spacing w:line="380" w:lineRule="exact"/>
        <w:ind w:right="1204"/>
        <w:jc w:val="center"/>
        <w:rPr>
          <w:rFonts w:hint="eastAsia" w:ascii="仿宋_GB2312" w:hAnsi="宋体" w:eastAsia="仿宋_GB2312" w:cs="宋体"/>
          <w:b/>
          <w:kern w:val="0"/>
          <w:sz w:val="30"/>
          <w:szCs w:val="30"/>
        </w:rPr>
      </w:pPr>
    </w:p>
    <w:p>
      <w:pPr>
        <w:spacing w:line="380" w:lineRule="exact"/>
        <w:ind w:right="1204"/>
        <w:jc w:val="center"/>
        <w:rPr>
          <w:rFonts w:hint="eastAsia" w:ascii="仿宋_GB2312" w:hAnsi="宋体" w:eastAsia="仿宋_GB2312" w:cs="宋体"/>
          <w:b/>
          <w:kern w:val="0"/>
          <w:sz w:val="30"/>
          <w:szCs w:val="30"/>
        </w:rPr>
      </w:pPr>
    </w:p>
    <w:p>
      <w:pPr>
        <w:spacing w:line="380" w:lineRule="exact"/>
        <w:ind w:right="1204"/>
        <w:jc w:val="center"/>
        <w:rPr>
          <w:rFonts w:hint="eastAsia" w:ascii="仿宋_GB2312" w:hAnsi="宋体" w:eastAsia="仿宋_GB2312" w:cs="宋体"/>
          <w:b/>
          <w:kern w:val="0"/>
          <w:sz w:val="30"/>
          <w:szCs w:val="30"/>
        </w:rPr>
      </w:pPr>
    </w:p>
    <w:p>
      <w:pPr>
        <w:spacing w:line="380" w:lineRule="exact"/>
        <w:ind w:right="1204"/>
        <w:jc w:val="center"/>
        <w:rPr>
          <w:rFonts w:hint="eastAsia" w:ascii="仿宋_GB2312" w:hAnsi="宋体" w:eastAsia="仿宋_GB2312" w:cs="宋体"/>
          <w:b/>
          <w:kern w:val="0"/>
          <w:sz w:val="30"/>
          <w:szCs w:val="30"/>
        </w:rPr>
      </w:pPr>
    </w:p>
    <w:p>
      <w:pPr>
        <w:spacing w:line="380" w:lineRule="exact"/>
        <w:ind w:right="1204"/>
        <w:jc w:val="both"/>
        <w:rPr>
          <w:rFonts w:hint="eastAsia" w:ascii="仿宋_GB2312" w:hAnsi="宋体" w:eastAsia="仿宋_GB2312" w:cs="宋体"/>
          <w:b/>
          <w:kern w:val="0"/>
          <w:sz w:val="30"/>
          <w:szCs w:val="30"/>
        </w:rPr>
      </w:pPr>
    </w:p>
    <w:p>
      <w:pPr>
        <w:spacing w:line="380" w:lineRule="exact"/>
        <w:ind w:right="1204"/>
        <w:jc w:val="center"/>
        <w:rPr>
          <w:rFonts w:hint="eastAsia" w:ascii="仿宋_GB2312" w:hAnsi="宋体" w:eastAsia="仿宋_GB2312" w:cs="宋体"/>
          <w:b/>
          <w:kern w:val="0"/>
          <w:sz w:val="30"/>
          <w:szCs w:val="30"/>
          <w:lang w:eastAsia="zh-CN"/>
        </w:rPr>
      </w:pPr>
    </w:p>
    <w:p>
      <w:pPr>
        <w:spacing w:line="380" w:lineRule="exact"/>
        <w:ind w:right="1204"/>
        <w:jc w:val="center"/>
        <w:rPr>
          <w:rFonts w:ascii="仿宋_GB2312" w:hAnsi="宋体" w:eastAsia="仿宋_GB2312" w:cs="宋体"/>
          <w:kern w:val="0"/>
          <w:szCs w:val="21"/>
        </w:rPr>
      </w:pPr>
      <w:r>
        <w:rPr>
          <w:rFonts w:hint="eastAsia" w:ascii="仿宋_GB2312" w:hAnsi="宋体" w:eastAsia="仿宋_GB2312" w:cs="宋体"/>
          <w:b/>
          <w:kern w:val="0"/>
          <w:sz w:val="30"/>
          <w:szCs w:val="30"/>
          <w:lang w:eastAsia="zh-CN"/>
        </w:rPr>
        <w:t>表</w:t>
      </w:r>
      <w:r>
        <w:rPr>
          <w:rFonts w:hint="eastAsia" w:ascii="仿宋_GB2312" w:hAnsi="宋体" w:eastAsia="仿宋_GB2312" w:cs="宋体"/>
          <w:b/>
          <w:kern w:val="0"/>
          <w:sz w:val="30"/>
          <w:szCs w:val="30"/>
          <w:lang w:val="en-US" w:eastAsia="zh-CN"/>
        </w:rPr>
        <w:t>4、</w:t>
      </w:r>
      <w:r>
        <w:rPr>
          <w:rFonts w:hint="eastAsia" w:ascii="仿宋_GB2312" w:hAnsi="宋体" w:eastAsia="仿宋_GB2312" w:cs="宋体"/>
          <w:b/>
          <w:kern w:val="0"/>
          <w:sz w:val="30"/>
          <w:szCs w:val="30"/>
        </w:rPr>
        <w:t>财政拨款收入支出决算总表</w:t>
      </w:r>
    </w:p>
    <w:p>
      <w:pPr>
        <w:tabs>
          <w:tab w:val="right" w:pos="13958"/>
        </w:tabs>
        <w:spacing w:line="38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部门：淄博市临淄区教育局（汇总）                                                                                   金额单位：万元</w:t>
      </w:r>
    </w:p>
    <w:tbl>
      <w:tblPr>
        <w:tblStyle w:val="6"/>
        <w:tblW w:w="5000" w:type="pct"/>
        <w:tblInd w:w="0" w:type="dxa"/>
        <w:tblLayout w:type="autofit"/>
        <w:tblCellMar>
          <w:top w:w="0" w:type="dxa"/>
          <w:left w:w="108" w:type="dxa"/>
          <w:bottom w:w="0" w:type="dxa"/>
          <w:right w:w="108" w:type="dxa"/>
        </w:tblCellMar>
      </w:tblPr>
      <w:tblGrid>
        <w:gridCol w:w="3226"/>
        <w:gridCol w:w="522"/>
        <w:gridCol w:w="1588"/>
        <w:gridCol w:w="4162"/>
        <w:gridCol w:w="516"/>
        <w:gridCol w:w="1206"/>
        <w:gridCol w:w="1548"/>
        <w:gridCol w:w="1406"/>
      </w:tblGrid>
      <w:tr>
        <w:tblPrEx>
          <w:tblCellMar>
            <w:top w:w="0" w:type="dxa"/>
            <w:left w:w="108" w:type="dxa"/>
            <w:bottom w:w="0" w:type="dxa"/>
            <w:right w:w="108" w:type="dxa"/>
          </w:tblCellMar>
        </w:tblPrEx>
        <w:trPr>
          <w:trHeight w:val="308" w:hRule="atLeast"/>
          <w:tblHeader/>
        </w:trPr>
        <w:tc>
          <w:tcPr>
            <w:tcW w:w="1882" w:type="pct"/>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收     入</w:t>
            </w:r>
          </w:p>
        </w:tc>
        <w:tc>
          <w:tcPr>
            <w:tcW w:w="3117" w:type="pct"/>
            <w:gridSpan w:val="5"/>
            <w:tcBorders>
              <w:top w:val="single" w:color="000000" w:sz="4" w:space="0"/>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312" w:hRule="atLeast"/>
          <w:tblHeader/>
        </w:trPr>
        <w:tc>
          <w:tcPr>
            <w:tcW w:w="1138" w:type="pct"/>
            <w:vMerge w:val="restart"/>
            <w:tcBorders>
              <w:top w:val="nil"/>
              <w:left w:val="single" w:color="000000" w:sz="4" w:space="0"/>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84"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559"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金额</w:t>
            </w:r>
          </w:p>
        </w:tc>
        <w:tc>
          <w:tcPr>
            <w:tcW w:w="1468"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182"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行次</w:t>
            </w:r>
          </w:p>
        </w:tc>
        <w:tc>
          <w:tcPr>
            <w:tcW w:w="425" w:type="pct"/>
            <w:vMerge w:val="restart"/>
            <w:tcBorders>
              <w:top w:val="nil"/>
              <w:left w:val="nil"/>
              <w:bottom w:val="single" w:color="000000" w:sz="4" w:space="0"/>
              <w:right w:val="single" w:color="000000" w:sz="4" w:space="0"/>
            </w:tcBorders>
            <w:shd w:val="clear" w:color="FFFFFF"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546"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一般公共预算财政拨款</w:t>
            </w:r>
          </w:p>
        </w:tc>
        <w:tc>
          <w:tcPr>
            <w:tcW w:w="494" w:type="pct"/>
            <w:vMerge w:val="restart"/>
            <w:tcBorders>
              <w:top w:val="nil"/>
              <w:left w:val="nil"/>
              <w:bottom w:val="single" w:color="000000" w:sz="4" w:space="0"/>
              <w:right w:val="single" w:color="000000" w:sz="4" w:space="0"/>
            </w:tcBorders>
            <w:shd w:val="clear" w:color="FFFFFF"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政府性基金预算财政拨款</w:t>
            </w:r>
          </w:p>
        </w:tc>
      </w:tr>
      <w:tr>
        <w:tblPrEx>
          <w:tblCellMar>
            <w:top w:w="0" w:type="dxa"/>
            <w:left w:w="108" w:type="dxa"/>
            <w:bottom w:w="0" w:type="dxa"/>
            <w:right w:w="108" w:type="dxa"/>
          </w:tblCellMar>
        </w:tblPrEx>
        <w:trPr>
          <w:trHeight w:val="615" w:hRule="atLeast"/>
          <w:tblHeader/>
        </w:trPr>
        <w:tc>
          <w:tcPr>
            <w:tcW w:w="1138" w:type="pct"/>
            <w:vMerge w:val="continue"/>
            <w:tcBorders>
              <w:top w:val="nil"/>
              <w:left w:val="single" w:color="000000" w:sz="4" w:space="0"/>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184"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559"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1468"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182"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425"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546"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c>
          <w:tcPr>
            <w:tcW w:w="494" w:type="pct"/>
            <w:vMerge w:val="continue"/>
            <w:tcBorders>
              <w:top w:val="nil"/>
              <w:left w:val="nil"/>
              <w:bottom w:val="single" w:color="000000" w:sz="4" w:space="0"/>
              <w:right w:val="single" w:color="000000" w:sz="4" w:space="0"/>
            </w:tcBorders>
            <w:shd w:val="clear" w:color="FFFFFF" w:fill="auto"/>
            <w:vAlign w:val="center"/>
          </w:tcPr>
          <w:p>
            <w:pPr>
              <w:widowControl/>
              <w:jc w:val="left"/>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08" w:hRule="atLeast"/>
          <w:tblHeader/>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119436.38</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90"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1118.92</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119070.82</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119070.82</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七、文化体育与传媒支出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559"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182"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425"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546"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4"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九、医疗卫生与计划生育支出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969.64</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969.64</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559"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十四、资源勘探信息等支出</w:t>
            </w:r>
          </w:p>
        </w:tc>
        <w:tc>
          <w:tcPr>
            <w:tcW w:w="182"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425"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559"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182"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425"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nil"/>
              <w:left w:val="single" w:color="000000" w:sz="4" w:space="0"/>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559"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182"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425"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十八、国土海洋气象等支出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二十一、其他支出</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149.27</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149.27</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本年收入合计</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120555.3</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本年支出合计</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120565.3</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119446.38</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1118.92</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000000" w:sz="4" w:space="0"/>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184"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559"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468"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年末财政拨款结转和结余</w:t>
            </w:r>
          </w:p>
        </w:tc>
        <w:tc>
          <w:tcPr>
            <w:tcW w:w="182"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425"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546"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4" w:type="pct"/>
            <w:tcBorders>
              <w:top w:val="single" w:color="auto" w:sz="4" w:space="0"/>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08" w:hRule="atLeast"/>
        </w:trPr>
        <w:tc>
          <w:tcPr>
            <w:tcW w:w="113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18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559"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120555.3</w:t>
            </w:r>
          </w:p>
        </w:tc>
        <w:tc>
          <w:tcPr>
            <w:tcW w:w="1468"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总计</w:t>
            </w:r>
          </w:p>
        </w:tc>
        <w:tc>
          <w:tcPr>
            <w:tcW w:w="182"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425"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120565.3</w:t>
            </w:r>
          </w:p>
        </w:tc>
        <w:tc>
          <w:tcPr>
            <w:tcW w:w="546"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119446.38</w:t>
            </w:r>
          </w:p>
        </w:tc>
        <w:tc>
          <w:tcPr>
            <w:tcW w:w="494" w:type="pct"/>
            <w:tcBorders>
              <w:top w:val="single" w:color="auto" w:sz="4" w:space="0"/>
              <w:left w:val="single" w:color="auto" w:sz="4" w:space="0"/>
              <w:bottom w:val="single" w:color="auto" w:sz="4" w:space="0"/>
              <w:right w:val="single" w:color="auto"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1118.92</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注：本表反映部门本年度一般公共预算财政拨款和政府性基金预算财政拨款的总收支和年末结转结余情况。</w:t>
      </w:r>
    </w:p>
    <w:p>
      <w:pPr>
        <w:jc w:val="center"/>
        <w:rPr>
          <w:rFonts w:ascii="仿宋_GB2312" w:eastAsia="仿宋_GB2312"/>
          <w:b/>
          <w:sz w:val="30"/>
          <w:szCs w:val="30"/>
        </w:rPr>
      </w:pPr>
    </w:p>
    <w:p>
      <w:pPr>
        <w:rPr>
          <w:rFonts w:ascii="仿宋_GB2312" w:eastAsia="仿宋_GB2312"/>
          <w:b/>
          <w:sz w:val="30"/>
          <w:szCs w:val="30"/>
        </w:rPr>
      </w:pPr>
    </w:p>
    <w:p>
      <w:pPr>
        <w:jc w:val="center"/>
        <w:rPr>
          <w:rFonts w:hint="eastAsia" w:ascii="仿宋_GB2312" w:eastAsia="仿宋_GB2312"/>
          <w:b/>
          <w:sz w:val="30"/>
          <w:szCs w:val="30"/>
        </w:rPr>
      </w:pPr>
    </w:p>
    <w:p>
      <w:pPr>
        <w:jc w:val="center"/>
        <w:rPr>
          <w:rFonts w:hint="eastAsia" w:ascii="仿宋_GB2312" w:eastAsia="仿宋_GB2312"/>
          <w:b/>
          <w:sz w:val="30"/>
          <w:szCs w:val="30"/>
        </w:rPr>
      </w:pPr>
    </w:p>
    <w:p>
      <w:pPr>
        <w:jc w:val="both"/>
        <w:rPr>
          <w:rFonts w:hint="eastAsia" w:ascii="仿宋_GB2312" w:eastAsia="仿宋_GB2312"/>
          <w:b/>
          <w:sz w:val="30"/>
          <w:szCs w:val="30"/>
          <w:lang w:eastAsia="zh-CN"/>
        </w:rPr>
      </w:pPr>
    </w:p>
    <w:p>
      <w:pPr>
        <w:jc w:val="center"/>
        <w:rPr>
          <w:rFonts w:ascii="仿宋_GB2312" w:eastAsia="仿宋_GB2312"/>
          <w:szCs w:val="21"/>
        </w:rPr>
      </w:pPr>
      <w:r>
        <w:rPr>
          <w:rFonts w:hint="eastAsia" w:ascii="仿宋_GB2312" w:eastAsia="仿宋_GB2312"/>
          <w:b/>
          <w:sz w:val="30"/>
          <w:szCs w:val="30"/>
          <w:lang w:eastAsia="zh-CN"/>
        </w:rPr>
        <w:t>表</w:t>
      </w:r>
      <w:r>
        <w:rPr>
          <w:rFonts w:hint="eastAsia" w:ascii="仿宋_GB2312" w:eastAsia="仿宋_GB2312"/>
          <w:b/>
          <w:sz w:val="30"/>
          <w:szCs w:val="30"/>
          <w:lang w:val="en-US" w:eastAsia="zh-CN"/>
        </w:rPr>
        <w:t>5、</w:t>
      </w:r>
      <w:r>
        <w:rPr>
          <w:rFonts w:hint="eastAsia" w:ascii="仿宋_GB2312" w:eastAsia="仿宋_GB2312"/>
          <w:b/>
          <w:sz w:val="30"/>
          <w:szCs w:val="30"/>
        </w:rPr>
        <w:t>一般公共预算</w:t>
      </w:r>
      <w:r>
        <w:rPr>
          <w:rFonts w:hint="eastAsia" w:ascii="仿宋_GB2312" w:hAnsi="宋体" w:eastAsia="仿宋_GB2312" w:cs="宋体"/>
          <w:b/>
          <w:kern w:val="0"/>
          <w:sz w:val="30"/>
          <w:szCs w:val="30"/>
        </w:rPr>
        <w:t>财政拨款支出决算表</w:t>
      </w:r>
    </w:p>
    <w:p>
      <w:pPr>
        <w:spacing w:line="320" w:lineRule="exact"/>
        <w:ind w:left="7350" w:right="420" w:hanging="7350" w:hangingChars="3500"/>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部门：  淄博市临淄区教育局（汇总）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金额单位：万元</w:t>
      </w:r>
    </w:p>
    <w:tbl>
      <w:tblPr>
        <w:tblStyle w:val="6"/>
        <w:tblW w:w="4999" w:type="pct"/>
        <w:tblInd w:w="0" w:type="dxa"/>
        <w:tblLayout w:type="autofit"/>
        <w:tblCellMar>
          <w:top w:w="0" w:type="dxa"/>
          <w:left w:w="108" w:type="dxa"/>
          <w:bottom w:w="0" w:type="dxa"/>
          <w:right w:w="108" w:type="dxa"/>
        </w:tblCellMar>
      </w:tblPr>
      <w:tblGrid>
        <w:gridCol w:w="482"/>
        <w:gridCol w:w="482"/>
        <w:gridCol w:w="485"/>
        <w:gridCol w:w="3509"/>
        <w:gridCol w:w="2452"/>
        <w:gridCol w:w="1411"/>
        <w:gridCol w:w="1414"/>
        <w:gridCol w:w="1261"/>
        <w:gridCol w:w="2675"/>
      </w:tblGrid>
      <w:tr>
        <w:tblPrEx>
          <w:tblCellMar>
            <w:top w:w="0" w:type="dxa"/>
            <w:left w:w="108" w:type="dxa"/>
            <w:bottom w:w="0" w:type="dxa"/>
            <w:right w:w="108" w:type="dxa"/>
          </w:tblCellMar>
        </w:tblPrEx>
        <w:trPr>
          <w:trHeight w:val="308" w:hRule="atLeast"/>
          <w:tblHeader/>
        </w:trPr>
        <w:tc>
          <w:tcPr>
            <w:tcW w:w="17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w:t>
            </w:r>
          </w:p>
        </w:tc>
        <w:tc>
          <w:tcPr>
            <w:tcW w:w="3250" w:type="pct"/>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08" w:hRule="atLeast"/>
          <w:tblHeader/>
        </w:trPr>
        <w:tc>
          <w:tcPr>
            <w:tcW w:w="51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支出功能分类科目编码</w:t>
            </w:r>
          </w:p>
        </w:tc>
        <w:tc>
          <w:tcPr>
            <w:tcW w:w="1237"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科目名称</w:t>
            </w:r>
          </w:p>
        </w:tc>
        <w:tc>
          <w:tcPr>
            <w:tcW w:w="865"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1442" w:type="pct"/>
            <w:gridSpan w:val="3"/>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基本支出</w:t>
            </w:r>
          </w:p>
        </w:tc>
        <w:tc>
          <w:tcPr>
            <w:tcW w:w="943"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blHeader/>
        </w:trPr>
        <w:tc>
          <w:tcPr>
            <w:tcW w:w="51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1237"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865"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498"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小计</w:t>
            </w:r>
          </w:p>
        </w:tc>
        <w:tc>
          <w:tcPr>
            <w:tcW w:w="499"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人员经费</w:t>
            </w:r>
          </w:p>
        </w:tc>
        <w:tc>
          <w:tcPr>
            <w:tcW w:w="444"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日常公用经费</w:t>
            </w:r>
          </w:p>
        </w:tc>
        <w:tc>
          <w:tcPr>
            <w:tcW w:w="943"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615" w:hRule="atLeast"/>
          <w:tblHeader/>
        </w:trPr>
        <w:tc>
          <w:tcPr>
            <w:tcW w:w="51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1237"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865"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498"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499"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444"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943"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r>
      <w:tr>
        <w:tblPrEx>
          <w:tblCellMar>
            <w:top w:w="0" w:type="dxa"/>
            <w:left w:w="108" w:type="dxa"/>
            <w:bottom w:w="0" w:type="dxa"/>
            <w:right w:w="108" w:type="dxa"/>
          </w:tblCellMar>
        </w:tblPrEx>
        <w:trPr>
          <w:trHeight w:val="308" w:hRule="atLeast"/>
          <w:tblHeader/>
        </w:trPr>
        <w:tc>
          <w:tcPr>
            <w:tcW w:w="17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w:t>
            </w:r>
          </w:p>
        </w:tc>
        <w:tc>
          <w:tcPr>
            <w:tcW w:w="170"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款</w:t>
            </w:r>
          </w:p>
        </w:tc>
        <w:tc>
          <w:tcPr>
            <w:tcW w:w="171" w:type="pct"/>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1237" w:type="pc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栏次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r>
      <w:tr>
        <w:tblPrEx>
          <w:tblCellMar>
            <w:top w:w="0" w:type="dxa"/>
            <w:left w:w="108" w:type="dxa"/>
            <w:bottom w:w="0" w:type="dxa"/>
            <w:right w:w="108" w:type="dxa"/>
          </w:tblCellMar>
        </w:tblPrEx>
        <w:trPr>
          <w:trHeight w:val="308" w:hRule="atLeast"/>
          <w:tblHeader/>
        </w:trPr>
        <w:tc>
          <w:tcPr>
            <w:tcW w:w="170"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170"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171" w:type="pct"/>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p>
        </w:tc>
        <w:tc>
          <w:tcPr>
            <w:tcW w:w="1237" w:type="pc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119,436.38</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98,116.72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90,923.99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7,192.73</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21,319.66</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119,070.83</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97,805.57</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90,612.84</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0.72</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21,265.26</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教育管理事务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1,458.99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1,220.57</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1,138.57</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81.99</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238.42</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行政运行</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1,140.99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1,140.99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1,095.05</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45.94</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2050102</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一般行政管理事务</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289.00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66.58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43.52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23.05</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222.42</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2050199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其他教育管理事务支出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普通教育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96,509.89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86,958.26</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80,052.31</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6,905.95</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9,551.63</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学前教育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1,530.99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519.30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350.40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168.90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1,011.69</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2050202</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小学教育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35,235.09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32,080.49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29,571.21</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2,509.28</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3,154.60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2050203</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初中教育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45,294.73</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40,907.79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37,610.60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3,297.19</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4,386.93</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2050204</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高中教育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12,269.00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11,607.39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10,847.17</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760.22</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661.61</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2050206</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化解农村义务教育债务支出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其他普通教育支出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2,180.09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1,843.28</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1,672.92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170.36</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336.81</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职业教育</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11,380.40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7,534.15</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7,457.40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76.76</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3,846.25</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2050302</w:t>
            </w:r>
          </w:p>
        </w:tc>
        <w:tc>
          <w:tcPr>
            <w:tcW w:w="1237"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中专教育</w:t>
            </w:r>
          </w:p>
        </w:tc>
        <w:tc>
          <w:tcPr>
            <w:tcW w:w="865"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11,269.00</w:t>
            </w:r>
          </w:p>
        </w:tc>
        <w:tc>
          <w:tcPr>
            <w:tcW w:w="498"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7,534.15</w:t>
            </w:r>
          </w:p>
        </w:tc>
        <w:tc>
          <w:tcPr>
            <w:tcW w:w="499"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7,457.40</w:t>
            </w:r>
          </w:p>
        </w:tc>
        <w:tc>
          <w:tcPr>
            <w:tcW w:w="444"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76.76</w:t>
            </w:r>
          </w:p>
        </w:tc>
        <w:tc>
          <w:tcPr>
            <w:tcW w:w="943" w:type="pct"/>
            <w:tcBorders>
              <w:top w:val="nil"/>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3,734.85</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2050399</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其他职业教育支出</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111.40</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成人教育</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185.40</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2050404</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成人广播电视教育</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2050499</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其他成人教育支出</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175.40</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w:t>
            </w:r>
          </w:p>
        </w:tc>
        <w:tc>
          <w:tcPr>
            <w:tcW w:w="12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特殊教育</w:t>
            </w:r>
          </w:p>
        </w:tc>
        <w:tc>
          <w:tcPr>
            <w:tcW w:w="86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4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803.20</w:t>
            </w:r>
          </w:p>
        </w:tc>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700.99</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102.21</w:t>
            </w:r>
          </w:p>
        </w:tc>
        <w:tc>
          <w:tcPr>
            <w:tcW w:w="94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66.80</w:t>
            </w:r>
          </w:p>
        </w:tc>
      </w:tr>
      <w:tr>
        <w:tblPrEx>
          <w:tblCellMar>
            <w:top w:w="0" w:type="dxa"/>
            <w:left w:w="108" w:type="dxa"/>
            <w:bottom w:w="0" w:type="dxa"/>
            <w:right w:w="108" w:type="dxa"/>
          </w:tblCellMar>
        </w:tblPrEx>
        <w:trPr>
          <w:trHeight w:val="308" w:hRule="atLeast"/>
        </w:trPr>
        <w:tc>
          <w:tcPr>
            <w:tcW w:w="511"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2050701</w:t>
            </w:r>
          </w:p>
        </w:tc>
        <w:tc>
          <w:tcPr>
            <w:tcW w:w="123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特殊学校教育</w:t>
            </w:r>
          </w:p>
        </w:tc>
        <w:tc>
          <w:tcPr>
            <w:tcW w:w="86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870.00</w:t>
            </w:r>
          </w:p>
        </w:tc>
        <w:tc>
          <w:tcPr>
            <w:tcW w:w="49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803.20</w:t>
            </w:r>
          </w:p>
        </w:tc>
        <w:tc>
          <w:tcPr>
            <w:tcW w:w="49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700.99</w:t>
            </w:r>
          </w:p>
        </w:tc>
        <w:tc>
          <w:tcPr>
            <w:tcW w:w="44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102.21</w:t>
            </w:r>
          </w:p>
        </w:tc>
        <w:tc>
          <w:tcPr>
            <w:tcW w:w="94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66.80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进修及培训</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1,320.86</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1,289.39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1,263.57</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25.82</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31.46</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2050801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教师进修</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1,310.86</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1,279.39</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1,263.57</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15.82</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31.46</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2050899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其他进修及培训</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教育费附加安排的支出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7,345.29</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2050904</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城市中小学教学设施</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199.00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2050905</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中等职业学校教学设施</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948.00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2050999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其他教育费附加安排的支出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6,198.29</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社会保障和就业支出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抚恤</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2080801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死亡抚恤</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309.92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农林水支出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扶贫</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2130599</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其他扶贫支出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54.41</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住房保障支出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w:t>
            </w:r>
          </w:p>
        </w:tc>
        <w:tc>
          <w:tcPr>
            <w:tcW w:w="123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住房改革支出</w:t>
            </w:r>
          </w:p>
        </w:tc>
        <w:tc>
          <w:tcPr>
            <w:tcW w:w="86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8"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9"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08" w:hRule="atLeast"/>
        </w:trPr>
        <w:tc>
          <w:tcPr>
            <w:tcW w:w="511" w:type="pct"/>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2210203</w:t>
            </w:r>
          </w:p>
        </w:tc>
        <w:tc>
          <w:tcPr>
            <w:tcW w:w="1237"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  购房补贴</w:t>
            </w:r>
          </w:p>
        </w:tc>
        <w:tc>
          <w:tcPr>
            <w:tcW w:w="865"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8"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99"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1.22</w:t>
            </w:r>
          </w:p>
        </w:tc>
        <w:tc>
          <w:tcPr>
            <w:tcW w:w="444"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c>
          <w:tcPr>
            <w:tcW w:w="943" w:type="pct"/>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jc w:val="righ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0.00</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注：本表反映部门本年度一般公共预算财政拨款支出情况。</w:t>
      </w: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spacing w:line="320" w:lineRule="exact"/>
        <w:ind w:right="1624" w:firstLine="4200" w:firstLineChars="1400"/>
        <w:rPr>
          <w:rFonts w:ascii="仿宋_GB2312" w:eastAsia="仿宋_GB2312"/>
          <w:szCs w:val="21"/>
        </w:rPr>
      </w:pPr>
      <w:r>
        <w:rPr>
          <w:rFonts w:hint="eastAsia" w:ascii="仿宋_GB2312" w:eastAsia="仿宋_GB2312"/>
          <w:b/>
          <w:sz w:val="30"/>
          <w:szCs w:val="30"/>
          <w:lang w:eastAsia="zh-CN"/>
        </w:rPr>
        <w:t>表</w:t>
      </w:r>
      <w:r>
        <w:rPr>
          <w:rFonts w:hint="eastAsia" w:ascii="仿宋_GB2312" w:eastAsia="仿宋_GB2312"/>
          <w:b/>
          <w:sz w:val="30"/>
          <w:szCs w:val="30"/>
          <w:lang w:val="en-US" w:eastAsia="zh-CN"/>
        </w:rPr>
        <w:t>6、</w:t>
      </w:r>
      <w:r>
        <w:rPr>
          <w:rFonts w:hint="eastAsia" w:ascii="仿宋_GB2312" w:eastAsia="仿宋_GB2312"/>
          <w:b/>
          <w:sz w:val="30"/>
          <w:szCs w:val="30"/>
        </w:rPr>
        <w:t>一般公共预算财政拨款基本支出决算表</w:t>
      </w:r>
    </w:p>
    <w:p>
      <w:pPr>
        <w:spacing w:line="320" w:lineRule="exact"/>
        <w:ind w:left="7350" w:right="420" w:hanging="7350" w:hangingChars="3500"/>
        <w:jc w:val="left"/>
        <w:rPr>
          <w:rFonts w:hint="eastAsia" w:ascii="仿宋_GB2312" w:hAnsi="宋体" w:eastAsia="仿宋_GB2312" w:cs="宋体"/>
          <w:kern w:val="0"/>
          <w:szCs w:val="21"/>
        </w:rPr>
      </w:pPr>
      <w:r>
        <w:rPr>
          <w:rFonts w:hint="eastAsia" w:ascii="仿宋_GB2312" w:hAnsi="宋体" w:eastAsia="仿宋_GB2312" w:cs="宋体"/>
          <w:kern w:val="0"/>
          <w:szCs w:val="21"/>
        </w:rPr>
        <w:t xml:space="preserve">部门：  淄博市临淄区教育局（汇总）                          </w:t>
      </w:r>
      <w:r>
        <w:rPr>
          <w:rFonts w:hint="eastAsia" w:ascii="仿宋_GB2312" w:hAnsi="宋体" w:eastAsia="仿宋_GB2312" w:cs="宋体"/>
          <w:kern w:val="0"/>
          <w:szCs w:val="21"/>
          <w:lang w:val="en-US" w:eastAsia="zh-CN"/>
        </w:rPr>
        <w:t xml:space="preserve">                                                      </w:t>
      </w:r>
      <w:r>
        <w:rPr>
          <w:rFonts w:hint="eastAsia" w:ascii="仿宋_GB2312" w:hAnsi="宋体" w:eastAsia="仿宋_GB2312" w:cs="宋体"/>
          <w:kern w:val="0"/>
          <w:szCs w:val="21"/>
        </w:rPr>
        <w:t xml:space="preserve"> 金额单位：万元</w:t>
      </w:r>
    </w:p>
    <w:tbl>
      <w:tblPr>
        <w:tblStyle w:val="6"/>
        <w:tblW w:w="14049" w:type="dxa"/>
        <w:tblInd w:w="91" w:type="dxa"/>
        <w:tblLayout w:type="autofit"/>
        <w:tblCellMar>
          <w:top w:w="0" w:type="dxa"/>
          <w:left w:w="108" w:type="dxa"/>
          <w:bottom w:w="0" w:type="dxa"/>
          <w:right w:w="108" w:type="dxa"/>
        </w:tblCellMar>
      </w:tblPr>
      <w:tblGrid>
        <w:gridCol w:w="766"/>
        <w:gridCol w:w="3110"/>
        <w:gridCol w:w="1206"/>
        <w:gridCol w:w="766"/>
        <w:gridCol w:w="2230"/>
        <w:gridCol w:w="1096"/>
        <w:gridCol w:w="766"/>
        <w:gridCol w:w="2691"/>
        <w:gridCol w:w="1418"/>
      </w:tblGrid>
      <w:tr>
        <w:tblPrEx>
          <w:tblCellMar>
            <w:top w:w="0" w:type="dxa"/>
            <w:left w:w="108" w:type="dxa"/>
            <w:bottom w:w="0" w:type="dxa"/>
            <w:right w:w="108" w:type="dxa"/>
          </w:tblCellMar>
        </w:tblPrEx>
        <w:trPr>
          <w:trHeight w:val="308" w:hRule="atLeast"/>
          <w:tblHeader/>
        </w:trPr>
        <w:tc>
          <w:tcPr>
            <w:tcW w:w="5082" w:type="dxa"/>
            <w:gridSpan w:val="3"/>
            <w:tcBorders>
              <w:top w:val="single" w:color="000000" w:sz="4" w:space="0"/>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w:t>
            </w:r>
          </w:p>
        </w:tc>
        <w:tc>
          <w:tcPr>
            <w:tcW w:w="8967" w:type="dxa"/>
            <w:gridSpan w:val="6"/>
            <w:tcBorders>
              <w:top w:val="single" w:color="000000" w:sz="4" w:space="0"/>
              <w:left w:val="nil"/>
              <w:bottom w:val="single" w:color="000000" w:sz="4" w:space="0"/>
              <w:right w:val="single" w:color="000000" w:sz="8"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1302" w:hRule="atLeast"/>
          <w:tblHeader/>
        </w:trPr>
        <w:tc>
          <w:tcPr>
            <w:tcW w:w="766" w:type="dxa"/>
            <w:vMerge w:val="restart"/>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经济分类科目编码</w:t>
            </w:r>
          </w:p>
        </w:tc>
        <w:tc>
          <w:tcPr>
            <w:tcW w:w="311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20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w:t>
            </w:r>
          </w:p>
        </w:tc>
        <w:tc>
          <w:tcPr>
            <w:tcW w:w="76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经济分类科目编码</w:t>
            </w:r>
          </w:p>
        </w:tc>
        <w:tc>
          <w:tcPr>
            <w:tcW w:w="2230"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09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w:t>
            </w:r>
          </w:p>
        </w:tc>
        <w:tc>
          <w:tcPr>
            <w:tcW w:w="766"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经济分类科目编码</w:t>
            </w:r>
          </w:p>
        </w:tc>
        <w:tc>
          <w:tcPr>
            <w:tcW w:w="2691" w:type="dxa"/>
            <w:vMerge w:val="restart"/>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科目名称</w:t>
            </w:r>
          </w:p>
        </w:tc>
        <w:tc>
          <w:tcPr>
            <w:tcW w:w="1418" w:type="dxa"/>
            <w:vMerge w:val="restart"/>
            <w:tcBorders>
              <w:top w:val="nil"/>
              <w:left w:val="nil"/>
              <w:bottom w:val="single" w:color="000000" w:sz="4" w:space="0"/>
              <w:right w:val="single" w:color="000000" w:sz="8"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金额</w:t>
            </w:r>
          </w:p>
        </w:tc>
      </w:tr>
      <w:tr>
        <w:tblPrEx>
          <w:tblCellMar>
            <w:top w:w="0" w:type="dxa"/>
            <w:left w:w="108" w:type="dxa"/>
            <w:bottom w:w="0" w:type="dxa"/>
            <w:right w:w="108" w:type="dxa"/>
          </w:tblCellMar>
        </w:tblPrEx>
        <w:trPr>
          <w:trHeight w:val="615" w:hRule="atLeast"/>
        </w:trPr>
        <w:tc>
          <w:tcPr>
            <w:tcW w:w="766" w:type="dxa"/>
            <w:vMerge w:val="continue"/>
            <w:tcBorders>
              <w:top w:val="nil"/>
              <w:left w:val="single" w:color="000000" w:sz="4" w:space="0"/>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311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120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76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2230"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109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766"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2691" w:type="dxa"/>
            <w:vMerge w:val="continue"/>
            <w:tcBorders>
              <w:top w:val="nil"/>
              <w:left w:val="nil"/>
              <w:bottom w:val="single" w:color="000000" w:sz="4" w:space="0"/>
              <w:right w:val="single" w:color="000000" w:sz="4"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c>
          <w:tcPr>
            <w:tcW w:w="1418" w:type="dxa"/>
            <w:vMerge w:val="continue"/>
            <w:tcBorders>
              <w:top w:val="nil"/>
              <w:left w:val="nil"/>
              <w:bottom w:val="single" w:color="000000" w:sz="4" w:space="0"/>
              <w:right w:val="single" w:color="000000" w:sz="8" w:space="0"/>
            </w:tcBorders>
            <w:shd w:val="clear" w:color="FFFFFF" w:fill="auto"/>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83,954.50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6,297.10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25,295.10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30201</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办公费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888.71</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30701</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国内债务付息</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14,029.63</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30202</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印刷费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333.55</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30702</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国外债务付息</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4,581.72</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30203</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咨询费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30703</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国内债务发行费用</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30204</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手续费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0.92</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30704</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国外债务发行费用</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19,735.05</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30205</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水费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199.52</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895.62</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9,147.85</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30206</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电费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433.50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31001</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房屋建筑物购建</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67.84</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30207</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邮电费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79.18</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31002</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办公设备购置</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552.16</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4,396.27</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30208</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取暖费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454.66</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31003</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专用设备购置</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298.04</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30209</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物业管理费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283.62</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31005</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基础设施建设</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413.91</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30211</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差旅费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76.13</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31006</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大型修缮</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6,278.37</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30212</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因公出国（境）费用</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31007</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信息网络及软件购置更新</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311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120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30213</w:t>
            </w:r>
          </w:p>
        </w:tc>
        <w:tc>
          <w:tcPr>
            <w:tcW w:w="2230"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维修(护)费</w:t>
            </w:r>
          </w:p>
        </w:tc>
        <w:tc>
          <w:tcPr>
            <w:tcW w:w="109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800.59</w:t>
            </w:r>
          </w:p>
        </w:tc>
        <w:tc>
          <w:tcPr>
            <w:tcW w:w="766"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31008</w:t>
            </w:r>
          </w:p>
        </w:tc>
        <w:tc>
          <w:tcPr>
            <w:tcW w:w="2691" w:type="dxa"/>
            <w:tcBorders>
              <w:top w:val="nil"/>
              <w:left w:val="nil"/>
              <w:bottom w:val="single" w:color="000000"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物资储备</w:t>
            </w:r>
          </w:p>
        </w:tc>
        <w:tc>
          <w:tcPr>
            <w:tcW w:w="1418" w:type="dxa"/>
            <w:tcBorders>
              <w:top w:val="nil"/>
              <w:left w:val="nil"/>
              <w:bottom w:val="single" w:color="000000"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3110"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1206"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8.75</w:t>
            </w:r>
          </w:p>
        </w:tc>
        <w:tc>
          <w:tcPr>
            <w:tcW w:w="766"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30214</w:t>
            </w:r>
          </w:p>
        </w:tc>
        <w:tc>
          <w:tcPr>
            <w:tcW w:w="2230"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租赁费</w:t>
            </w:r>
          </w:p>
        </w:tc>
        <w:tc>
          <w:tcPr>
            <w:tcW w:w="1096"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24.58</w:t>
            </w:r>
          </w:p>
        </w:tc>
        <w:tc>
          <w:tcPr>
            <w:tcW w:w="766"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31009</w:t>
            </w:r>
          </w:p>
        </w:tc>
        <w:tc>
          <w:tcPr>
            <w:tcW w:w="2691" w:type="dxa"/>
            <w:tcBorders>
              <w:top w:val="nil"/>
              <w:left w:val="nil"/>
              <w:bottom w:val="single" w:color="auto" w:sz="4" w:space="0"/>
              <w:right w:val="single" w:color="000000" w:sz="4"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土地补偿</w:t>
            </w:r>
          </w:p>
        </w:tc>
        <w:tc>
          <w:tcPr>
            <w:tcW w:w="1418" w:type="dxa"/>
            <w:tcBorders>
              <w:top w:val="nil"/>
              <w:left w:val="nil"/>
              <w:bottom w:val="single" w:color="auto" w:sz="4" w:space="0"/>
              <w:right w:val="single" w:color="000000" w:sz="8" w:space="0"/>
            </w:tcBorders>
            <w:shd w:val="clear" w:color="FFFFFF"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6,969.49</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30215</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会议费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31010</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安置补助</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30216</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培训费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340.87</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31011</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地上附着物和青苗补偿</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30217</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公务接待费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31012</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拆迁补偿</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3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30218</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专用材料费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387.01</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31013</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公务用车购置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269.94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30224</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被装购置费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31019</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其他交通工具购置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2.23</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602.06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30225</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专用燃料费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31021</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文物和陈列品购置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12.02</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30226</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劳务费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396.03</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31022</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无形资产购置</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104.78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30227</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委托业务费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0.18</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31099</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其他资本性支出</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31.17</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3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12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79.94</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30228</w:t>
            </w:r>
          </w:p>
        </w:tc>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工会经费</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852.86</w:t>
            </w:r>
          </w:p>
        </w:tc>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2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311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120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5,838.94</w:t>
            </w:r>
          </w:p>
        </w:tc>
        <w:tc>
          <w:tcPr>
            <w:tcW w:w="76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30229</w:t>
            </w:r>
          </w:p>
        </w:tc>
        <w:tc>
          <w:tcPr>
            <w:tcW w:w="223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福利费</w:t>
            </w:r>
          </w:p>
        </w:tc>
        <w:tc>
          <w:tcPr>
            <w:tcW w:w="109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44.10</w:t>
            </w:r>
          </w:p>
        </w:tc>
        <w:tc>
          <w:tcPr>
            <w:tcW w:w="76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31201</w:t>
            </w:r>
          </w:p>
        </w:tc>
        <w:tc>
          <w:tcPr>
            <w:tcW w:w="2691"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资本金注入</w:t>
            </w:r>
          </w:p>
        </w:tc>
        <w:tc>
          <w:tcPr>
            <w:tcW w:w="1418" w:type="dxa"/>
            <w:tcBorders>
              <w:top w:val="single" w:color="auto" w:sz="4" w:space="0"/>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30231</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公务用车运行维护费</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28.44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31203</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政府投资基金股权投资</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其他个人和家庭的补助支出</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71.81</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30239</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其他交通费用</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147.05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31204</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费用补贴</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30240</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税金及附加费用</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31205</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利息补贴</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30299</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其他商品和服务支出</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520.20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31299</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其他对企业补助</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39906</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赠与</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39907</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国家赔偿费用支出</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39908</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8" w:hRule="atLeast"/>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1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0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0"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39999</w:t>
            </w:r>
          </w:p>
        </w:tc>
        <w:tc>
          <w:tcPr>
            <w:tcW w:w="269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其他支出</w:t>
            </w:r>
          </w:p>
        </w:tc>
        <w:tc>
          <w:tcPr>
            <w:tcW w:w="1418" w:type="dxa"/>
            <w:tcBorders>
              <w:top w:val="nil"/>
              <w:left w:val="nil"/>
              <w:bottom w:val="single" w:color="000000"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23" w:hRule="atLeast"/>
        </w:trPr>
        <w:tc>
          <w:tcPr>
            <w:tcW w:w="3876" w:type="dxa"/>
            <w:gridSpan w:val="2"/>
            <w:tcBorders>
              <w:top w:val="nil"/>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人员经费合计</w:t>
            </w:r>
          </w:p>
        </w:tc>
        <w:tc>
          <w:tcPr>
            <w:tcW w:w="1206" w:type="dxa"/>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90,923.99</w:t>
            </w:r>
          </w:p>
        </w:tc>
        <w:tc>
          <w:tcPr>
            <w:tcW w:w="7549" w:type="dxa"/>
            <w:gridSpan w:val="5"/>
            <w:tcBorders>
              <w:top w:val="nil"/>
              <w:left w:val="nil"/>
              <w:bottom w:val="single" w:color="000000" w:sz="8"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公用经费合计</w:t>
            </w:r>
          </w:p>
        </w:tc>
        <w:tc>
          <w:tcPr>
            <w:tcW w:w="1418" w:type="dxa"/>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righ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7,192.73</w:t>
            </w:r>
          </w:p>
        </w:tc>
      </w:tr>
    </w:tbl>
    <w:p>
      <w:pPr>
        <w:jc w:val="left"/>
        <w:rPr>
          <w:rFonts w:hint="eastAsia"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注：本表反映部门本年度一般公共预算财政拨款基本支出明细情况。</w:t>
      </w:r>
    </w:p>
    <w:p>
      <w:pPr>
        <w:jc w:val="center"/>
        <w:rPr>
          <w:rFonts w:ascii="仿宋_GB2312" w:eastAsia="仿宋_GB2312"/>
          <w:szCs w:val="21"/>
        </w:rPr>
      </w:pPr>
      <w:r>
        <w:rPr>
          <w:rFonts w:hint="eastAsia" w:ascii="仿宋_GB2312" w:hAnsi="宋体" w:eastAsia="仿宋_GB2312" w:cs="宋体"/>
          <w:b/>
          <w:kern w:val="0"/>
          <w:sz w:val="30"/>
          <w:szCs w:val="30"/>
          <w:lang w:eastAsia="zh-CN"/>
        </w:rPr>
        <w:t>表</w:t>
      </w:r>
      <w:r>
        <w:rPr>
          <w:rFonts w:hint="eastAsia" w:ascii="仿宋_GB2312" w:hAnsi="宋体" w:eastAsia="仿宋_GB2312" w:cs="宋体"/>
          <w:b/>
          <w:kern w:val="0"/>
          <w:sz w:val="30"/>
          <w:szCs w:val="30"/>
          <w:lang w:val="en-US" w:eastAsia="zh-CN"/>
        </w:rPr>
        <w:t>7、</w:t>
      </w:r>
      <w:r>
        <w:rPr>
          <w:rFonts w:hint="eastAsia" w:ascii="仿宋_GB2312" w:hAnsi="宋体" w:eastAsia="仿宋_GB2312" w:cs="宋体"/>
          <w:b/>
          <w:kern w:val="0"/>
          <w:sz w:val="30"/>
          <w:szCs w:val="30"/>
        </w:rPr>
        <w:t>政府性基金预算财政拨款收入支出决算表</w:t>
      </w:r>
    </w:p>
    <w:p>
      <w:pPr>
        <w:wordWrap w:val="0"/>
        <w:spacing w:line="380" w:lineRule="exact"/>
        <w:ind w:right="420" w:firstLine="420" w:firstLineChars="200"/>
        <w:rPr>
          <w:rFonts w:ascii="仿宋_GB2312" w:hAnsi="宋体" w:eastAsia="仿宋_GB2312" w:cs="宋体"/>
          <w:kern w:val="0"/>
          <w:szCs w:val="21"/>
        </w:rPr>
      </w:pPr>
      <w:r>
        <w:rPr>
          <w:rFonts w:hint="eastAsia" w:ascii="仿宋_GB2312" w:eastAsia="仿宋_GB2312"/>
          <w:szCs w:val="21"/>
        </w:rPr>
        <w:t xml:space="preserve">部门： 淄博市临淄区教育局（汇总）金额                                                                    </w:t>
      </w:r>
      <w:r>
        <w:rPr>
          <w:rFonts w:hint="eastAsia" w:ascii="仿宋_GB2312" w:eastAsia="仿宋_GB2312"/>
          <w:szCs w:val="21"/>
          <w:lang w:val="en-US" w:eastAsia="zh-CN"/>
        </w:rPr>
        <w:t xml:space="preserve">          </w:t>
      </w:r>
      <w:r>
        <w:rPr>
          <w:rFonts w:hint="eastAsia" w:ascii="仿宋_GB2312" w:eastAsia="仿宋_GB2312"/>
          <w:szCs w:val="21"/>
        </w:rPr>
        <w:t>单位：</w:t>
      </w:r>
      <w:r>
        <w:rPr>
          <w:rFonts w:hint="eastAsia" w:ascii="仿宋_GB2312" w:hAnsi="宋体" w:eastAsia="仿宋_GB2312" w:cs="宋体"/>
          <w:kern w:val="0"/>
          <w:szCs w:val="21"/>
        </w:rPr>
        <w:t>万元</w:t>
      </w:r>
    </w:p>
    <w:tbl>
      <w:tblPr>
        <w:tblStyle w:val="6"/>
        <w:tblW w:w="4999" w:type="pct"/>
        <w:tblInd w:w="0" w:type="dxa"/>
        <w:tblLayout w:type="autofit"/>
        <w:tblCellMar>
          <w:top w:w="0" w:type="dxa"/>
          <w:left w:w="108" w:type="dxa"/>
          <w:bottom w:w="0" w:type="dxa"/>
          <w:right w:w="108" w:type="dxa"/>
        </w:tblCellMar>
      </w:tblPr>
      <w:tblGrid>
        <w:gridCol w:w="1093"/>
        <w:gridCol w:w="6152"/>
        <w:gridCol w:w="788"/>
        <w:gridCol w:w="1466"/>
        <w:gridCol w:w="1466"/>
        <w:gridCol w:w="763"/>
        <w:gridCol w:w="1468"/>
        <w:gridCol w:w="975"/>
      </w:tblGrid>
      <w:tr>
        <w:tblPrEx>
          <w:tblCellMar>
            <w:top w:w="0" w:type="dxa"/>
            <w:left w:w="108" w:type="dxa"/>
            <w:bottom w:w="0" w:type="dxa"/>
            <w:right w:w="108" w:type="dxa"/>
          </w:tblCellMar>
        </w:tblPrEx>
        <w:trPr>
          <w:trHeight w:val="308" w:hRule="atLeast"/>
        </w:trPr>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78"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51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1304"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344"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386"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69"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26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51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344"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38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16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6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44"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386"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16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78"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26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44" w:type="pct"/>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556"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2556" w:type="pct"/>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1,118.92</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1,118.92</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1,118.92</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国有土地使用权出让收入及对应专项债务收入安排的支出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2120801</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征地和拆迁补偿支出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969.65</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22960</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彩票公益金及对应专项债务收入安排的支出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149.28</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2296003</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用于体育事业的彩票公益金支出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61.00</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61.00</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2296004</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用于教育事业的彩票公益金支出</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88.28</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88.28</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88.28</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86" w:type="pct"/>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69" w:type="pct"/>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7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51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44"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注：本表反映部门本年度政府性基金预算财政拨款收入支出及结转和结余情况。</w:t>
      </w:r>
    </w:p>
    <w:p>
      <w:pPr>
        <w:rPr>
          <w:rFonts w:ascii="仿宋_GB2312" w:hAnsi="宋体" w:eastAsia="仿宋_GB2312" w:cs="宋体"/>
          <w:kern w:val="0"/>
          <w:szCs w:val="21"/>
        </w:rPr>
      </w:pPr>
    </w:p>
    <w:p>
      <w:pPr>
        <w:ind w:left="9882" w:leftChars="2006" w:right="2408" w:hanging="5670" w:hangingChars="2700"/>
        <w:jc w:val="right"/>
        <w:rPr>
          <w:rFonts w:hint="eastAsia" w:ascii="仿宋_GB2312" w:hAnsi="宋体" w:eastAsia="仿宋_GB2312" w:cs="宋体"/>
          <w:b/>
          <w:kern w:val="0"/>
          <w:sz w:val="30"/>
          <w:szCs w:val="30"/>
          <w:lang w:eastAsia="zh-CN"/>
        </w:rPr>
      </w:pPr>
      <w:r>
        <w:rPr>
          <w:rFonts w:hint="eastAsia" w:ascii="仿宋_GB2312" w:eastAsia="仿宋_GB2312"/>
          <w:szCs w:val="21"/>
          <w:lang w:val="en-US" w:eastAsia="zh-CN"/>
        </w:rPr>
        <w:t xml:space="preserve">      </w:t>
      </w:r>
    </w:p>
    <w:p>
      <w:pPr>
        <w:ind w:right="2408"/>
        <w:rPr>
          <w:rFonts w:hint="eastAsia" w:ascii="仿宋_GB2312" w:hAnsi="宋体" w:eastAsia="仿宋_GB2312" w:cs="宋体"/>
          <w:b/>
          <w:kern w:val="0"/>
          <w:sz w:val="30"/>
          <w:szCs w:val="30"/>
          <w:lang w:eastAsia="zh-CN"/>
        </w:rPr>
      </w:pPr>
    </w:p>
    <w:p>
      <w:pPr>
        <w:ind w:right="2408"/>
        <w:jc w:val="center"/>
        <w:rPr>
          <w:rFonts w:ascii="仿宋_GB2312" w:eastAsia="仿宋_GB2312"/>
          <w:szCs w:val="21"/>
        </w:rPr>
      </w:pPr>
      <w:r>
        <w:rPr>
          <w:rFonts w:hint="eastAsia" w:ascii="仿宋_GB2312" w:hAnsi="宋体" w:eastAsia="仿宋_GB2312" w:cs="宋体"/>
          <w:b/>
          <w:kern w:val="0"/>
          <w:sz w:val="30"/>
          <w:szCs w:val="30"/>
          <w:lang w:eastAsia="zh-CN"/>
        </w:rPr>
        <w:t>表</w:t>
      </w:r>
      <w:r>
        <w:rPr>
          <w:rFonts w:hint="eastAsia" w:ascii="仿宋_GB2312" w:hAnsi="宋体" w:eastAsia="仿宋_GB2312" w:cs="宋体"/>
          <w:b/>
          <w:kern w:val="0"/>
          <w:sz w:val="30"/>
          <w:szCs w:val="30"/>
          <w:lang w:val="en-US" w:eastAsia="zh-CN"/>
        </w:rPr>
        <w:t>8、</w:t>
      </w:r>
      <w:r>
        <w:rPr>
          <w:rFonts w:hint="eastAsia" w:ascii="仿宋_GB2312" w:hAnsi="宋体" w:eastAsia="仿宋_GB2312" w:cs="宋体"/>
          <w:b/>
          <w:kern w:val="0"/>
          <w:sz w:val="30"/>
          <w:szCs w:val="30"/>
        </w:rPr>
        <w:t>一般公共预算财政拨款“三公”经费支出决算表</w:t>
      </w:r>
    </w:p>
    <w:p>
      <w:pPr>
        <w:wordWrap w:val="0"/>
        <w:spacing w:line="380" w:lineRule="exact"/>
        <w:jc w:val="both"/>
        <w:rPr>
          <w:rFonts w:ascii="仿宋_GB2312" w:hAnsi="宋体" w:eastAsia="仿宋_GB2312" w:cs="宋体"/>
          <w:kern w:val="0"/>
          <w:szCs w:val="21"/>
        </w:rPr>
      </w:pPr>
      <w:r>
        <w:rPr>
          <w:rFonts w:hint="eastAsia" w:ascii="仿宋_GB2312" w:eastAsia="仿宋_GB2312"/>
          <w:szCs w:val="21"/>
        </w:rPr>
        <w:t xml:space="preserve">部门： 淄博市临淄区教育局（汇总）                                                         </w:t>
      </w:r>
      <w:r>
        <w:rPr>
          <w:rFonts w:hint="eastAsia" w:ascii="仿宋_GB2312" w:eastAsia="仿宋_GB2312"/>
          <w:szCs w:val="21"/>
          <w:lang w:val="en-US" w:eastAsia="zh-CN"/>
        </w:rPr>
        <w:t xml:space="preserve">                          </w:t>
      </w:r>
      <w:r>
        <w:rPr>
          <w:rFonts w:hint="eastAsia" w:ascii="仿宋_GB2312" w:eastAsia="仿宋_GB2312"/>
          <w:szCs w:val="21"/>
        </w:rPr>
        <w:t xml:space="preserve"> 金额单位：</w:t>
      </w:r>
      <w:r>
        <w:rPr>
          <w:rFonts w:hint="eastAsia" w:ascii="仿宋_GB2312" w:hAnsi="宋体" w:eastAsia="仿宋_GB2312" w:cs="宋体"/>
          <w:kern w:val="0"/>
          <w:szCs w:val="21"/>
        </w:rPr>
        <w:t>万元</w:t>
      </w:r>
    </w:p>
    <w:tbl>
      <w:tblPr>
        <w:tblStyle w:val="6"/>
        <w:tblW w:w="4999" w:type="pct"/>
        <w:tblInd w:w="0" w:type="dxa"/>
        <w:tblLayout w:type="autofit"/>
        <w:tblCellMar>
          <w:top w:w="0" w:type="dxa"/>
          <w:left w:w="108" w:type="dxa"/>
          <w:bottom w:w="0" w:type="dxa"/>
          <w:right w:w="108" w:type="dxa"/>
        </w:tblCellMar>
      </w:tblPr>
      <w:tblGrid>
        <w:gridCol w:w="1410"/>
        <w:gridCol w:w="876"/>
        <w:gridCol w:w="1410"/>
        <w:gridCol w:w="1410"/>
        <w:gridCol w:w="1413"/>
        <w:gridCol w:w="1419"/>
        <w:gridCol w:w="875"/>
        <w:gridCol w:w="876"/>
        <w:gridCol w:w="954"/>
        <w:gridCol w:w="696"/>
        <w:gridCol w:w="1416"/>
        <w:gridCol w:w="1416"/>
      </w:tblGrid>
      <w:tr>
        <w:tblPrEx>
          <w:tblCellMar>
            <w:top w:w="0" w:type="dxa"/>
            <w:left w:w="108" w:type="dxa"/>
            <w:bottom w:w="0" w:type="dxa"/>
            <w:right w:w="108" w:type="dxa"/>
          </w:tblCellMar>
        </w:tblPrEx>
        <w:trPr>
          <w:trHeight w:val="308" w:hRule="atLeast"/>
        </w:trPr>
        <w:tc>
          <w:tcPr>
            <w:tcW w:w="28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2199"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CellMar>
            <w:top w:w="0" w:type="dxa"/>
            <w:left w:w="108" w:type="dxa"/>
            <w:bottom w:w="0" w:type="dxa"/>
            <w:right w:w="108" w:type="dxa"/>
          </w:tblCellMar>
        </w:tblPrEx>
        <w:trPr>
          <w:trHeight w:val="308"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30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1495"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49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30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307"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1083"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499"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0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49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0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07"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3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24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49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499" w:type="pct"/>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498"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49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30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30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337"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246"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49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49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79.05</w:t>
            </w:r>
          </w:p>
        </w:tc>
        <w:tc>
          <w:tcPr>
            <w:tcW w:w="30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76.00</w:t>
            </w:r>
          </w:p>
        </w:tc>
        <w:tc>
          <w:tcPr>
            <w:tcW w:w="4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98"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76.00</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3.05</w:t>
            </w:r>
          </w:p>
        </w:tc>
        <w:tc>
          <w:tcPr>
            <w:tcW w:w="30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34.23</w:t>
            </w:r>
          </w:p>
        </w:tc>
        <w:tc>
          <w:tcPr>
            <w:tcW w:w="30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37"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32.00</w:t>
            </w:r>
          </w:p>
        </w:tc>
        <w:tc>
          <w:tcPr>
            <w:tcW w:w="246"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32.00</w:t>
            </w:r>
          </w:p>
        </w:tc>
        <w:tc>
          <w:tcPr>
            <w:tcW w:w="499" w:type="pct"/>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2.23</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注：本表反映部门本年度“三公”经费支出预决算情况。其中：201</w:t>
      </w: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年度预算数为“三公”经费年初预算数，决算数包括当年一般公共预算财政拨款和以前年度结转资金安排的实际支出。</w:t>
      </w:r>
    </w:p>
    <w:p>
      <w:pPr>
        <w:rPr>
          <w:rFonts w:ascii="黑体" w:eastAsia="黑体"/>
          <w:sz w:val="30"/>
          <w:szCs w:val="30"/>
        </w:rPr>
      </w:pPr>
    </w:p>
    <w:p>
      <w:pPr>
        <w:rPr>
          <w:rFonts w:ascii="黑体" w:eastAsia="黑体"/>
          <w:sz w:val="30"/>
          <w:szCs w:val="30"/>
        </w:rPr>
        <w:sectPr>
          <w:pgSz w:w="16838" w:h="11906" w:orient="landscape"/>
          <w:pgMar w:top="1797" w:right="1440" w:bottom="1797" w:left="1440" w:header="851" w:footer="992" w:gutter="0"/>
          <w:cols w:space="425" w:num="1"/>
          <w:docGrid w:type="linesAndChars" w:linePitch="312" w:charSpace="0"/>
        </w:sect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52"/>
          <w:szCs w:val="52"/>
        </w:rPr>
      </w:pPr>
    </w:p>
    <w:p>
      <w:pPr>
        <w:rPr>
          <w:rFonts w:ascii="黑体" w:eastAsia="黑体"/>
          <w:b/>
          <w:sz w:val="52"/>
          <w:szCs w:val="52"/>
        </w:rPr>
      </w:pPr>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2018年度部门决算情况          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一、2018年部门决算情况说明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（一）收入支出决算总体情况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2018年度年初结转和结余1.5万元，本年收入682.04万元，本年支出682.04万元，用事业基金弥补收支差额0    万元，结余分配0万元，年末结转结余1.5万元。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2018年度收入总计682.04万元，支出总计682.04万元。与2017年相比，收入总计增加134.03万元，增加24.45%；支出总计增加134.03万元，增加24.45%。</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（二）收入决算情况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2018年度本年收入682.04万元，其中：财政拨款收入682.04万元，占100%；上级补助收入0万元，占0%；事业收入0万元，占0%；经营收入0万元，占0%；附属单位上缴收入0万元，占0%；其他收入0万元，占0%。</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2018年度本年支出682.04万元，其中：基本支出</w:t>
      </w:r>
      <w:r>
        <w:rPr>
          <w:rFonts w:hint="eastAsia" w:ascii="宋体" w:hAnsi="宋体" w:cs="Arial"/>
          <w:color w:val="000000"/>
          <w:kern w:val="0"/>
          <w:sz w:val="32"/>
          <w:szCs w:val="32"/>
        </w:rPr>
        <w:t>318.90</w:t>
      </w:r>
      <w:r>
        <w:rPr>
          <w:rFonts w:hint="eastAsia" w:ascii="仿宋_GB2312" w:eastAsia="仿宋_GB2312"/>
          <w:sz w:val="32"/>
          <w:szCs w:val="32"/>
        </w:rPr>
        <w:t>万元，占46.75 %；项目支出363.14万元，占53.25%；上缴上级支出0万元，占0%；经营支出0万元，占0%；对附属单位补助支出0万元，占0 %。</w:t>
      </w:r>
    </w:p>
    <w:p>
      <w:pPr>
        <w:spacing w:line="580" w:lineRule="exact"/>
        <w:ind w:firstLine="600"/>
        <w:rPr>
          <w:rFonts w:ascii="楷体_GB2312" w:eastAsia="楷体_GB2312"/>
          <w:sz w:val="32"/>
          <w:szCs w:val="32"/>
        </w:rPr>
      </w:pPr>
      <w:r>
        <w:rPr>
          <w:rFonts w:hint="eastAsia" w:ascii="楷体_GB2312" w:eastAsia="楷体_GB2312"/>
          <w:sz w:val="32"/>
          <w:szCs w:val="32"/>
        </w:rPr>
        <w:t>（四）财政拨款收入支出决算总体情况</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2018年财政拨款收入总计682.04万元，财政拨款支出总计682.04万元。与2017年相比，财政拨款收入增加134.03万元，增加24.45%；支出总计增加134.03万元，增加24.45%。</w:t>
      </w:r>
      <w:r>
        <w:rPr>
          <w:rFonts w:hint="eastAsia" w:ascii="仿宋_GB2312" w:eastAsia="仿宋_GB2312"/>
          <w:color w:val="000000" w:themeColor="text1"/>
          <w:sz w:val="32"/>
          <w:szCs w:val="32"/>
        </w:rPr>
        <w:t>主要原因：教师工资水平有所增长，教育经费拨款增加。</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财政拨款收入决算总计682.04万元，其中：一般公共预算财政拨款679.25万元，占99.59%；政府性基金预算财政拨款2.79万元，占0.41 %；一般公共预算财政拨款年初结转和结余0万元，占0%；政府性基金预算财政拨款年初结转和结余0万元，占0 %。</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2018年度财政拨款支出决算总计682.04万元，其中：教育支出679.25万元，占99.59%，主要用于教育局机关人员工资及日常办公支出；其他支出2.79万元,占0.41%，</w:t>
      </w:r>
      <w:r>
        <w:rPr>
          <w:rFonts w:hint="eastAsia" w:ascii="仿宋_GB2312" w:eastAsia="仿宋_GB2312"/>
          <w:color w:val="000000" w:themeColor="text1"/>
          <w:sz w:val="32"/>
          <w:szCs w:val="32"/>
        </w:rPr>
        <w:t>主要用于足球联赛秩序册、奖杯等支出。</w:t>
      </w:r>
    </w:p>
    <w:p>
      <w:pPr>
        <w:spacing w:line="580" w:lineRule="exact"/>
        <w:ind w:firstLine="600"/>
        <w:rPr>
          <w:rFonts w:ascii="楷体_GB2312" w:eastAsia="楷体_GB2312"/>
          <w:sz w:val="32"/>
          <w:szCs w:val="32"/>
        </w:rPr>
      </w:pPr>
      <w:r>
        <w:rPr>
          <w:rFonts w:hint="eastAsia" w:ascii="楷体_GB2312" w:eastAsia="楷体_GB2312"/>
          <w:sz w:val="32"/>
          <w:szCs w:val="32"/>
        </w:rPr>
        <w:t>（五）一般公共预算财政拨款支出决算情况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1．一般公共预算财政拨款支出决算总体情况</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2018年度一般公共预算财政拨款支出决算为682.04万元，占本年支出合计的99.59 %。与2017年相比，一般公共预算财政拨款支出增加135.82万元，增加19.91%。</w:t>
      </w:r>
      <w:r>
        <w:rPr>
          <w:rFonts w:hint="eastAsia" w:ascii="仿宋_GB2312" w:eastAsia="仿宋_GB2312"/>
          <w:color w:val="000000" w:themeColor="text1"/>
          <w:sz w:val="32"/>
          <w:szCs w:val="32"/>
        </w:rPr>
        <w:t>主要原因：教师工资水平有所增长，教育经费拨款增加。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2．一般公共预算财政拨款支出决算具体情况</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2018年度一般公共预算财政拨款支出年初预算为567.94万元，支出决算为682.04万元，完成年初预算的100%。</w:t>
      </w:r>
      <w:r>
        <w:rPr>
          <w:rFonts w:hint="eastAsia" w:ascii="仿宋_GB2312" w:eastAsia="仿宋_GB2312"/>
          <w:color w:val="000000" w:themeColor="text1"/>
          <w:sz w:val="32"/>
          <w:szCs w:val="32"/>
        </w:rPr>
        <w:t>决算数大于预算数主要原因是调资增资，补发2017年精神文明奖，支出决算数中含安保支出、教师招聘支出、中韩交流支出等（综合预算安排支出）。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其中：</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（1）教育支出（类）教育管理事务（款）行政运行（项）。主要反映用于教育局机关日常运行基本支出。年初预算为277.34万元，支出决算为318.90万元，完成年初预算的100%。</w:t>
      </w:r>
      <w:r>
        <w:rPr>
          <w:rFonts w:hint="eastAsia" w:ascii="仿宋_GB2312" w:eastAsia="仿宋_GB2312"/>
          <w:color w:val="000000" w:themeColor="text1"/>
          <w:sz w:val="32"/>
          <w:szCs w:val="32"/>
        </w:rPr>
        <w:t>决算数大于预算数主要原因是调资增资，补发2017年精神文明奖。</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（2）教育支出（类）教育管理事务（款）一般行政管理事务（项）。主要反映用于教育局机关日常运行项目支出。年初预算为290.60万元，支出决算为213.85万元，完成年初预算的73.58%。</w:t>
      </w:r>
      <w:r>
        <w:rPr>
          <w:rFonts w:hint="eastAsia" w:ascii="仿宋_GB2312" w:eastAsia="仿宋_GB2312"/>
          <w:color w:val="000000" w:themeColor="text1"/>
          <w:sz w:val="32"/>
          <w:szCs w:val="32"/>
        </w:rPr>
        <w:t>决算数小于预算数主要原因是2018年支出压缩。</w:t>
      </w:r>
    </w:p>
    <w:p>
      <w:pPr>
        <w:spacing w:line="580" w:lineRule="exact"/>
        <w:ind w:firstLine="600"/>
        <w:rPr>
          <w:rFonts w:ascii="楷体_GB2312" w:eastAsia="楷体_GB2312"/>
          <w:sz w:val="32"/>
          <w:szCs w:val="32"/>
        </w:rPr>
      </w:pPr>
      <w:r>
        <w:rPr>
          <w:rFonts w:hint="eastAsia" w:ascii="楷体_GB2312" w:eastAsia="楷体_GB2312"/>
          <w:sz w:val="32"/>
          <w:szCs w:val="32"/>
        </w:rPr>
        <w:t>（六）一般公共预算财政拨款基本支出决算情况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2018年度一般公共预算财政拨款基本支出决算318.9万元，包括人员经费和公用经费，支出具体情况如下：</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人员经费221.75万元，主要包括：基本工资、津贴补贴、奖金、机关事业单位基本养老保险缴费、其他工资福利支出、生活补助、奖励金、住房公积金、购房补贴、物业服务补贴、其他对个人和家庭的补助支出等。</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公用经费97.15万元，主要包括：办公费、手续费、水费、电费、邮电费、差旅费、维修（护）费、培训费、劳务费、工会经费、福利费、其他商品和服务支出等。</w:t>
      </w:r>
    </w:p>
    <w:p>
      <w:pPr>
        <w:spacing w:line="580" w:lineRule="exact"/>
        <w:ind w:firstLine="600"/>
        <w:rPr>
          <w:rFonts w:ascii="楷体_GB2312" w:eastAsia="楷体_GB2312"/>
          <w:sz w:val="32"/>
          <w:szCs w:val="32"/>
        </w:rPr>
      </w:pPr>
      <w:r>
        <w:rPr>
          <w:rFonts w:hint="eastAsia" w:ascii="楷体_GB2312" w:eastAsia="楷体_GB2312"/>
          <w:sz w:val="32"/>
          <w:szCs w:val="32"/>
        </w:rPr>
        <w:t>（七）政府性基金预算财政拨款收入支出决算情况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2018年度政府性基金预算财政拨款年初结转和结余0万元，本年收入2.79万元，本年支出2.79万元，年末结转和结余0万元。支出具体情况如下：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其他支出</w:t>
      </w:r>
      <w:r>
        <w:rPr>
          <w:rFonts w:hint="eastAsia" w:ascii="仿宋_GB2312" w:hAnsi="宋体" w:eastAsia="仿宋_GB2312" w:cs="Courier New"/>
          <w:sz w:val="32"/>
          <w:szCs w:val="32"/>
        </w:rPr>
        <w:t>（类）彩票公益金及对应专项债务收入安排的支出（款）用于体育事业的彩票公益金支出（项）。</w:t>
      </w:r>
      <w:r>
        <w:rPr>
          <w:rFonts w:hint="eastAsia" w:ascii="仿宋_GB2312" w:eastAsia="仿宋_GB2312"/>
          <w:sz w:val="32"/>
          <w:szCs w:val="32"/>
        </w:rPr>
        <w:t>主要反映彩票公益金用于足球项目的专项支出。年初预算为0万元，支出决算为2.79万元，完成年初预算的100%。决算数大于预算数主要原因是预算由区体育局安排，列支调整到区教育局。</w:t>
      </w:r>
    </w:p>
    <w:p>
      <w:pPr>
        <w:spacing w:line="580" w:lineRule="exact"/>
        <w:ind w:firstLine="600"/>
        <w:rPr>
          <w:rFonts w:ascii="楷体_GB2312" w:eastAsia="楷体_GB2312"/>
          <w:sz w:val="32"/>
          <w:szCs w:val="32"/>
        </w:rPr>
      </w:pPr>
      <w:r>
        <w:rPr>
          <w:rFonts w:hint="eastAsia" w:ascii="楷体_GB2312" w:eastAsia="楷体_GB2312"/>
          <w:sz w:val="32"/>
          <w:szCs w:val="32"/>
        </w:rPr>
        <w:t>（八）一般公共预算财政拨款“三公”经费支出决算情况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1、“三公”经费支出情况及增减变动原因</w:t>
      </w:r>
    </w:p>
    <w:p>
      <w:pPr>
        <w:spacing w:line="580" w:lineRule="exact"/>
        <w:ind w:firstLine="600"/>
        <w:rPr>
          <w:rFonts w:ascii="仿宋_GB2312" w:eastAsia="仿宋_GB2312"/>
          <w:sz w:val="32"/>
          <w:szCs w:val="32"/>
        </w:rPr>
      </w:pPr>
      <w:r>
        <w:rPr>
          <w:rFonts w:hint="eastAsia" w:ascii="仿宋_GB2312" w:eastAsia="仿宋_GB2312"/>
          <w:sz w:val="32"/>
          <w:szCs w:val="32"/>
        </w:rPr>
        <w:t>教育局2018年度一般公共预算财政拨款“三公”经费决算数为3.87万元（含局机关本级），其中：因公出国（境）费0万元，公务用车购置及运行维护费1.66万元，公务接待费2.21万元。</w:t>
      </w:r>
    </w:p>
    <w:p>
      <w:pPr>
        <w:spacing w:line="580" w:lineRule="exact"/>
        <w:ind w:firstLine="592" w:firstLineChars="185"/>
        <w:rPr>
          <w:rFonts w:ascii="仿宋_GB2312" w:eastAsia="仿宋_GB2312"/>
          <w:sz w:val="32"/>
          <w:szCs w:val="32"/>
        </w:rPr>
      </w:pPr>
      <w:r>
        <w:rPr>
          <w:rFonts w:hint="eastAsia" w:ascii="仿宋_GB2312" w:eastAsia="仿宋_GB2312"/>
          <w:sz w:val="32"/>
          <w:szCs w:val="32"/>
        </w:rPr>
        <w:t>2018年“三公”经费决算比年初预算数减少1.13万元，主要原因是2018年坚持中央八项规定要求，严格控制三公经费支出，做到三公经费只减不增。其中：因公出国（境）费增加与年初预算基本持、公务用车购置及运行费减少0.34万元、公务接待费减少0.79万元。公务用车购置及运行费减少的主要原因是严格控制三公经费支出。公务接待费减少的主要原因是严格控制三公经费支出。</w:t>
      </w:r>
    </w:p>
    <w:p>
      <w:pPr>
        <w:spacing w:line="580" w:lineRule="exact"/>
        <w:ind w:firstLine="592" w:firstLineChars="185"/>
        <w:rPr>
          <w:rFonts w:ascii="仿宋_GB2312" w:eastAsia="仿宋_GB2312"/>
          <w:b/>
          <w:color w:val="000000" w:themeColor="text1"/>
          <w:sz w:val="32"/>
          <w:szCs w:val="32"/>
        </w:rPr>
      </w:pPr>
      <w:r>
        <w:rPr>
          <w:rFonts w:hint="eastAsia" w:ascii="仿宋_GB2312" w:eastAsia="仿宋_GB2312"/>
          <w:sz w:val="32"/>
          <w:szCs w:val="32"/>
        </w:rPr>
        <w:t>2018年“三公”经费决算比2017年决算数增加1.45万元，</w:t>
      </w:r>
      <w:r>
        <w:rPr>
          <w:rFonts w:hint="eastAsia" w:ascii="仿宋_GB2312" w:eastAsia="仿宋_GB2312"/>
          <w:color w:val="000000" w:themeColor="text1"/>
          <w:sz w:val="32"/>
          <w:szCs w:val="32"/>
        </w:rPr>
        <w:t>主要原因是2018年严格控制三公经费支出。</w:t>
      </w:r>
      <w:r>
        <w:rPr>
          <w:rFonts w:hint="eastAsia" w:ascii="仿宋_GB2312" w:eastAsia="仿宋_GB2312"/>
          <w:sz w:val="32"/>
          <w:szCs w:val="32"/>
        </w:rPr>
        <w:t>其中：因公出国（境）费与2017年决算基本持平、公务用车购置及运行费资金0.26万元、公务接待费资金增加1.19万元。</w:t>
      </w:r>
      <w:r>
        <w:rPr>
          <w:rFonts w:hint="eastAsia" w:ascii="仿宋_GB2312" w:eastAsia="仿宋_GB2312"/>
          <w:color w:val="000000" w:themeColor="text1"/>
          <w:sz w:val="32"/>
          <w:szCs w:val="32"/>
        </w:rPr>
        <w:t>公务用车购置及运行费减少的主要原因是严格控制三公经费支出。公务接待费增加的主要原因是严格控制三公经费支出。</w:t>
      </w:r>
    </w:p>
    <w:p>
      <w:pPr>
        <w:spacing w:line="580" w:lineRule="exact"/>
        <w:ind w:firstLine="600"/>
        <w:rPr>
          <w:rFonts w:ascii="仿宋_GB2312" w:eastAsia="仿宋_GB2312"/>
          <w:sz w:val="32"/>
          <w:szCs w:val="32"/>
        </w:rPr>
      </w:pPr>
      <w:r>
        <w:rPr>
          <w:rFonts w:hint="eastAsia" w:ascii="仿宋_GB2312" w:eastAsia="仿宋_GB2312"/>
          <w:sz w:val="32"/>
          <w:szCs w:val="32"/>
        </w:rPr>
        <w:t>2、“三公”经费支出相关情况说明</w:t>
      </w:r>
    </w:p>
    <w:p>
      <w:pPr>
        <w:spacing w:line="580" w:lineRule="exact"/>
        <w:ind w:firstLine="600"/>
        <w:rPr>
          <w:rFonts w:ascii="仿宋_GB2312" w:eastAsia="仿宋_GB2312"/>
          <w:sz w:val="32"/>
          <w:szCs w:val="32"/>
        </w:rPr>
      </w:pPr>
      <w:r>
        <w:rPr>
          <w:rFonts w:hint="eastAsia" w:ascii="仿宋_GB2312" w:eastAsia="仿宋_GB2312"/>
          <w:sz w:val="32"/>
          <w:szCs w:val="32"/>
        </w:rPr>
        <w:t>（1）因公出国（境）费反映单位公务出国（境）的国际旅费、国外城市间交通费、住宿费、伙食费、培训费、公杂费等支出。2018年使用财政拨款安排0个单位，因公出国(境)团组0个， 累计0人次。</w:t>
      </w:r>
    </w:p>
    <w:p>
      <w:pPr>
        <w:spacing w:line="580" w:lineRule="exact"/>
        <w:ind w:firstLine="588" w:firstLineChars="184"/>
        <w:rPr>
          <w:rFonts w:ascii="仿宋_GB2312" w:eastAsia="仿宋_GB2312"/>
          <w:sz w:val="32"/>
          <w:szCs w:val="32"/>
        </w:rPr>
      </w:pPr>
      <w:r>
        <w:rPr>
          <w:rFonts w:hint="eastAsia" w:ascii="仿宋_GB2312" w:eastAsia="仿宋_GB2312"/>
          <w:sz w:val="32"/>
          <w:szCs w:val="32"/>
        </w:rPr>
        <w:t>（2）公务用车购置及运行维护费反映公务用车购置支出（含车辆购置税）及公务用车燃料费、维修费、过桥过路费、保险费、安全奖励费用等支出。其中：公务用车购置费0万元,2018年教育局使用财政拨款购置公务用车0辆公务用车运行维护费1.66万元，主要用于公车加油、车辆保险和维修。2018年教育局财政拨款开支运行维护费的公务用车保有量为1辆。</w:t>
      </w:r>
    </w:p>
    <w:p>
      <w:pPr>
        <w:spacing w:line="580" w:lineRule="exact"/>
        <w:ind w:firstLine="601"/>
        <w:rPr>
          <w:rFonts w:ascii="仿宋_GB2312" w:eastAsia="仿宋_GB2312"/>
          <w:sz w:val="32"/>
          <w:szCs w:val="32"/>
        </w:rPr>
      </w:pPr>
      <w:r>
        <w:rPr>
          <w:rFonts w:hint="eastAsia" w:ascii="仿宋_GB2312" w:eastAsia="仿宋_GB2312"/>
          <w:sz w:val="32"/>
          <w:szCs w:val="32"/>
        </w:rPr>
        <w:t>（3）公务接待费反映单位按规定开支的各类公务接待（含外宾接待）费用。其中：2018年公务接待全部为国内公务接待，主要用于公务活动接待，共计接待4批次，139人次，其中外事接待费0万元，外事接待0批次，0人次。</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1"/>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firstLine="601"/>
        <w:rPr>
          <w:rFonts w:ascii="仿宋_GB2312" w:eastAsia="仿宋_GB2312"/>
          <w:color w:val="000000" w:themeColor="text1"/>
          <w:sz w:val="32"/>
          <w:szCs w:val="32"/>
        </w:rPr>
      </w:pPr>
      <w:r>
        <w:rPr>
          <w:rFonts w:hint="eastAsia" w:ascii="仿宋_GB2312" w:eastAsia="仿宋_GB2312"/>
          <w:sz w:val="32"/>
          <w:szCs w:val="32"/>
        </w:rPr>
        <w:t>2018年度，教育局机关运行经费支出97.15万元，比2017年增加84.98万元，增加698%，</w:t>
      </w:r>
      <w:r>
        <w:rPr>
          <w:rFonts w:hint="eastAsia" w:ascii="仿宋_GB2312" w:eastAsia="仿宋_GB2312"/>
          <w:color w:val="000000" w:themeColor="text1"/>
          <w:sz w:val="32"/>
          <w:szCs w:val="32"/>
        </w:rPr>
        <w:t>主要原因是教育局2018年局属事业单位公用经费统一合并至教育局机关，公用经费增加。</w:t>
      </w:r>
    </w:p>
    <w:p>
      <w:pPr>
        <w:spacing w:line="580" w:lineRule="exact"/>
        <w:ind w:firstLine="601"/>
        <w:rPr>
          <w:rFonts w:ascii="楷体_GB2312" w:eastAsia="楷体_GB2312"/>
          <w:sz w:val="32"/>
          <w:szCs w:val="32"/>
        </w:rPr>
      </w:pPr>
      <w:r>
        <w:rPr>
          <w:rFonts w:hint="eastAsia" w:ascii="楷体_GB2312" w:eastAsia="楷体_GB2312"/>
          <w:sz w:val="32"/>
          <w:szCs w:val="32"/>
        </w:rPr>
        <w:t>（二）政府采购支出情况说明</w:t>
      </w:r>
    </w:p>
    <w:p>
      <w:pPr>
        <w:spacing w:line="580" w:lineRule="exact"/>
        <w:ind w:firstLine="600"/>
        <w:rPr>
          <w:rFonts w:ascii="仿宋_GB2312" w:hAnsi="宋体" w:eastAsia="仿宋_GB2312" w:cs="Courier New"/>
          <w:color w:val="FF0000"/>
          <w:sz w:val="32"/>
          <w:szCs w:val="32"/>
        </w:rPr>
      </w:pPr>
      <w:r>
        <w:rPr>
          <w:rFonts w:hint="eastAsia" w:ascii="仿宋_GB2312" w:hAnsi="宋体" w:eastAsia="仿宋_GB2312" w:cs="Courier New"/>
          <w:sz w:val="32"/>
          <w:szCs w:val="32"/>
        </w:rPr>
        <w:t>2018年本部门政府采购支出总额13.56万元，其中：政府采购货物支出13.56万元、政府采购工程支出0万元、政府采购服务支出0万元。授予中小企业合同金额13.56万元，占政府采购支出总额的100%。</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（三）国有资产占用情况说明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截至2018年12月31日，本部门共有车辆1辆，其中，一般公务用车1辆、一般执法执勤用车0辆、特种专业技术用车0辆、其他用车0辆；单位价值50万元以上通用设备 0台（套），单位价值100万元以上专用设备0台（套）。</w:t>
      </w:r>
    </w:p>
    <w:p>
      <w:pPr>
        <w:spacing w:line="600" w:lineRule="exact"/>
        <w:ind w:firstLine="600"/>
        <w:rPr>
          <w:rFonts w:ascii="仿宋_GB2312" w:eastAsia="仿宋_GB2312"/>
          <w:sz w:val="32"/>
          <w:szCs w:val="32"/>
        </w:rPr>
      </w:pPr>
    </w:p>
    <w:p>
      <w:pPr>
        <w:spacing w:line="600" w:lineRule="exact"/>
        <w:ind w:firstLine="600"/>
        <w:rPr>
          <w:rFonts w:ascii="仿宋_GB2312" w:eastAsia="仿宋_GB2312"/>
          <w:sz w:val="32"/>
          <w:szCs w:val="32"/>
        </w:rPr>
      </w:pPr>
    </w:p>
    <w:p>
      <w:pPr>
        <w:spacing w:line="600" w:lineRule="exact"/>
        <w:ind w:firstLine="600"/>
        <w:rPr>
          <w:rFonts w:ascii="仿宋_GB2312" w:eastAsia="仿宋_GB2312"/>
          <w:sz w:val="32"/>
          <w:szCs w:val="32"/>
        </w:rPr>
      </w:pPr>
    </w:p>
    <w:p>
      <w:pPr>
        <w:spacing w:line="600" w:lineRule="exact"/>
        <w:ind w:firstLine="600"/>
        <w:rPr>
          <w:rFonts w:ascii="仿宋_GB2312" w:eastAsia="仿宋_GB2312"/>
          <w:sz w:val="32"/>
          <w:szCs w:val="32"/>
        </w:rPr>
      </w:pPr>
    </w:p>
    <w:p>
      <w:pPr>
        <w:spacing w:line="600" w:lineRule="exact"/>
        <w:ind w:firstLine="600"/>
        <w:rPr>
          <w:rFonts w:ascii="仿宋_GB2312" w:eastAsia="仿宋_GB2312"/>
          <w:sz w:val="32"/>
          <w:szCs w:val="32"/>
        </w:rPr>
      </w:pPr>
    </w:p>
    <w:p>
      <w:pPr>
        <w:spacing w:line="600" w:lineRule="exact"/>
        <w:ind w:firstLine="600"/>
        <w:rPr>
          <w:rFonts w:ascii="仿宋_GB2312" w:eastAsia="仿宋_GB2312"/>
          <w:sz w:val="32"/>
          <w:szCs w:val="3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b/>
          <w:sz w:val="52"/>
          <w:szCs w:val="52"/>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hint="eastAsia" w:ascii="黑体" w:eastAsia="黑体"/>
          <w:sz w:val="52"/>
          <w:szCs w:val="52"/>
        </w:rPr>
      </w:pPr>
      <w:r>
        <w:rPr>
          <w:rFonts w:hint="eastAsia" w:ascii="黑体" w:eastAsia="黑体"/>
          <w:sz w:val="52"/>
          <w:szCs w:val="52"/>
        </w:rPr>
        <w:t>名词解释</w:t>
      </w: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spacing w:line="580" w:lineRule="exact"/>
        <w:ind w:firstLine="640" w:firstLineChars="200"/>
        <w:rPr>
          <w:rFonts w:eastAsia="仿宋_GB2312"/>
          <w:sz w:val="32"/>
          <w:szCs w:val="32"/>
        </w:rPr>
      </w:pPr>
      <w:r>
        <w:rPr>
          <w:rFonts w:hint="eastAsia" w:ascii="黑体" w:hAnsi="黑体" w:eastAsia="黑体"/>
          <w:sz w:val="32"/>
          <w:szCs w:val="32"/>
        </w:rPr>
        <w:t>一、财政拨款收入：</w:t>
      </w:r>
      <w:r>
        <w:rPr>
          <w:rFonts w:hint="eastAsia" w:ascii="仿宋_GB2312" w:eastAsia="仿宋_GB2312"/>
          <w:sz w:val="32"/>
          <w:szCs w:val="32"/>
        </w:rPr>
        <w:t>指由市级财政当年拨付的资金。按现行管理制度，市级部门决算中反映的财政拨款包括一般公共预算财政拨款和政府性基金预算财政拨款。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spacing w:line="580" w:lineRule="exact"/>
        <w:ind w:firstLine="600"/>
        <w:rPr>
          <w:rFonts w:ascii="仿宋_GB2312"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费和公务接待费。其中，因公出国（境）费反映单位公务出国（境）的国际旅费、国外城市间交通费、住宿费、伙食费、培训费、公杂费等支出；公务用车购置及运行维护费反映公务用车购置支出（含车辆购置税）及公务用车燃料费、维修费、过桥过路费、保险费、安全奖励费等支出；公务接待费反映单位按规定开支的各类公务接待（含外宾接待）费用。</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00"/>
        <w:rPr>
          <w:rFonts w:ascii="黑体" w:hAnsi="黑体" w:eastAsia="黑体"/>
          <w:sz w:val="32"/>
          <w:szCs w:val="32"/>
        </w:rPr>
      </w:pPr>
      <w:r>
        <w:rPr>
          <w:rFonts w:hint="eastAsia" w:ascii="黑体" w:hAnsi="黑体" w:eastAsia="黑体"/>
          <w:sz w:val="32"/>
          <w:szCs w:val="32"/>
        </w:rPr>
        <w:t>十六、教育支出（类）教育管理事务（款）行政运行（项）：</w:t>
      </w:r>
      <w:r>
        <w:rPr>
          <w:rFonts w:hint="eastAsia" w:ascii="仿宋_GB2312" w:eastAsia="仿宋_GB2312"/>
          <w:sz w:val="32"/>
          <w:szCs w:val="32"/>
        </w:rPr>
        <w:t>指行政单位（包括实行公务员管理的事业单位）的基本支出。</w:t>
      </w:r>
    </w:p>
    <w:p>
      <w:pPr>
        <w:spacing w:line="580" w:lineRule="exact"/>
        <w:ind w:firstLine="600"/>
        <w:rPr>
          <w:rFonts w:hint="eastAsia" w:ascii="仿宋_GB2312" w:eastAsia="仿宋_GB2312"/>
          <w:sz w:val="32"/>
          <w:szCs w:val="32"/>
        </w:rPr>
      </w:pPr>
      <w:r>
        <w:rPr>
          <w:rFonts w:hint="eastAsia" w:ascii="黑体" w:hAnsi="黑体" w:eastAsia="黑体"/>
          <w:sz w:val="32"/>
          <w:szCs w:val="32"/>
        </w:rPr>
        <w:t>十七、教育支出（类）教育管理事务（款）一般行政管理事务（项）：</w:t>
      </w:r>
      <w:r>
        <w:rPr>
          <w:rFonts w:hint="eastAsia" w:ascii="仿宋_GB2312" w:eastAsia="仿宋_GB2312"/>
          <w:sz w:val="32"/>
          <w:szCs w:val="32"/>
        </w:rPr>
        <w:t>指行政单位（包括实行公务员管理的事业单位）未单独设置项级科目的其他项目支出。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lang w:eastAsia="zh-CN"/>
        </w:rPr>
        <w:t>十八、</w:t>
      </w:r>
      <w:r>
        <w:rPr>
          <w:rFonts w:hint="eastAsia" w:ascii="黑体" w:hAnsi="黑体" w:eastAsia="黑体" w:cs="黑体"/>
          <w:b w:val="0"/>
          <w:color w:val="auto"/>
          <w:sz w:val="32"/>
          <w:szCs w:val="32"/>
        </w:rPr>
        <w:t>教育支出（类）普通教育（款）</w:t>
      </w:r>
      <w:r>
        <w:rPr>
          <w:rFonts w:hint="eastAsia" w:ascii="黑体" w:hAnsi="黑体" w:eastAsia="黑体" w:cs="黑体"/>
          <w:b w:val="0"/>
          <w:color w:val="auto"/>
          <w:sz w:val="32"/>
          <w:szCs w:val="32"/>
          <w:lang w:eastAsia="zh-CN"/>
        </w:rPr>
        <w:t>学前</w:t>
      </w:r>
      <w:r>
        <w:rPr>
          <w:rFonts w:hint="eastAsia" w:ascii="黑体" w:hAnsi="黑体" w:eastAsia="黑体" w:cs="黑体"/>
          <w:b w:val="0"/>
          <w:color w:val="auto"/>
          <w:sz w:val="32"/>
          <w:szCs w:val="32"/>
        </w:rPr>
        <w:t>教育（项）：</w:t>
      </w:r>
      <w:r>
        <w:rPr>
          <w:rFonts w:hint="eastAsia" w:ascii="仿宋_GB2312" w:hAnsi="仿宋_GB2312" w:eastAsia="仿宋_GB2312" w:cs="仿宋_GB2312"/>
          <w:b w:val="0"/>
          <w:color w:val="auto"/>
          <w:sz w:val="32"/>
          <w:szCs w:val="32"/>
        </w:rPr>
        <w:t>反映各部门举办的</w:t>
      </w:r>
      <w:r>
        <w:rPr>
          <w:rFonts w:hint="eastAsia" w:ascii="仿宋_GB2312" w:hAnsi="仿宋_GB2312" w:eastAsia="仿宋_GB2312" w:cs="仿宋_GB2312"/>
          <w:b w:val="0"/>
          <w:color w:val="auto"/>
          <w:sz w:val="32"/>
          <w:szCs w:val="32"/>
          <w:lang w:eastAsia="zh-CN"/>
        </w:rPr>
        <w:t>学前</w:t>
      </w:r>
      <w:r>
        <w:rPr>
          <w:rFonts w:hint="eastAsia" w:ascii="仿宋_GB2312" w:hAnsi="仿宋_GB2312" w:eastAsia="仿宋_GB2312" w:cs="仿宋_GB2312"/>
          <w:b w:val="0"/>
          <w:color w:val="auto"/>
          <w:sz w:val="32"/>
          <w:szCs w:val="32"/>
        </w:rPr>
        <w:t>教育支出。政府各部门对社会中介组织等举办的</w:t>
      </w:r>
      <w:r>
        <w:rPr>
          <w:rFonts w:hint="eastAsia" w:ascii="仿宋_GB2312" w:hAnsi="仿宋_GB2312" w:eastAsia="仿宋_GB2312" w:cs="仿宋_GB2312"/>
          <w:b w:val="0"/>
          <w:color w:val="auto"/>
          <w:sz w:val="32"/>
          <w:szCs w:val="32"/>
          <w:lang w:eastAsia="zh-CN"/>
        </w:rPr>
        <w:t>学前</w:t>
      </w:r>
      <w:r>
        <w:rPr>
          <w:rFonts w:hint="eastAsia" w:ascii="仿宋_GB2312" w:hAnsi="仿宋_GB2312" w:eastAsia="仿宋_GB2312" w:cs="仿宋_GB2312"/>
          <w:b w:val="0"/>
          <w:color w:val="auto"/>
          <w:sz w:val="32"/>
          <w:szCs w:val="32"/>
        </w:rPr>
        <w:t>教育的资助，如捐赠、补贴等，也在本科目中反映。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b w:val="0"/>
          <w:color w:val="auto"/>
          <w:sz w:val="32"/>
          <w:szCs w:val="32"/>
        </w:rPr>
      </w:pPr>
      <w:r>
        <w:rPr>
          <w:rFonts w:hint="eastAsia" w:ascii="黑体" w:hAnsi="黑体" w:eastAsia="黑体"/>
          <w:color w:val="auto"/>
          <w:sz w:val="32"/>
          <w:szCs w:val="32"/>
          <w:highlight w:val="none"/>
        </w:rPr>
        <w:t>十</w:t>
      </w:r>
      <w:r>
        <w:rPr>
          <w:rFonts w:hint="eastAsia" w:ascii="黑体" w:hAnsi="黑体" w:eastAsia="黑体"/>
          <w:color w:val="auto"/>
          <w:sz w:val="32"/>
          <w:szCs w:val="32"/>
          <w:highlight w:val="none"/>
          <w:lang w:eastAsia="zh-CN"/>
        </w:rPr>
        <w:t>九</w:t>
      </w:r>
      <w:r>
        <w:rPr>
          <w:rFonts w:hint="eastAsia" w:ascii="黑体" w:hAnsi="黑体" w:eastAsia="黑体"/>
          <w:color w:val="auto"/>
          <w:sz w:val="32"/>
          <w:szCs w:val="32"/>
          <w:highlight w:val="none"/>
        </w:rPr>
        <w:t>、</w:t>
      </w:r>
      <w:r>
        <w:rPr>
          <w:rFonts w:hint="eastAsia" w:ascii="黑体" w:hAnsi="黑体" w:eastAsia="黑体" w:cs="黑体"/>
          <w:b w:val="0"/>
          <w:color w:val="auto"/>
          <w:sz w:val="32"/>
          <w:szCs w:val="32"/>
        </w:rPr>
        <w:t>教育支出（类）普通教育（款）</w:t>
      </w:r>
      <w:r>
        <w:rPr>
          <w:rFonts w:hint="eastAsia" w:ascii="黑体" w:hAnsi="黑体" w:eastAsia="黑体" w:cs="黑体"/>
          <w:b w:val="0"/>
          <w:color w:val="auto"/>
          <w:sz w:val="32"/>
          <w:szCs w:val="32"/>
          <w:lang w:eastAsia="zh-CN"/>
        </w:rPr>
        <w:t>小学</w:t>
      </w:r>
      <w:r>
        <w:rPr>
          <w:rFonts w:hint="eastAsia" w:ascii="黑体" w:hAnsi="黑体" w:eastAsia="黑体" w:cs="黑体"/>
          <w:b w:val="0"/>
          <w:color w:val="auto"/>
          <w:sz w:val="32"/>
          <w:szCs w:val="32"/>
        </w:rPr>
        <w:t>教育（项）：</w:t>
      </w:r>
      <w:r>
        <w:rPr>
          <w:rFonts w:hint="eastAsia" w:ascii="仿宋_GB2312" w:hAnsi="仿宋_GB2312" w:eastAsia="仿宋_GB2312" w:cs="仿宋_GB2312"/>
          <w:b w:val="0"/>
          <w:color w:val="auto"/>
          <w:sz w:val="32"/>
          <w:szCs w:val="32"/>
        </w:rPr>
        <w:t>反映各部门举办的</w:t>
      </w:r>
      <w:r>
        <w:rPr>
          <w:rFonts w:hint="eastAsia" w:ascii="仿宋_GB2312" w:hAnsi="仿宋_GB2312" w:eastAsia="仿宋_GB2312" w:cs="仿宋_GB2312"/>
          <w:b w:val="0"/>
          <w:color w:val="auto"/>
          <w:sz w:val="32"/>
          <w:szCs w:val="32"/>
          <w:lang w:eastAsia="zh-CN"/>
        </w:rPr>
        <w:t>小学</w:t>
      </w:r>
      <w:r>
        <w:rPr>
          <w:rFonts w:hint="eastAsia" w:ascii="仿宋_GB2312" w:hAnsi="仿宋_GB2312" w:eastAsia="仿宋_GB2312" w:cs="仿宋_GB2312"/>
          <w:b w:val="0"/>
          <w:color w:val="auto"/>
          <w:sz w:val="32"/>
          <w:szCs w:val="32"/>
        </w:rPr>
        <w:t>教育支出。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lang w:eastAsia="zh-CN"/>
        </w:rPr>
        <w:t>二十、</w:t>
      </w:r>
      <w:r>
        <w:rPr>
          <w:rFonts w:hint="eastAsia" w:ascii="黑体" w:hAnsi="黑体" w:eastAsia="黑体" w:cs="黑体"/>
          <w:b w:val="0"/>
          <w:color w:val="auto"/>
          <w:sz w:val="32"/>
          <w:szCs w:val="32"/>
        </w:rPr>
        <w:t>教育支出（类）普通教育（款）初中教育（项）：</w:t>
      </w:r>
      <w:r>
        <w:rPr>
          <w:rFonts w:hint="eastAsia" w:ascii="仿宋_GB2312" w:hAnsi="仿宋_GB2312" w:eastAsia="仿宋_GB2312" w:cs="仿宋_GB2312"/>
          <w:b w:val="0"/>
          <w:color w:val="auto"/>
          <w:sz w:val="32"/>
          <w:szCs w:val="32"/>
        </w:rPr>
        <w:t>反映各部门举办的初中教育支出。政府各部门对社会中介组织等举办的初中教育的资助，如捐赠、补贴等，也在本科目中反映。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lang w:eastAsia="zh-CN"/>
        </w:rPr>
        <w:t>二十一、</w:t>
      </w:r>
      <w:r>
        <w:rPr>
          <w:rFonts w:hint="eastAsia" w:ascii="黑体" w:hAnsi="黑体" w:eastAsia="黑体" w:cs="黑体"/>
          <w:b w:val="0"/>
          <w:color w:val="auto"/>
          <w:sz w:val="32"/>
          <w:szCs w:val="32"/>
        </w:rPr>
        <w:t>教育支出（类）普通教育（款）高中教育（项）：</w:t>
      </w:r>
      <w:r>
        <w:rPr>
          <w:rFonts w:hint="eastAsia" w:ascii="仿宋_GB2312" w:hAnsi="仿宋_GB2312" w:eastAsia="仿宋_GB2312" w:cs="仿宋_GB2312"/>
          <w:b w:val="0"/>
          <w:color w:val="auto"/>
          <w:sz w:val="32"/>
          <w:szCs w:val="32"/>
        </w:rPr>
        <w:t>反映各部门举办的高级中学教育支出。政府各部门对社会中介组织等举办的高级中学的资助，如捐赠、补贴等，也在本科目中反映。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lang w:eastAsia="zh-CN"/>
        </w:rPr>
        <w:t>二十二、</w:t>
      </w:r>
      <w:r>
        <w:rPr>
          <w:rFonts w:hint="eastAsia" w:ascii="黑体" w:hAnsi="黑体" w:eastAsia="黑体" w:cs="黑体"/>
          <w:b w:val="0"/>
          <w:color w:val="auto"/>
          <w:sz w:val="32"/>
          <w:szCs w:val="32"/>
        </w:rPr>
        <w:t>教育支出（类）职业教育（款）中等职业教育（项）：</w:t>
      </w:r>
      <w:r>
        <w:rPr>
          <w:rFonts w:hint="eastAsia" w:ascii="仿宋_GB2312" w:hAnsi="仿宋_GB2312" w:eastAsia="仿宋_GB2312" w:cs="仿宋_GB2312"/>
          <w:b w:val="0"/>
          <w:color w:val="auto"/>
          <w:sz w:val="32"/>
          <w:szCs w:val="32"/>
        </w:rPr>
        <w:t>反映各部门（不含人力资源社会保障部门）举办的中等职业学校的支出。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b w:val="0"/>
          <w:color w:val="auto"/>
          <w:sz w:val="32"/>
          <w:szCs w:val="32"/>
        </w:rPr>
      </w:pPr>
      <w:r>
        <w:rPr>
          <w:rFonts w:hint="eastAsia" w:ascii="黑体" w:hAnsi="黑体" w:eastAsia="黑体" w:cs="黑体"/>
          <w:b w:val="0"/>
          <w:color w:val="auto"/>
          <w:sz w:val="32"/>
          <w:szCs w:val="32"/>
          <w:lang w:eastAsia="zh-CN"/>
        </w:rPr>
        <w:t>二十三、</w:t>
      </w:r>
      <w:r>
        <w:rPr>
          <w:rFonts w:hint="eastAsia" w:ascii="黑体" w:hAnsi="黑体" w:eastAsia="黑体" w:cs="黑体"/>
          <w:b w:val="0"/>
          <w:color w:val="auto"/>
          <w:sz w:val="32"/>
          <w:szCs w:val="32"/>
        </w:rPr>
        <w:t>教育支出（类）特殊教育（款）特殊学校教育</w:t>
      </w:r>
      <w:r>
        <w:rPr>
          <w:rFonts w:hint="eastAsia" w:ascii="黑体" w:hAnsi="黑体" w:eastAsia="黑体" w:cs="黑体"/>
          <w:b w:val="0"/>
          <w:color w:val="auto"/>
          <w:sz w:val="32"/>
          <w:szCs w:val="32"/>
          <w:lang w:eastAsia="zh-CN"/>
        </w:rPr>
        <w:t>（项）</w:t>
      </w:r>
      <w:r>
        <w:rPr>
          <w:rFonts w:hint="eastAsia" w:ascii="黑体" w:hAnsi="黑体" w:eastAsia="黑体" w:cs="黑体"/>
          <w:b w:val="0"/>
          <w:color w:val="auto"/>
          <w:sz w:val="32"/>
          <w:szCs w:val="32"/>
        </w:rPr>
        <w:t>：</w:t>
      </w:r>
      <w:r>
        <w:rPr>
          <w:rFonts w:hint="eastAsia" w:ascii="仿宋_GB2312" w:hAnsi="仿宋_GB2312" w:eastAsia="仿宋_GB2312" w:cs="仿宋_GB2312"/>
          <w:b w:val="0"/>
          <w:color w:val="auto"/>
          <w:sz w:val="32"/>
          <w:szCs w:val="32"/>
        </w:rPr>
        <w:t>反映各部门举办盲童学校、聋哑学校、智力落后儿童学校、其他生理缺陷儿童学校的支出。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b w:val="0"/>
          <w:color w:val="auto"/>
          <w:sz w:val="32"/>
          <w:szCs w:val="32"/>
          <w:lang w:eastAsia="zh-CN"/>
        </w:rPr>
      </w:pPr>
      <w:r>
        <w:rPr>
          <w:rFonts w:hint="eastAsia" w:ascii="黑体" w:hAnsi="黑体" w:eastAsia="黑体" w:cs="黑体"/>
          <w:b w:val="0"/>
          <w:color w:val="auto"/>
          <w:sz w:val="32"/>
          <w:szCs w:val="32"/>
          <w:lang w:eastAsia="zh-CN"/>
        </w:rPr>
        <w:t>二十四、</w:t>
      </w:r>
      <w:r>
        <w:rPr>
          <w:rFonts w:hint="eastAsia" w:ascii="黑体" w:hAnsi="黑体" w:eastAsia="黑体" w:cs="黑体"/>
          <w:b w:val="0"/>
          <w:color w:val="auto"/>
          <w:sz w:val="32"/>
          <w:szCs w:val="32"/>
        </w:rPr>
        <w:t>教育支出（类）教育费附加安排的支出（款）其他教育费附加安排的支出：</w:t>
      </w:r>
      <w:r>
        <w:rPr>
          <w:rFonts w:hint="eastAsia" w:ascii="仿宋_GB2312" w:hAnsi="仿宋_GB2312" w:eastAsia="仿宋_GB2312" w:cs="仿宋_GB2312"/>
          <w:b w:val="0"/>
          <w:color w:val="auto"/>
          <w:sz w:val="32"/>
          <w:szCs w:val="32"/>
        </w:rPr>
        <w:t>反映除上述项目以外的教育费附加支出。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sz w:val="32"/>
          <w:szCs w:val="32"/>
          <w:lang w:eastAsia="zh-CN"/>
        </w:rPr>
        <w:t>二十五、</w:t>
      </w:r>
      <w:r>
        <w:rPr>
          <w:rFonts w:hint="eastAsia" w:ascii="黑体" w:hAnsi="黑体" w:eastAsia="黑体" w:cs="黑体"/>
          <w:b w:val="0"/>
          <w:color w:val="auto"/>
          <w:sz w:val="32"/>
          <w:szCs w:val="32"/>
        </w:rPr>
        <w:t>教育支出（类）其他教育支出（款）其他教育支出：</w:t>
      </w:r>
      <w:r>
        <w:rPr>
          <w:rFonts w:hint="eastAsia" w:ascii="仿宋_GB2312" w:hAnsi="仿宋_GB2312" w:eastAsia="仿宋_GB2312" w:cs="仿宋_GB2312"/>
          <w:b w:val="0"/>
          <w:color w:val="auto"/>
          <w:sz w:val="32"/>
          <w:szCs w:val="32"/>
        </w:rPr>
        <w:t>反映除上述项目以外的其他用于教育方面的支出。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社会保障和就业支出（类）</w:t>
      </w:r>
      <w:r>
        <w:rPr>
          <w:rFonts w:hint="eastAsia" w:ascii="黑体" w:hAnsi="黑体" w:eastAsia="黑体" w:cs="黑体"/>
          <w:color w:val="auto"/>
          <w:sz w:val="32"/>
          <w:szCs w:val="32"/>
          <w:lang w:eastAsia="zh-CN"/>
        </w:rPr>
        <w:t>行政事业单位养老支出</w:t>
      </w:r>
      <w:r>
        <w:rPr>
          <w:rFonts w:hint="eastAsia" w:ascii="黑体" w:hAnsi="黑体" w:eastAsia="黑体" w:cs="黑体"/>
          <w:color w:val="auto"/>
          <w:sz w:val="32"/>
          <w:szCs w:val="32"/>
        </w:rPr>
        <w:t>（款）其他行政事业单位离退休支出（项）</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auto"/>
          <w:sz w:val="32"/>
          <w:szCs w:val="32"/>
        </w:rPr>
        <w:t>指反映除上述项目以外其他用于行政事业单位离退休方面的支出。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社会保障和就业支出（类）</w:t>
      </w:r>
      <w:r>
        <w:rPr>
          <w:rFonts w:hint="eastAsia" w:ascii="黑体" w:hAnsi="黑体" w:eastAsia="黑体" w:cs="黑体"/>
          <w:color w:val="auto"/>
          <w:sz w:val="32"/>
          <w:szCs w:val="32"/>
          <w:lang w:eastAsia="zh-CN"/>
        </w:rPr>
        <w:t>退役安置</w:t>
      </w:r>
      <w:r>
        <w:rPr>
          <w:rFonts w:hint="eastAsia" w:ascii="黑体" w:hAnsi="黑体" w:eastAsia="黑体" w:cs="黑体"/>
          <w:color w:val="auto"/>
          <w:sz w:val="32"/>
          <w:szCs w:val="32"/>
        </w:rPr>
        <w:t>（款）退役士兵安置（项）</w:t>
      </w:r>
      <w:r>
        <w:rPr>
          <w:rFonts w:hint="eastAsia" w:ascii="黑体" w:hAnsi="黑体" w:eastAsia="黑体" w:cs="黑体"/>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指退役士兵职业教育、转业士官待分配期间管理教育、医疗等支出。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default" w:ascii="仿宋_GB2312" w:eastAsia="仿宋_GB2312"/>
          <w:color w:val="auto"/>
          <w:sz w:val="20"/>
          <w:szCs w:val="20"/>
        </w:rPr>
      </w:pP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社会保障和就业支出（类）</w:t>
      </w:r>
      <w:r>
        <w:rPr>
          <w:rFonts w:hint="eastAsia" w:ascii="黑体" w:hAnsi="黑体" w:eastAsia="黑体" w:cs="黑体"/>
          <w:color w:val="auto"/>
          <w:sz w:val="32"/>
          <w:szCs w:val="32"/>
          <w:lang w:eastAsia="zh-CN"/>
        </w:rPr>
        <w:t>其他社会保障和就业支出</w:t>
      </w:r>
      <w:r>
        <w:rPr>
          <w:rFonts w:hint="eastAsia" w:ascii="黑体" w:hAnsi="黑体" w:eastAsia="黑体" w:cs="黑体"/>
          <w:color w:val="auto"/>
          <w:sz w:val="32"/>
          <w:szCs w:val="32"/>
        </w:rPr>
        <w:t>（款）其他社会保障和就业支出（项）</w:t>
      </w:r>
      <w:r>
        <w:rPr>
          <w:rFonts w:hint="eastAsia" w:ascii="黑体" w:hAnsi="黑体" w:eastAsia="黑体" w:cs="黑体"/>
          <w:color w:val="auto"/>
          <w:sz w:val="32"/>
          <w:szCs w:val="32"/>
          <w:lang w:eastAsia="zh-CN"/>
        </w:rPr>
        <w:t>：</w:t>
      </w:r>
      <w:r>
        <w:rPr>
          <w:rFonts w:hint="eastAsia" w:ascii="仿宋_GB2312" w:hAnsi="仿宋_GB2312" w:eastAsia="仿宋_GB2312" w:cs="仿宋_GB2312"/>
          <w:color w:val="auto"/>
          <w:sz w:val="32"/>
          <w:szCs w:val="32"/>
          <w:shd w:val="clear" w:color="auto" w:fill="FFFFFF"/>
        </w:rPr>
        <w:t>机关事业单位工伤保险、失业保险及生育保险缴费</w:t>
      </w:r>
      <w:r>
        <w:rPr>
          <w:rFonts w:hint="eastAsia" w:ascii="仿宋_GB2312" w:hAnsi="仿宋_GB2312" w:eastAsia="仿宋_GB2312" w:cs="仿宋_GB2312"/>
          <w:color w:val="auto"/>
          <w:sz w:val="32"/>
          <w:szCs w:val="32"/>
          <w:shd w:val="clear" w:color="auto" w:fill="FFFFFF"/>
          <w:lang w:eastAsia="zh-CN"/>
        </w:rPr>
        <w:t>。</w:t>
      </w:r>
    </w:p>
    <w:p>
      <w:pPr>
        <w:spacing w:line="580" w:lineRule="exact"/>
        <w:ind w:firstLine="600"/>
        <w:rPr>
          <w:rFonts w:hint="eastAsia" w:ascii="仿宋_GB2312" w:eastAsia="仿宋_GB2312"/>
          <w:sz w:val="32"/>
          <w:szCs w:val="32"/>
        </w:rPr>
      </w:pPr>
    </w:p>
    <w:p>
      <w:pPr>
        <w:spacing w:line="580" w:lineRule="exact"/>
        <w:ind w:firstLine="643" w:firstLineChars="200"/>
        <w:rPr>
          <w:rFonts w:ascii="仿宋_GB2312" w:eastAsia="仿宋_GB2312"/>
          <w:b/>
          <w:sz w:val="32"/>
          <w:szCs w:val="32"/>
          <w:highlight w:val="lightGray"/>
        </w:rPr>
      </w:pPr>
    </w:p>
    <w:p>
      <w:pPr>
        <w:spacing w:line="580" w:lineRule="exact"/>
        <w:ind w:firstLine="640" w:firstLineChars="200"/>
        <w:rPr>
          <w:rFonts w:ascii="仿宋_GB2312" w:eastAsia="仿宋_GB2312"/>
          <w:sz w:val="32"/>
          <w:szCs w:val="32"/>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601D"/>
    <w:multiLevelType w:val="multilevel"/>
    <w:tmpl w:val="5248601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193"/>
    <w:rsid w:val="00003283"/>
    <w:rsid w:val="000037A0"/>
    <w:rsid w:val="00004821"/>
    <w:rsid w:val="00007DC9"/>
    <w:rsid w:val="00010FE6"/>
    <w:rsid w:val="00014602"/>
    <w:rsid w:val="00016478"/>
    <w:rsid w:val="00017BE6"/>
    <w:rsid w:val="00021595"/>
    <w:rsid w:val="000217B6"/>
    <w:rsid w:val="00023ACF"/>
    <w:rsid w:val="000262D1"/>
    <w:rsid w:val="00027647"/>
    <w:rsid w:val="00031E72"/>
    <w:rsid w:val="00031FDC"/>
    <w:rsid w:val="000348C2"/>
    <w:rsid w:val="00035EE3"/>
    <w:rsid w:val="0003678E"/>
    <w:rsid w:val="000368B1"/>
    <w:rsid w:val="00037B20"/>
    <w:rsid w:val="00040D45"/>
    <w:rsid w:val="00044DCC"/>
    <w:rsid w:val="00045A58"/>
    <w:rsid w:val="00046A75"/>
    <w:rsid w:val="00047D02"/>
    <w:rsid w:val="00052CC4"/>
    <w:rsid w:val="00053A77"/>
    <w:rsid w:val="00053C6A"/>
    <w:rsid w:val="00055923"/>
    <w:rsid w:val="00057D1D"/>
    <w:rsid w:val="000679A9"/>
    <w:rsid w:val="00072DDF"/>
    <w:rsid w:val="00074D65"/>
    <w:rsid w:val="00076E25"/>
    <w:rsid w:val="00077098"/>
    <w:rsid w:val="0008135F"/>
    <w:rsid w:val="00082097"/>
    <w:rsid w:val="00085AC5"/>
    <w:rsid w:val="00087607"/>
    <w:rsid w:val="000904F1"/>
    <w:rsid w:val="00090C14"/>
    <w:rsid w:val="000A0D90"/>
    <w:rsid w:val="000A2755"/>
    <w:rsid w:val="000A32E5"/>
    <w:rsid w:val="000A7E71"/>
    <w:rsid w:val="000B0216"/>
    <w:rsid w:val="000B02E0"/>
    <w:rsid w:val="000C25AD"/>
    <w:rsid w:val="000C74E1"/>
    <w:rsid w:val="000C7B7C"/>
    <w:rsid w:val="000D0803"/>
    <w:rsid w:val="000D1878"/>
    <w:rsid w:val="000D31C7"/>
    <w:rsid w:val="000D5383"/>
    <w:rsid w:val="000D7B27"/>
    <w:rsid w:val="000E2130"/>
    <w:rsid w:val="000E284E"/>
    <w:rsid w:val="000E37E6"/>
    <w:rsid w:val="000E3DF6"/>
    <w:rsid w:val="000E41B0"/>
    <w:rsid w:val="000E76A2"/>
    <w:rsid w:val="000F0977"/>
    <w:rsid w:val="000F2160"/>
    <w:rsid w:val="000F2903"/>
    <w:rsid w:val="000F406F"/>
    <w:rsid w:val="000F6B1F"/>
    <w:rsid w:val="000F75A5"/>
    <w:rsid w:val="000F75B6"/>
    <w:rsid w:val="00102DF0"/>
    <w:rsid w:val="001049C6"/>
    <w:rsid w:val="00106D54"/>
    <w:rsid w:val="00107432"/>
    <w:rsid w:val="00110214"/>
    <w:rsid w:val="00111472"/>
    <w:rsid w:val="001149AF"/>
    <w:rsid w:val="00114AFE"/>
    <w:rsid w:val="00115F31"/>
    <w:rsid w:val="00117FD5"/>
    <w:rsid w:val="001212B0"/>
    <w:rsid w:val="001247D3"/>
    <w:rsid w:val="0012556E"/>
    <w:rsid w:val="00125BFB"/>
    <w:rsid w:val="00127EE4"/>
    <w:rsid w:val="0013247D"/>
    <w:rsid w:val="0013258B"/>
    <w:rsid w:val="00133784"/>
    <w:rsid w:val="00133D4C"/>
    <w:rsid w:val="0013508F"/>
    <w:rsid w:val="0014481D"/>
    <w:rsid w:val="0015319D"/>
    <w:rsid w:val="00155BA2"/>
    <w:rsid w:val="0015766C"/>
    <w:rsid w:val="0016083B"/>
    <w:rsid w:val="00160EF4"/>
    <w:rsid w:val="0016381D"/>
    <w:rsid w:val="00167985"/>
    <w:rsid w:val="00167F6E"/>
    <w:rsid w:val="00170411"/>
    <w:rsid w:val="00170426"/>
    <w:rsid w:val="0017132B"/>
    <w:rsid w:val="001774B3"/>
    <w:rsid w:val="001776CE"/>
    <w:rsid w:val="001805D6"/>
    <w:rsid w:val="00181C74"/>
    <w:rsid w:val="001823F0"/>
    <w:rsid w:val="00184019"/>
    <w:rsid w:val="001861D7"/>
    <w:rsid w:val="00186D80"/>
    <w:rsid w:val="001878F2"/>
    <w:rsid w:val="001901E9"/>
    <w:rsid w:val="00190D66"/>
    <w:rsid w:val="0019244E"/>
    <w:rsid w:val="0019272A"/>
    <w:rsid w:val="00193FC6"/>
    <w:rsid w:val="00195E4A"/>
    <w:rsid w:val="001961AE"/>
    <w:rsid w:val="001963C1"/>
    <w:rsid w:val="0019643F"/>
    <w:rsid w:val="001A04E2"/>
    <w:rsid w:val="001A0EBF"/>
    <w:rsid w:val="001A66CB"/>
    <w:rsid w:val="001B062F"/>
    <w:rsid w:val="001B293E"/>
    <w:rsid w:val="001B2AF3"/>
    <w:rsid w:val="001B2B4D"/>
    <w:rsid w:val="001B3460"/>
    <w:rsid w:val="001B60EA"/>
    <w:rsid w:val="001B65A9"/>
    <w:rsid w:val="001C37EC"/>
    <w:rsid w:val="001C3DC6"/>
    <w:rsid w:val="001C444B"/>
    <w:rsid w:val="001C5454"/>
    <w:rsid w:val="001C5FD0"/>
    <w:rsid w:val="001C6FF9"/>
    <w:rsid w:val="001C7171"/>
    <w:rsid w:val="001D09B8"/>
    <w:rsid w:val="001D0C83"/>
    <w:rsid w:val="001D1089"/>
    <w:rsid w:val="001D197E"/>
    <w:rsid w:val="001D77A2"/>
    <w:rsid w:val="001E24D4"/>
    <w:rsid w:val="001E24EC"/>
    <w:rsid w:val="001E29B9"/>
    <w:rsid w:val="001E4025"/>
    <w:rsid w:val="001E457C"/>
    <w:rsid w:val="001E47C1"/>
    <w:rsid w:val="001F0816"/>
    <w:rsid w:val="001F621A"/>
    <w:rsid w:val="001F65C5"/>
    <w:rsid w:val="001F789E"/>
    <w:rsid w:val="002022B9"/>
    <w:rsid w:val="0020598C"/>
    <w:rsid w:val="0020796E"/>
    <w:rsid w:val="00210B61"/>
    <w:rsid w:val="002111EE"/>
    <w:rsid w:val="0021146E"/>
    <w:rsid w:val="00211F82"/>
    <w:rsid w:val="002122D4"/>
    <w:rsid w:val="002139C7"/>
    <w:rsid w:val="00213DC0"/>
    <w:rsid w:val="00215BCE"/>
    <w:rsid w:val="00216D94"/>
    <w:rsid w:val="00221DFE"/>
    <w:rsid w:val="00221EC7"/>
    <w:rsid w:val="002222C1"/>
    <w:rsid w:val="002228A7"/>
    <w:rsid w:val="00224A07"/>
    <w:rsid w:val="00226C5A"/>
    <w:rsid w:val="0022775A"/>
    <w:rsid w:val="00231B86"/>
    <w:rsid w:val="00231EBE"/>
    <w:rsid w:val="00232600"/>
    <w:rsid w:val="00232FE3"/>
    <w:rsid w:val="0023388E"/>
    <w:rsid w:val="002374D0"/>
    <w:rsid w:val="0024268A"/>
    <w:rsid w:val="00247678"/>
    <w:rsid w:val="00253115"/>
    <w:rsid w:val="00257E9B"/>
    <w:rsid w:val="0026303E"/>
    <w:rsid w:val="00265A3A"/>
    <w:rsid w:val="002661EC"/>
    <w:rsid w:val="002669B6"/>
    <w:rsid w:val="002713E0"/>
    <w:rsid w:val="0027244D"/>
    <w:rsid w:val="00272A85"/>
    <w:rsid w:val="00274233"/>
    <w:rsid w:val="00282C2B"/>
    <w:rsid w:val="00287190"/>
    <w:rsid w:val="00294BC6"/>
    <w:rsid w:val="00294D2F"/>
    <w:rsid w:val="002A03CB"/>
    <w:rsid w:val="002A412F"/>
    <w:rsid w:val="002B09AE"/>
    <w:rsid w:val="002B1CAE"/>
    <w:rsid w:val="002B7DA7"/>
    <w:rsid w:val="002C47BC"/>
    <w:rsid w:val="002D0011"/>
    <w:rsid w:val="002D1809"/>
    <w:rsid w:val="002D35C0"/>
    <w:rsid w:val="002D38E5"/>
    <w:rsid w:val="002D459D"/>
    <w:rsid w:val="002D486B"/>
    <w:rsid w:val="002D748B"/>
    <w:rsid w:val="002E5BA7"/>
    <w:rsid w:val="002F0219"/>
    <w:rsid w:val="002F5429"/>
    <w:rsid w:val="002F6E69"/>
    <w:rsid w:val="00301BBA"/>
    <w:rsid w:val="0030390E"/>
    <w:rsid w:val="00311702"/>
    <w:rsid w:val="0031481E"/>
    <w:rsid w:val="00316B3F"/>
    <w:rsid w:val="003171C0"/>
    <w:rsid w:val="00317871"/>
    <w:rsid w:val="003207A7"/>
    <w:rsid w:val="00322604"/>
    <w:rsid w:val="00323874"/>
    <w:rsid w:val="00323FD0"/>
    <w:rsid w:val="00324F4C"/>
    <w:rsid w:val="00325E2E"/>
    <w:rsid w:val="00326A28"/>
    <w:rsid w:val="00331F0D"/>
    <w:rsid w:val="00335733"/>
    <w:rsid w:val="003369FE"/>
    <w:rsid w:val="00341E6C"/>
    <w:rsid w:val="003439FD"/>
    <w:rsid w:val="00344C60"/>
    <w:rsid w:val="0034502D"/>
    <w:rsid w:val="00345092"/>
    <w:rsid w:val="00345DCF"/>
    <w:rsid w:val="003466B0"/>
    <w:rsid w:val="00346C30"/>
    <w:rsid w:val="0034701E"/>
    <w:rsid w:val="00347A24"/>
    <w:rsid w:val="003508C4"/>
    <w:rsid w:val="00350E02"/>
    <w:rsid w:val="00354A29"/>
    <w:rsid w:val="0036187C"/>
    <w:rsid w:val="00362A69"/>
    <w:rsid w:val="00363B33"/>
    <w:rsid w:val="00364D86"/>
    <w:rsid w:val="00366644"/>
    <w:rsid w:val="00366A03"/>
    <w:rsid w:val="00367C74"/>
    <w:rsid w:val="00372AA6"/>
    <w:rsid w:val="003733C9"/>
    <w:rsid w:val="00374547"/>
    <w:rsid w:val="00376739"/>
    <w:rsid w:val="003772AC"/>
    <w:rsid w:val="00385C89"/>
    <w:rsid w:val="0038681E"/>
    <w:rsid w:val="00386AB9"/>
    <w:rsid w:val="003879B0"/>
    <w:rsid w:val="00387C92"/>
    <w:rsid w:val="00390ABE"/>
    <w:rsid w:val="00390C27"/>
    <w:rsid w:val="00392032"/>
    <w:rsid w:val="003A0A2C"/>
    <w:rsid w:val="003A5FD0"/>
    <w:rsid w:val="003A7184"/>
    <w:rsid w:val="003B32A7"/>
    <w:rsid w:val="003B3F67"/>
    <w:rsid w:val="003B4301"/>
    <w:rsid w:val="003B71FC"/>
    <w:rsid w:val="003C0B34"/>
    <w:rsid w:val="003C30BD"/>
    <w:rsid w:val="003C35F1"/>
    <w:rsid w:val="003C38E7"/>
    <w:rsid w:val="003C562E"/>
    <w:rsid w:val="003C6496"/>
    <w:rsid w:val="003D61D5"/>
    <w:rsid w:val="003D7461"/>
    <w:rsid w:val="003E00E5"/>
    <w:rsid w:val="003E4711"/>
    <w:rsid w:val="003E5556"/>
    <w:rsid w:val="003E5D24"/>
    <w:rsid w:val="003E7375"/>
    <w:rsid w:val="003E7C80"/>
    <w:rsid w:val="00400E2C"/>
    <w:rsid w:val="004031BC"/>
    <w:rsid w:val="00405D47"/>
    <w:rsid w:val="00406B8E"/>
    <w:rsid w:val="00407727"/>
    <w:rsid w:val="00412B6A"/>
    <w:rsid w:val="00413BC6"/>
    <w:rsid w:val="00416379"/>
    <w:rsid w:val="00421A3C"/>
    <w:rsid w:val="00424C3C"/>
    <w:rsid w:val="0043531F"/>
    <w:rsid w:val="00435C0A"/>
    <w:rsid w:val="004367B6"/>
    <w:rsid w:val="00440A47"/>
    <w:rsid w:val="00443328"/>
    <w:rsid w:val="004438AB"/>
    <w:rsid w:val="00444D25"/>
    <w:rsid w:val="00445E78"/>
    <w:rsid w:val="0044702C"/>
    <w:rsid w:val="00454FBB"/>
    <w:rsid w:val="00455FF4"/>
    <w:rsid w:val="004607FD"/>
    <w:rsid w:val="00462348"/>
    <w:rsid w:val="00465436"/>
    <w:rsid w:val="00467431"/>
    <w:rsid w:val="004742B3"/>
    <w:rsid w:val="00475CEF"/>
    <w:rsid w:val="00475EDF"/>
    <w:rsid w:val="0047767A"/>
    <w:rsid w:val="004779AC"/>
    <w:rsid w:val="00480E64"/>
    <w:rsid w:val="004830CB"/>
    <w:rsid w:val="0048482E"/>
    <w:rsid w:val="00484CC0"/>
    <w:rsid w:val="00484D66"/>
    <w:rsid w:val="00485FDE"/>
    <w:rsid w:val="00487B4C"/>
    <w:rsid w:val="00487CD0"/>
    <w:rsid w:val="00490C6B"/>
    <w:rsid w:val="00492973"/>
    <w:rsid w:val="00493383"/>
    <w:rsid w:val="00493B2E"/>
    <w:rsid w:val="004A1799"/>
    <w:rsid w:val="004A6E98"/>
    <w:rsid w:val="004B0533"/>
    <w:rsid w:val="004B48EE"/>
    <w:rsid w:val="004B7583"/>
    <w:rsid w:val="004B76F1"/>
    <w:rsid w:val="004C1C7B"/>
    <w:rsid w:val="004C2B62"/>
    <w:rsid w:val="004C43C7"/>
    <w:rsid w:val="004C6442"/>
    <w:rsid w:val="004C6B98"/>
    <w:rsid w:val="004C7193"/>
    <w:rsid w:val="004D043F"/>
    <w:rsid w:val="004D225B"/>
    <w:rsid w:val="004D56E2"/>
    <w:rsid w:val="004E076C"/>
    <w:rsid w:val="004F01C6"/>
    <w:rsid w:val="004F161F"/>
    <w:rsid w:val="004F251F"/>
    <w:rsid w:val="004F2701"/>
    <w:rsid w:val="004F2B79"/>
    <w:rsid w:val="004F5327"/>
    <w:rsid w:val="004F6772"/>
    <w:rsid w:val="0050040E"/>
    <w:rsid w:val="00500863"/>
    <w:rsid w:val="005011D4"/>
    <w:rsid w:val="005039A7"/>
    <w:rsid w:val="00504671"/>
    <w:rsid w:val="00505B64"/>
    <w:rsid w:val="00506738"/>
    <w:rsid w:val="005109A3"/>
    <w:rsid w:val="00512164"/>
    <w:rsid w:val="00512FF3"/>
    <w:rsid w:val="005179ED"/>
    <w:rsid w:val="00522F0F"/>
    <w:rsid w:val="005233EC"/>
    <w:rsid w:val="0053096A"/>
    <w:rsid w:val="0053153E"/>
    <w:rsid w:val="005344D3"/>
    <w:rsid w:val="00536282"/>
    <w:rsid w:val="005373CB"/>
    <w:rsid w:val="0053776B"/>
    <w:rsid w:val="00540BC9"/>
    <w:rsid w:val="00540F27"/>
    <w:rsid w:val="00541AFC"/>
    <w:rsid w:val="00542253"/>
    <w:rsid w:val="00543249"/>
    <w:rsid w:val="0054412E"/>
    <w:rsid w:val="0054677A"/>
    <w:rsid w:val="00547154"/>
    <w:rsid w:val="00551ED0"/>
    <w:rsid w:val="00552699"/>
    <w:rsid w:val="00555B87"/>
    <w:rsid w:val="00561B5E"/>
    <w:rsid w:val="005646A8"/>
    <w:rsid w:val="00565412"/>
    <w:rsid w:val="00567075"/>
    <w:rsid w:val="00574539"/>
    <w:rsid w:val="005755A8"/>
    <w:rsid w:val="00577962"/>
    <w:rsid w:val="00582A46"/>
    <w:rsid w:val="005831C6"/>
    <w:rsid w:val="00585BC9"/>
    <w:rsid w:val="00587207"/>
    <w:rsid w:val="0059306C"/>
    <w:rsid w:val="00594782"/>
    <w:rsid w:val="00594ACF"/>
    <w:rsid w:val="005956EB"/>
    <w:rsid w:val="005967A0"/>
    <w:rsid w:val="005A21B3"/>
    <w:rsid w:val="005B024D"/>
    <w:rsid w:val="005B2068"/>
    <w:rsid w:val="005B2496"/>
    <w:rsid w:val="005B297E"/>
    <w:rsid w:val="005B2B10"/>
    <w:rsid w:val="005C18B7"/>
    <w:rsid w:val="005C1C2D"/>
    <w:rsid w:val="005C1DB7"/>
    <w:rsid w:val="005C1FA3"/>
    <w:rsid w:val="005C3252"/>
    <w:rsid w:val="005C357E"/>
    <w:rsid w:val="005C7DCC"/>
    <w:rsid w:val="005D4E72"/>
    <w:rsid w:val="005D599A"/>
    <w:rsid w:val="005D6B39"/>
    <w:rsid w:val="005E134E"/>
    <w:rsid w:val="005E16E7"/>
    <w:rsid w:val="005E36BC"/>
    <w:rsid w:val="005E6413"/>
    <w:rsid w:val="005F0341"/>
    <w:rsid w:val="005F2D23"/>
    <w:rsid w:val="005F3F69"/>
    <w:rsid w:val="005F3F70"/>
    <w:rsid w:val="005F4BA3"/>
    <w:rsid w:val="005F6D77"/>
    <w:rsid w:val="005F7113"/>
    <w:rsid w:val="006007ED"/>
    <w:rsid w:val="00613A94"/>
    <w:rsid w:val="00617765"/>
    <w:rsid w:val="00620166"/>
    <w:rsid w:val="00620B88"/>
    <w:rsid w:val="006221DE"/>
    <w:rsid w:val="006238B2"/>
    <w:rsid w:val="00627C53"/>
    <w:rsid w:val="00630A0B"/>
    <w:rsid w:val="006330B8"/>
    <w:rsid w:val="00633A1D"/>
    <w:rsid w:val="00636296"/>
    <w:rsid w:val="0063794B"/>
    <w:rsid w:val="00640B31"/>
    <w:rsid w:val="00645818"/>
    <w:rsid w:val="00653A44"/>
    <w:rsid w:val="006553AE"/>
    <w:rsid w:val="0066112D"/>
    <w:rsid w:val="0066304C"/>
    <w:rsid w:val="00664626"/>
    <w:rsid w:val="00665DCB"/>
    <w:rsid w:val="00667CBE"/>
    <w:rsid w:val="00671D18"/>
    <w:rsid w:val="0067403F"/>
    <w:rsid w:val="00675CA1"/>
    <w:rsid w:val="00676472"/>
    <w:rsid w:val="00677375"/>
    <w:rsid w:val="006826A4"/>
    <w:rsid w:val="006846DB"/>
    <w:rsid w:val="00692462"/>
    <w:rsid w:val="00693742"/>
    <w:rsid w:val="00694C54"/>
    <w:rsid w:val="0069671E"/>
    <w:rsid w:val="0069794A"/>
    <w:rsid w:val="006A0235"/>
    <w:rsid w:val="006A50AB"/>
    <w:rsid w:val="006A54D4"/>
    <w:rsid w:val="006A5E5E"/>
    <w:rsid w:val="006A728B"/>
    <w:rsid w:val="006B2173"/>
    <w:rsid w:val="006B5892"/>
    <w:rsid w:val="006B5CFD"/>
    <w:rsid w:val="006C2EC5"/>
    <w:rsid w:val="006C3613"/>
    <w:rsid w:val="006C48DF"/>
    <w:rsid w:val="006D1559"/>
    <w:rsid w:val="006D2734"/>
    <w:rsid w:val="006D4D53"/>
    <w:rsid w:val="006D6890"/>
    <w:rsid w:val="006E0A8D"/>
    <w:rsid w:val="006E3ADD"/>
    <w:rsid w:val="006E5339"/>
    <w:rsid w:val="006F28B3"/>
    <w:rsid w:val="006F4106"/>
    <w:rsid w:val="006F7571"/>
    <w:rsid w:val="007023BD"/>
    <w:rsid w:val="00703E1B"/>
    <w:rsid w:val="00705024"/>
    <w:rsid w:val="00706CC7"/>
    <w:rsid w:val="00713691"/>
    <w:rsid w:val="007155F8"/>
    <w:rsid w:val="00715A52"/>
    <w:rsid w:val="00717E53"/>
    <w:rsid w:val="00720089"/>
    <w:rsid w:val="00721E77"/>
    <w:rsid w:val="00723D61"/>
    <w:rsid w:val="00731F18"/>
    <w:rsid w:val="007348EB"/>
    <w:rsid w:val="00735892"/>
    <w:rsid w:val="007363D5"/>
    <w:rsid w:val="00740894"/>
    <w:rsid w:val="0074314A"/>
    <w:rsid w:val="00746456"/>
    <w:rsid w:val="00747FD9"/>
    <w:rsid w:val="007538FE"/>
    <w:rsid w:val="00755A8E"/>
    <w:rsid w:val="00756EBC"/>
    <w:rsid w:val="00760305"/>
    <w:rsid w:val="00760C8A"/>
    <w:rsid w:val="0077070A"/>
    <w:rsid w:val="00774489"/>
    <w:rsid w:val="0077775C"/>
    <w:rsid w:val="00784D97"/>
    <w:rsid w:val="00785894"/>
    <w:rsid w:val="0078718E"/>
    <w:rsid w:val="00791675"/>
    <w:rsid w:val="00792E30"/>
    <w:rsid w:val="0079366F"/>
    <w:rsid w:val="0079788A"/>
    <w:rsid w:val="007A0649"/>
    <w:rsid w:val="007A48A4"/>
    <w:rsid w:val="007B2ABD"/>
    <w:rsid w:val="007B2AFC"/>
    <w:rsid w:val="007B5587"/>
    <w:rsid w:val="007B5B83"/>
    <w:rsid w:val="007B7449"/>
    <w:rsid w:val="007C2DA9"/>
    <w:rsid w:val="007D0158"/>
    <w:rsid w:val="007D0905"/>
    <w:rsid w:val="007D1A46"/>
    <w:rsid w:val="007D2140"/>
    <w:rsid w:val="007D2D78"/>
    <w:rsid w:val="007D2EFF"/>
    <w:rsid w:val="007E068D"/>
    <w:rsid w:val="007E250F"/>
    <w:rsid w:val="007E66B6"/>
    <w:rsid w:val="007E76E9"/>
    <w:rsid w:val="007F197F"/>
    <w:rsid w:val="007F27AD"/>
    <w:rsid w:val="007F4E22"/>
    <w:rsid w:val="00803A55"/>
    <w:rsid w:val="00810EA6"/>
    <w:rsid w:val="00812E17"/>
    <w:rsid w:val="00814634"/>
    <w:rsid w:val="00814B7C"/>
    <w:rsid w:val="00814DA0"/>
    <w:rsid w:val="008151FA"/>
    <w:rsid w:val="008165E2"/>
    <w:rsid w:val="00820FFC"/>
    <w:rsid w:val="00823109"/>
    <w:rsid w:val="008257E6"/>
    <w:rsid w:val="00831F19"/>
    <w:rsid w:val="00834D8B"/>
    <w:rsid w:val="008377F0"/>
    <w:rsid w:val="00843D50"/>
    <w:rsid w:val="00843FF0"/>
    <w:rsid w:val="008470E2"/>
    <w:rsid w:val="00853EFF"/>
    <w:rsid w:val="008616DA"/>
    <w:rsid w:val="00862E92"/>
    <w:rsid w:val="008644DF"/>
    <w:rsid w:val="008722AB"/>
    <w:rsid w:val="00872321"/>
    <w:rsid w:val="00873A25"/>
    <w:rsid w:val="00874270"/>
    <w:rsid w:val="00875837"/>
    <w:rsid w:val="00876ED2"/>
    <w:rsid w:val="00877705"/>
    <w:rsid w:val="00881A1C"/>
    <w:rsid w:val="00881CEE"/>
    <w:rsid w:val="0088261C"/>
    <w:rsid w:val="0088746A"/>
    <w:rsid w:val="0089022B"/>
    <w:rsid w:val="008940CE"/>
    <w:rsid w:val="008A3A8A"/>
    <w:rsid w:val="008A5379"/>
    <w:rsid w:val="008A6293"/>
    <w:rsid w:val="008B0DC4"/>
    <w:rsid w:val="008B20DC"/>
    <w:rsid w:val="008B2D73"/>
    <w:rsid w:val="008B4D3E"/>
    <w:rsid w:val="008C04AD"/>
    <w:rsid w:val="008C143C"/>
    <w:rsid w:val="008C36CB"/>
    <w:rsid w:val="008C697A"/>
    <w:rsid w:val="008D1A06"/>
    <w:rsid w:val="008D1BEE"/>
    <w:rsid w:val="008D7064"/>
    <w:rsid w:val="008D7A9D"/>
    <w:rsid w:val="008E2141"/>
    <w:rsid w:val="008E2660"/>
    <w:rsid w:val="008E3D87"/>
    <w:rsid w:val="008E5BA4"/>
    <w:rsid w:val="00901608"/>
    <w:rsid w:val="0090274B"/>
    <w:rsid w:val="009104D6"/>
    <w:rsid w:val="009151AE"/>
    <w:rsid w:val="009163C8"/>
    <w:rsid w:val="009205D2"/>
    <w:rsid w:val="009205EB"/>
    <w:rsid w:val="00921B10"/>
    <w:rsid w:val="009220D0"/>
    <w:rsid w:val="0092312F"/>
    <w:rsid w:val="00934D21"/>
    <w:rsid w:val="00935267"/>
    <w:rsid w:val="009353FA"/>
    <w:rsid w:val="00936333"/>
    <w:rsid w:val="00954C42"/>
    <w:rsid w:val="009560E0"/>
    <w:rsid w:val="009569FE"/>
    <w:rsid w:val="00960737"/>
    <w:rsid w:val="00963ED2"/>
    <w:rsid w:val="00965BEF"/>
    <w:rsid w:val="00965E5C"/>
    <w:rsid w:val="009741DF"/>
    <w:rsid w:val="00975A50"/>
    <w:rsid w:val="0097607F"/>
    <w:rsid w:val="00976A20"/>
    <w:rsid w:val="009774BB"/>
    <w:rsid w:val="00980122"/>
    <w:rsid w:val="00981BCD"/>
    <w:rsid w:val="0098583A"/>
    <w:rsid w:val="00987810"/>
    <w:rsid w:val="0099140F"/>
    <w:rsid w:val="009915DE"/>
    <w:rsid w:val="00991877"/>
    <w:rsid w:val="009966AE"/>
    <w:rsid w:val="0099689B"/>
    <w:rsid w:val="009971C2"/>
    <w:rsid w:val="009A194F"/>
    <w:rsid w:val="009A26C5"/>
    <w:rsid w:val="009A39FE"/>
    <w:rsid w:val="009A3A32"/>
    <w:rsid w:val="009A3A68"/>
    <w:rsid w:val="009A419A"/>
    <w:rsid w:val="009A4C19"/>
    <w:rsid w:val="009B0E03"/>
    <w:rsid w:val="009B3B98"/>
    <w:rsid w:val="009B6761"/>
    <w:rsid w:val="009B6884"/>
    <w:rsid w:val="009B7616"/>
    <w:rsid w:val="009C2E7D"/>
    <w:rsid w:val="009C4325"/>
    <w:rsid w:val="009C4CD9"/>
    <w:rsid w:val="009D0E18"/>
    <w:rsid w:val="009D19A6"/>
    <w:rsid w:val="009D337B"/>
    <w:rsid w:val="009D3668"/>
    <w:rsid w:val="009D7733"/>
    <w:rsid w:val="009E0A44"/>
    <w:rsid w:val="009E1EC7"/>
    <w:rsid w:val="009E2932"/>
    <w:rsid w:val="009E324C"/>
    <w:rsid w:val="009E60A7"/>
    <w:rsid w:val="009E6234"/>
    <w:rsid w:val="009E648C"/>
    <w:rsid w:val="009F0B1D"/>
    <w:rsid w:val="009F5CC6"/>
    <w:rsid w:val="00A0055B"/>
    <w:rsid w:val="00A008F6"/>
    <w:rsid w:val="00A04D85"/>
    <w:rsid w:val="00A121E0"/>
    <w:rsid w:val="00A17221"/>
    <w:rsid w:val="00A23431"/>
    <w:rsid w:val="00A23AF8"/>
    <w:rsid w:val="00A30456"/>
    <w:rsid w:val="00A30D5F"/>
    <w:rsid w:val="00A32702"/>
    <w:rsid w:val="00A33173"/>
    <w:rsid w:val="00A40F02"/>
    <w:rsid w:val="00A44FD1"/>
    <w:rsid w:val="00A5105E"/>
    <w:rsid w:val="00A63459"/>
    <w:rsid w:val="00A63BB9"/>
    <w:rsid w:val="00A65852"/>
    <w:rsid w:val="00A66FB6"/>
    <w:rsid w:val="00A674AA"/>
    <w:rsid w:val="00A71E40"/>
    <w:rsid w:val="00A72282"/>
    <w:rsid w:val="00A72C5C"/>
    <w:rsid w:val="00A8145E"/>
    <w:rsid w:val="00A81D11"/>
    <w:rsid w:val="00A839C1"/>
    <w:rsid w:val="00A843B6"/>
    <w:rsid w:val="00A86088"/>
    <w:rsid w:val="00A903A0"/>
    <w:rsid w:val="00A91F76"/>
    <w:rsid w:val="00A92890"/>
    <w:rsid w:val="00A92D71"/>
    <w:rsid w:val="00A970C8"/>
    <w:rsid w:val="00AA271B"/>
    <w:rsid w:val="00AA3273"/>
    <w:rsid w:val="00AA32F9"/>
    <w:rsid w:val="00AA6407"/>
    <w:rsid w:val="00AA7CCE"/>
    <w:rsid w:val="00AB28FC"/>
    <w:rsid w:val="00AB2B45"/>
    <w:rsid w:val="00AB2E00"/>
    <w:rsid w:val="00AB5E91"/>
    <w:rsid w:val="00AC24E3"/>
    <w:rsid w:val="00AC5C42"/>
    <w:rsid w:val="00AE2F92"/>
    <w:rsid w:val="00AE6740"/>
    <w:rsid w:val="00AF472B"/>
    <w:rsid w:val="00AF55FE"/>
    <w:rsid w:val="00B0120F"/>
    <w:rsid w:val="00B02985"/>
    <w:rsid w:val="00B062C2"/>
    <w:rsid w:val="00B06810"/>
    <w:rsid w:val="00B06A8C"/>
    <w:rsid w:val="00B15167"/>
    <w:rsid w:val="00B165E0"/>
    <w:rsid w:val="00B17819"/>
    <w:rsid w:val="00B17A76"/>
    <w:rsid w:val="00B22DD7"/>
    <w:rsid w:val="00B25757"/>
    <w:rsid w:val="00B2669B"/>
    <w:rsid w:val="00B271A4"/>
    <w:rsid w:val="00B3021D"/>
    <w:rsid w:val="00B414AC"/>
    <w:rsid w:val="00B41995"/>
    <w:rsid w:val="00B41D30"/>
    <w:rsid w:val="00B41DB1"/>
    <w:rsid w:val="00B42634"/>
    <w:rsid w:val="00B44470"/>
    <w:rsid w:val="00B46081"/>
    <w:rsid w:val="00B46E86"/>
    <w:rsid w:val="00B51DA0"/>
    <w:rsid w:val="00B51E38"/>
    <w:rsid w:val="00B52084"/>
    <w:rsid w:val="00B52E49"/>
    <w:rsid w:val="00B53C30"/>
    <w:rsid w:val="00B54250"/>
    <w:rsid w:val="00B56144"/>
    <w:rsid w:val="00B61CF6"/>
    <w:rsid w:val="00B65F2E"/>
    <w:rsid w:val="00B6782E"/>
    <w:rsid w:val="00B709E2"/>
    <w:rsid w:val="00B709FC"/>
    <w:rsid w:val="00B70F34"/>
    <w:rsid w:val="00B718DC"/>
    <w:rsid w:val="00B746C2"/>
    <w:rsid w:val="00B75DAA"/>
    <w:rsid w:val="00B8067A"/>
    <w:rsid w:val="00B81B7C"/>
    <w:rsid w:val="00B9092C"/>
    <w:rsid w:val="00B921FB"/>
    <w:rsid w:val="00B92962"/>
    <w:rsid w:val="00B94728"/>
    <w:rsid w:val="00B96A90"/>
    <w:rsid w:val="00BA7713"/>
    <w:rsid w:val="00BB44A5"/>
    <w:rsid w:val="00BB62C8"/>
    <w:rsid w:val="00BC40F0"/>
    <w:rsid w:val="00BD111A"/>
    <w:rsid w:val="00BD719C"/>
    <w:rsid w:val="00BE1BE1"/>
    <w:rsid w:val="00BE2712"/>
    <w:rsid w:val="00BE3135"/>
    <w:rsid w:val="00BE4A0B"/>
    <w:rsid w:val="00BF0368"/>
    <w:rsid w:val="00C0331B"/>
    <w:rsid w:val="00C05A9B"/>
    <w:rsid w:val="00C06766"/>
    <w:rsid w:val="00C074C6"/>
    <w:rsid w:val="00C07719"/>
    <w:rsid w:val="00C11960"/>
    <w:rsid w:val="00C15CD0"/>
    <w:rsid w:val="00C25B2B"/>
    <w:rsid w:val="00C306DB"/>
    <w:rsid w:val="00C3076E"/>
    <w:rsid w:val="00C35D5D"/>
    <w:rsid w:val="00C364D6"/>
    <w:rsid w:val="00C42808"/>
    <w:rsid w:val="00C42BF5"/>
    <w:rsid w:val="00C434B0"/>
    <w:rsid w:val="00C515BF"/>
    <w:rsid w:val="00C52A1F"/>
    <w:rsid w:val="00C567A3"/>
    <w:rsid w:val="00C57211"/>
    <w:rsid w:val="00C60598"/>
    <w:rsid w:val="00C61290"/>
    <w:rsid w:val="00C63755"/>
    <w:rsid w:val="00C65E45"/>
    <w:rsid w:val="00C703EA"/>
    <w:rsid w:val="00C73214"/>
    <w:rsid w:val="00C7560F"/>
    <w:rsid w:val="00C76465"/>
    <w:rsid w:val="00C77AC2"/>
    <w:rsid w:val="00C81BF7"/>
    <w:rsid w:val="00C82757"/>
    <w:rsid w:val="00C83FDD"/>
    <w:rsid w:val="00C849FF"/>
    <w:rsid w:val="00C85D8A"/>
    <w:rsid w:val="00C863D4"/>
    <w:rsid w:val="00C869AC"/>
    <w:rsid w:val="00C939D8"/>
    <w:rsid w:val="00C948AD"/>
    <w:rsid w:val="00CA0A54"/>
    <w:rsid w:val="00CB09CA"/>
    <w:rsid w:val="00CB0C69"/>
    <w:rsid w:val="00CB0EA6"/>
    <w:rsid w:val="00CB1D6E"/>
    <w:rsid w:val="00CB3256"/>
    <w:rsid w:val="00CC283E"/>
    <w:rsid w:val="00CC2894"/>
    <w:rsid w:val="00CC4038"/>
    <w:rsid w:val="00CC5805"/>
    <w:rsid w:val="00CD0F4A"/>
    <w:rsid w:val="00CD4E0B"/>
    <w:rsid w:val="00CE0139"/>
    <w:rsid w:val="00CE01D8"/>
    <w:rsid w:val="00CF15F8"/>
    <w:rsid w:val="00CF46A2"/>
    <w:rsid w:val="00CF564F"/>
    <w:rsid w:val="00D02455"/>
    <w:rsid w:val="00D06B98"/>
    <w:rsid w:val="00D1793C"/>
    <w:rsid w:val="00D22427"/>
    <w:rsid w:val="00D2442B"/>
    <w:rsid w:val="00D27621"/>
    <w:rsid w:val="00D30E34"/>
    <w:rsid w:val="00D318F4"/>
    <w:rsid w:val="00D3385A"/>
    <w:rsid w:val="00D36154"/>
    <w:rsid w:val="00D366B3"/>
    <w:rsid w:val="00D40ECB"/>
    <w:rsid w:val="00D46B74"/>
    <w:rsid w:val="00D47C1E"/>
    <w:rsid w:val="00D52159"/>
    <w:rsid w:val="00D548A9"/>
    <w:rsid w:val="00D55F96"/>
    <w:rsid w:val="00D565B2"/>
    <w:rsid w:val="00D63781"/>
    <w:rsid w:val="00D672A9"/>
    <w:rsid w:val="00D67539"/>
    <w:rsid w:val="00D711C1"/>
    <w:rsid w:val="00D746B3"/>
    <w:rsid w:val="00D746FC"/>
    <w:rsid w:val="00D76590"/>
    <w:rsid w:val="00D81063"/>
    <w:rsid w:val="00D8759A"/>
    <w:rsid w:val="00D87648"/>
    <w:rsid w:val="00D9080F"/>
    <w:rsid w:val="00D9327A"/>
    <w:rsid w:val="00D9335E"/>
    <w:rsid w:val="00D93A23"/>
    <w:rsid w:val="00D944B2"/>
    <w:rsid w:val="00D97195"/>
    <w:rsid w:val="00D971B4"/>
    <w:rsid w:val="00DA00D5"/>
    <w:rsid w:val="00DA0B8E"/>
    <w:rsid w:val="00DA4FA5"/>
    <w:rsid w:val="00DA63E5"/>
    <w:rsid w:val="00DB6188"/>
    <w:rsid w:val="00DB6874"/>
    <w:rsid w:val="00DB688D"/>
    <w:rsid w:val="00DB6F74"/>
    <w:rsid w:val="00DB72F2"/>
    <w:rsid w:val="00DC2CC1"/>
    <w:rsid w:val="00DC2CE7"/>
    <w:rsid w:val="00DC3050"/>
    <w:rsid w:val="00DC6CD4"/>
    <w:rsid w:val="00DC7D38"/>
    <w:rsid w:val="00DD0441"/>
    <w:rsid w:val="00DD075B"/>
    <w:rsid w:val="00DD08F9"/>
    <w:rsid w:val="00DD2032"/>
    <w:rsid w:val="00DD56FE"/>
    <w:rsid w:val="00DD667B"/>
    <w:rsid w:val="00DD6CC2"/>
    <w:rsid w:val="00DE1A3C"/>
    <w:rsid w:val="00DE332A"/>
    <w:rsid w:val="00DE3C7F"/>
    <w:rsid w:val="00DE6DE0"/>
    <w:rsid w:val="00DF3395"/>
    <w:rsid w:val="00DF74F0"/>
    <w:rsid w:val="00E00E61"/>
    <w:rsid w:val="00E0315F"/>
    <w:rsid w:val="00E03A96"/>
    <w:rsid w:val="00E07122"/>
    <w:rsid w:val="00E13F48"/>
    <w:rsid w:val="00E1422B"/>
    <w:rsid w:val="00E15014"/>
    <w:rsid w:val="00E202F6"/>
    <w:rsid w:val="00E23138"/>
    <w:rsid w:val="00E23E88"/>
    <w:rsid w:val="00E25D51"/>
    <w:rsid w:val="00E26609"/>
    <w:rsid w:val="00E26850"/>
    <w:rsid w:val="00E2757E"/>
    <w:rsid w:val="00E31164"/>
    <w:rsid w:val="00E32F8F"/>
    <w:rsid w:val="00E37026"/>
    <w:rsid w:val="00E37D99"/>
    <w:rsid w:val="00E41EB6"/>
    <w:rsid w:val="00E43BF9"/>
    <w:rsid w:val="00E46181"/>
    <w:rsid w:val="00E50120"/>
    <w:rsid w:val="00E558F4"/>
    <w:rsid w:val="00E57F77"/>
    <w:rsid w:val="00E634E2"/>
    <w:rsid w:val="00E65E82"/>
    <w:rsid w:val="00E661C3"/>
    <w:rsid w:val="00E708A1"/>
    <w:rsid w:val="00E71BA9"/>
    <w:rsid w:val="00E71CE8"/>
    <w:rsid w:val="00E7523F"/>
    <w:rsid w:val="00E771A2"/>
    <w:rsid w:val="00E80BAB"/>
    <w:rsid w:val="00E80D85"/>
    <w:rsid w:val="00E83D59"/>
    <w:rsid w:val="00E86A5F"/>
    <w:rsid w:val="00E873C2"/>
    <w:rsid w:val="00E91B7F"/>
    <w:rsid w:val="00EA0079"/>
    <w:rsid w:val="00EA03C9"/>
    <w:rsid w:val="00EA1878"/>
    <w:rsid w:val="00EA3766"/>
    <w:rsid w:val="00EA3C4D"/>
    <w:rsid w:val="00EA4896"/>
    <w:rsid w:val="00EA6C8B"/>
    <w:rsid w:val="00EB21BF"/>
    <w:rsid w:val="00EB25B2"/>
    <w:rsid w:val="00EB2665"/>
    <w:rsid w:val="00EB4918"/>
    <w:rsid w:val="00EB79FB"/>
    <w:rsid w:val="00EC1554"/>
    <w:rsid w:val="00EC2025"/>
    <w:rsid w:val="00EC3566"/>
    <w:rsid w:val="00EC3CC3"/>
    <w:rsid w:val="00EC430A"/>
    <w:rsid w:val="00EC5B08"/>
    <w:rsid w:val="00EC7B9C"/>
    <w:rsid w:val="00ED1940"/>
    <w:rsid w:val="00ED2A40"/>
    <w:rsid w:val="00ED3294"/>
    <w:rsid w:val="00ED5560"/>
    <w:rsid w:val="00ED56EF"/>
    <w:rsid w:val="00ED6A00"/>
    <w:rsid w:val="00ED7D3D"/>
    <w:rsid w:val="00EE046A"/>
    <w:rsid w:val="00EE115B"/>
    <w:rsid w:val="00EE3726"/>
    <w:rsid w:val="00EE413D"/>
    <w:rsid w:val="00EE5778"/>
    <w:rsid w:val="00EE6CC3"/>
    <w:rsid w:val="00EE78E1"/>
    <w:rsid w:val="00EF11F9"/>
    <w:rsid w:val="00EF704F"/>
    <w:rsid w:val="00EF74BC"/>
    <w:rsid w:val="00F00BE9"/>
    <w:rsid w:val="00F00C18"/>
    <w:rsid w:val="00F012AE"/>
    <w:rsid w:val="00F03A19"/>
    <w:rsid w:val="00F04DC6"/>
    <w:rsid w:val="00F079BE"/>
    <w:rsid w:val="00F07D0D"/>
    <w:rsid w:val="00F102CC"/>
    <w:rsid w:val="00F104D7"/>
    <w:rsid w:val="00F17112"/>
    <w:rsid w:val="00F25922"/>
    <w:rsid w:val="00F2686A"/>
    <w:rsid w:val="00F272E4"/>
    <w:rsid w:val="00F277B2"/>
    <w:rsid w:val="00F30FE8"/>
    <w:rsid w:val="00F34A41"/>
    <w:rsid w:val="00F37E69"/>
    <w:rsid w:val="00F408D6"/>
    <w:rsid w:val="00F42398"/>
    <w:rsid w:val="00F44550"/>
    <w:rsid w:val="00F50C7B"/>
    <w:rsid w:val="00F510E7"/>
    <w:rsid w:val="00F523E5"/>
    <w:rsid w:val="00F52BB0"/>
    <w:rsid w:val="00F54182"/>
    <w:rsid w:val="00F55939"/>
    <w:rsid w:val="00F62DB5"/>
    <w:rsid w:val="00F64170"/>
    <w:rsid w:val="00F65E1A"/>
    <w:rsid w:val="00F702EB"/>
    <w:rsid w:val="00F71338"/>
    <w:rsid w:val="00F71C18"/>
    <w:rsid w:val="00F72127"/>
    <w:rsid w:val="00F732F8"/>
    <w:rsid w:val="00F74217"/>
    <w:rsid w:val="00F74C73"/>
    <w:rsid w:val="00F74D3C"/>
    <w:rsid w:val="00F75283"/>
    <w:rsid w:val="00F753CF"/>
    <w:rsid w:val="00F76F11"/>
    <w:rsid w:val="00F77784"/>
    <w:rsid w:val="00F8064C"/>
    <w:rsid w:val="00F82E0A"/>
    <w:rsid w:val="00F83DB0"/>
    <w:rsid w:val="00F859D5"/>
    <w:rsid w:val="00F90260"/>
    <w:rsid w:val="00F9068C"/>
    <w:rsid w:val="00F91188"/>
    <w:rsid w:val="00F96274"/>
    <w:rsid w:val="00FA1E14"/>
    <w:rsid w:val="00FA37B9"/>
    <w:rsid w:val="00FA39FA"/>
    <w:rsid w:val="00FA6D3B"/>
    <w:rsid w:val="00FB012D"/>
    <w:rsid w:val="00FB1075"/>
    <w:rsid w:val="00FB3180"/>
    <w:rsid w:val="00FB326A"/>
    <w:rsid w:val="00FB6CB9"/>
    <w:rsid w:val="00FC03D4"/>
    <w:rsid w:val="00FC07F9"/>
    <w:rsid w:val="00FC08C3"/>
    <w:rsid w:val="00FC39A3"/>
    <w:rsid w:val="00FD1922"/>
    <w:rsid w:val="00FD285B"/>
    <w:rsid w:val="00FD602A"/>
    <w:rsid w:val="00FE3A7B"/>
    <w:rsid w:val="00FE754C"/>
    <w:rsid w:val="00FF6A3B"/>
    <w:rsid w:val="13055005"/>
    <w:rsid w:val="17375C68"/>
    <w:rsid w:val="1FF232FB"/>
    <w:rsid w:val="24457EF4"/>
    <w:rsid w:val="36D52E06"/>
    <w:rsid w:val="38AE1C64"/>
    <w:rsid w:val="470A36F6"/>
    <w:rsid w:val="4F593EE3"/>
    <w:rsid w:val="5A203F75"/>
    <w:rsid w:val="6430600D"/>
    <w:rsid w:val="6AC237CD"/>
    <w:rsid w:val="6AFC0546"/>
    <w:rsid w:val="6B2E30B1"/>
    <w:rsid w:val="6BBD1842"/>
    <w:rsid w:val="754D0437"/>
    <w:rsid w:val="7D444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page number"/>
    <w:basedOn w:val="7"/>
    <w:qFormat/>
    <w:uiPriority w:val="0"/>
  </w:style>
  <w:style w:type="paragraph" w:customStyle="1" w:styleId="9">
    <w:name w:val="Char"/>
    <w:basedOn w:val="1"/>
    <w:qFormat/>
    <w:uiPriority w:val="0"/>
    <w:rPr>
      <w:rFonts w:ascii="Tahoma" w:hAnsi="Tahoma"/>
      <w:sz w:val="24"/>
      <w:szCs w:val="20"/>
    </w:rPr>
  </w:style>
  <w:style w:type="paragraph" w:customStyle="1" w:styleId="10">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1">
    <w:name w:val="Char Char Char Char Char Char Char Char Char Char Char Char Char Char Char Char"/>
    <w:basedOn w:val="1"/>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2771</Words>
  <Characters>15797</Characters>
  <Lines>131</Lines>
  <Paragraphs>37</Paragraphs>
  <TotalTime>2</TotalTime>
  <ScaleCrop>false</ScaleCrop>
  <LinksUpToDate>false</LinksUpToDate>
  <CharactersWithSpaces>18531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2020-03-12T03:00:00Z</dcterms:created>
  <dc:creator>Administrator</dc:creator>
  <cp:lastModifiedBy>周亮</cp:lastModifiedBy>
  <cp:lastPrinted>2019-09-26T00:50:00Z</cp:lastPrinted>
  <dcterms:modified xsi:type="dcterms:W3CDTF">2021-05-24T07:59:26Z</dcterms:modified>
  <dc:title>内部资料，请勿外传（公开时请删除）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