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spacing w:line="640" w:lineRule="exact"/>
        <w:jc w:val="center"/>
        <w:rPr>
          <w:rFonts w:hint="default" w:ascii="Times New Roman" w:hAnsi="Times New Roman" w:eastAsia="方正小标宋简体" w:cs="Times New Roman"/>
          <w:sz w:val="44"/>
          <w:szCs w:val="44"/>
        </w:rPr>
      </w:pPr>
      <w:bookmarkStart w:id="1" w:name="_GoBack"/>
      <w:r>
        <w:rPr>
          <w:rFonts w:hint="default" w:ascii="Times New Roman" w:hAnsi="Times New Roman" w:eastAsia="方正小标宋简体" w:cs="Times New Roman"/>
          <w:sz w:val="44"/>
          <w:szCs w:val="44"/>
        </w:rPr>
        <w:t>临淄区敬仲镇人民政府</w:t>
      </w:r>
      <w:r>
        <w:rPr>
          <w:rFonts w:hint="default" w:ascii="Times New Roman" w:hAnsi="Times New Roman" w:eastAsia="方正小标宋简体" w:cs="Times New Roman"/>
          <w:sz w:val="44"/>
          <w:szCs w:val="44"/>
          <w:lang w:val="en-US" w:eastAsia="zh-CN"/>
        </w:rPr>
        <w:t>2022</w:t>
      </w:r>
      <w:r>
        <w:rPr>
          <w:rFonts w:hint="default" w:ascii="Times New Roman" w:hAnsi="Times New Roman" w:eastAsia="方正小标宋简体" w:cs="Times New Roman"/>
          <w:sz w:val="44"/>
          <w:szCs w:val="44"/>
        </w:rPr>
        <w:t>年政府信息</w:t>
      </w:r>
    </w:p>
    <w:p>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公开工作年度报告</w:t>
      </w:r>
    </w:p>
    <w:bookmarkEnd w:id="1"/>
    <w:p>
      <w:pPr>
        <w:spacing w:line="640" w:lineRule="exact"/>
        <w:jc w:val="center"/>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报告按照《国务院办公厅政府信息与政务公开办公室关于印发&lt;中华人民共和国政府信息公开工作年度报告格式&gt;的通知》(国办公开办函〔2021〕30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2022年1月1日起，至2022年12月31日止。如对报告内容有疑问，请与</w:t>
      </w:r>
      <w:r>
        <w:rPr>
          <w:rFonts w:hint="default" w:ascii="Times New Roman" w:hAnsi="Times New Roman" w:eastAsia="仿宋_GB2312" w:cs="Times New Roman"/>
          <w:color w:val="000000"/>
          <w:sz w:val="32"/>
          <w:szCs w:val="32"/>
          <w:lang w:val="en-US" w:eastAsia="zh-CN"/>
        </w:rPr>
        <w:t>临淄区敬仲镇人民政府</w:t>
      </w:r>
      <w:r>
        <w:rPr>
          <w:rFonts w:hint="default" w:ascii="Times New Roman" w:hAnsi="Times New Roman" w:eastAsia="仿宋_GB2312" w:cs="Times New Roman"/>
          <w:color w:val="000000"/>
          <w:sz w:val="32"/>
          <w:szCs w:val="32"/>
        </w:rPr>
        <w:t>联系（地址：临淄区</w:t>
      </w:r>
      <w:r>
        <w:rPr>
          <w:rFonts w:hint="default" w:ascii="Times New Roman" w:hAnsi="Times New Roman" w:eastAsia="仿宋_GB2312" w:cs="Times New Roman"/>
          <w:color w:val="000000"/>
          <w:sz w:val="32"/>
          <w:szCs w:val="32"/>
          <w:lang w:val="en-US" w:eastAsia="zh-CN"/>
        </w:rPr>
        <w:t>敬仲镇敬仲路22号</w:t>
      </w:r>
      <w:r>
        <w:rPr>
          <w:rFonts w:hint="default" w:ascii="Times New Roman" w:hAnsi="Times New Roman" w:eastAsia="仿宋_GB2312" w:cs="Times New Roman"/>
          <w:color w:val="000000"/>
          <w:sz w:val="32"/>
          <w:szCs w:val="32"/>
        </w:rPr>
        <w:t>；邮编：255400；电话：0533-</w:t>
      </w:r>
      <w:r>
        <w:rPr>
          <w:rFonts w:hint="default" w:ascii="Times New Roman" w:hAnsi="Times New Roman" w:eastAsia="仿宋_GB2312" w:cs="Times New Roman"/>
          <w:color w:val="000000"/>
          <w:sz w:val="32"/>
          <w:szCs w:val="32"/>
          <w:lang w:val="en-US" w:eastAsia="zh-CN"/>
        </w:rPr>
        <w:t>7701256</w:t>
      </w:r>
      <w:r>
        <w:rPr>
          <w:rFonts w:hint="default" w:ascii="Times New Roman" w:hAnsi="Times New Roman" w:eastAsia="仿宋_GB2312" w:cs="Times New Roman"/>
          <w:color w:val="000000"/>
          <w:sz w:val="32"/>
          <w:szCs w:val="32"/>
        </w:rPr>
        <w:t>；邮箱：</w:t>
      </w:r>
      <w:r>
        <w:rPr>
          <w:rFonts w:hint="default" w:ascii="Times New Roman" w:hAnsi="Times New Roman" w:eastAsia="仿宋_GB2312" w:cs="Times New Roman"/>
          <w:color w:val="000000"/>
          <w:sz w:val="32"/>
          <w:szCs w:val="32"/>
          <w:lang w:val="en-US" w:eastAsia="zh-CN"/>
        </w:rPr>
        <w:t>jzzdzb</w:t>
      </w:r>
      <w:r>
        <w:rPr>
          <w:rFonts w:hint="default" w:ascii="Times New Roman" w:hAnsi="Times New Roman" w:eastAsia="仿宋_GB2312" w:cs="Times New Roman"/>
          <w:color w:val="000000"/>
          <w:sz w:val="32"/>
          <w:szCs w:val="32"/>
        </w:rPr>
        <w:t>@zb.shandong.cn）</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rPr>
        <w:t>022</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敬仲镇</w:t>
      </w:r>
      <w:r>
        <w:rPr>
          <w:rFonts w:hint="default" w:ascii="Times New Roman" w:hAnsi="Times New Roman" w:eastAsia="仿宋_GB2312" w:cs="Times New Roman"/>
          <w:color w:val="000000"/>
          <w:sz w:val="32"/>
          <w:szCs w:val="32"/>
        </w:rPr>
        <w:t>按照</w:t>
      </w:r>
      <w:r>
        <w:rPr>
          <w:rFonts w:hint="default" w:ascii="Times New Roman" w:hAnsi="Times New Roman" w:eastAsia="仿宋_GB2312" w:cs="Times New Roman"/>
          <w:color w:val="000000"/>
          <w:sz w:val="32"/>
          <w:szCs w:val="32"/>
          <w:lang w:val="en-US" w:eastAsia="zh-CN"/>
        </w:rPr>
        <w:t>区政府政务公开办</w:t>
      </w:r>
      <w:r>
        <w:rPr>
          <w:rFonts w:hint="default" w:ascii="Times New Roman" w:hAnsi="Times New Roman" w:eastAsia="仿宋_GB2312" w:cs="Times New Roman"/>
          <w:color w:val="000000"/>
          <w:sz w:val="32"/>
          <w:szCs w:val="32"/>
        </w:rPr>
        <w:t>关于政务公开工作的总体安排，</w:t>
      </w:r>
      <w:r>
        <w:rPr>
          <w:rFonts w:hint="default" w:ascii="Times New Roman" w:hAnsi="Times New Roman" w:eastAsia="仿宋_GB2312" w:cs="Times New Roman"/>
          <w:color w:val="000000"/>
          <w:sz w:val="32"/>
          <w:szCs w:val="32"/>
          <w:lang w:val="en-US" w:eastAsia="zh-CN"/>
        </w:rPr>
        <w:t>对照</w:t>
      </w:r>
      <w:r>
        <w:rPr>
          <w:rFonts w:hint="default" w:ascii="Times New Roman" w:hAnsi="Times New Roman" w:eastAsia="仿宋_GB2312" w:cs="Times New Roman"/>
          <w:color w:val="000000"/>
          <w:sz w:val="32"/>
          <w:szCs w:val="32"/>
        </w:rPr>
        <w:t>《2022年临淄区政务公开工作方案》《临淄区人民政府办公室关于进一步规范和加强政策解读工作的通知》等文件</w:t>
      </w:r>
      <w:r>
        <w:rPr>
          <w:rFonts w:hint="default" w:ascii="Times New Roman" w:hAnsi="Times New Roman" w:eastAsia="仿宋_GB2312" w:cs="Times New Roman"/>
          <w:color w:val="000000"/>
          <w:sz w:val="32"/>
          <w:szCs w:val="32"/>
        </w:rPr>
        <w:t>进一步压实主体责任，积极回应社会关切，</w:t>
      </w:r>
      <w:r>
        <w:rPr>
          <w:rFonts w:hint="default" w:ascii="Times New Roman" w:hAnsi="Times New Roman" w:eastAsia="仿宋_GB2312" w:cs="Times New Roman"/>
          <w:color w:val="000000"/>
          <w:sz w:val="32"/>
          <w:szCs w:val="32"/>
        </w:rPr>
        <w:t>着力加强基层政务公开标准化规范化建设，全面推进基层政务决策公开、执行公开、管理公开、服务公开、结果公开，推动基层政务公开全覆盖，让公开成为自觉、透明成为常态，依法保障人民群众知情权、参与权、表达权、监督权，</w:t>
      </w:r>
      <w:r>
        <w:rPr>
          <w:rFonts w:hint="default" w:ascii="Times New Roman" w:hAnsi="Times New Roman" w:eastAsia="仿宋_GB2312" w:cs="Times New Roman"/>
          <w:color w:val="000000"/>
          <w:sz w:val="32"/>
          <w:szCs w:val="32"/>
          <w:lang w:val="en-US" w:eastAsia="zh-CN"/>
        </w:rPr>
        <w:t>切实</w:t>
      </w:r>
      <w:r>
        <w:rPr>
          <w:rFonts w:hint="default" w:ascii="Times New Roman" w:hAnsi="Times New Roman" w:eastAsia="仿宋_GB2312" w:cs="Times New Roman"/>
          <w:color w:val="000000"/>
          <w:sz w:val="32"/>
          <w:szCs w:val="32"/>
        </w:rPr>
        <w:t>提升政务公开的质量和实效</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 w:cs="Times New Roman"/>
          <w:color w:val="000000"/>
          <w:sz w:val="32"/>
          <w:szCs w:val="32"/>
        </w:rPr>
        <w:t>（一）主动公开信息情况。</w:t>
      </w:r>
      <w:r>
        <w:rPr>
          <w:rFonts w:hint="default" w:ascii="Times New Roman" w:hAnsi="Times New Roman" w:eastAsia="仿宋_GB2312" w:cs="Times New Roman"/>
          <w:i w:val="0"/>
          <w:iCs w:val="0"/>
          <w:caps w:val="0"/>
          <w:color w:val="000000"/>
          <w:spacing w:val="0"/>
          <w:sz w:val="32"/>
          <w:szCs w:val="32"/>
          <w:shd w:val="clear" w:fill="FFFFFF"/>
        </w:rPr>
        <w:t>以《基层政务公开事项标准目录》为指引，</w:t>
      </w:r>
      <w:r>
        <w:rPr>
          <w:rFonts w:hint="default" w:ascii="Times New Roman" w:hAnsi="Times New Roman" w:eastAsia="仿宋_GB2312" w:cs="Times New Roman"/>
          <w:i w:val="0"/>
          <w:iCs w:val="0"/>
          <w:caps w:val="0"/>
          <w:color w:val="000000"/>
          <w:spacing w:val="0"/>
          <w:sz w:val="32"/>
          <w:szCs w:val="32"/>
          <w:shd w:val="clear" w:fill="FFFFFF"/>
        </w:rPr>
        <w:t>强化重点领域信息公开，保障公众知情权、参与权。</w:t>
      </w:r>
      <w:r>
        <w:rPr>
          <w:rFonts w:hint="default" w:ascii="Times New Roman" w:hAnsi="Times New Roman" w:eastAsia="仿宋_GB2312" w:cs="Times New Roman"/>
          <w:i w:val="0"/>
          <w:iCs w:val="0"/>
          <w:caps w:val="0"/>
          <w:color w:val="000000"/>
          <w:spacing w:val="0"/>
          <w:sz w:val="32"/>
          <w:szCs w:val="32"/>
          <w:shd w:val="clear" w:fill="FFFFFF"/>
        </w:rPr>
        <w:t>结合日常走访等宣传，有针对性地提高群众对政府信息公开网站的知晓度和参与度。</w:t>
      </w:r>
      <w:r>
        <w:rPr>
          <w:rFonts w:hint="default" w:ascii="Times New Roman" w:hAnsi="Times New Roman" w:eastAsia="仿宋_GB2312" w:cs="Times New Roman"/>
          <w:i w:val="0"/>
          <w:iCs w:val="0"/>
          <w:caps w:val="0"/>
          <w:color w:val="000000"/>
          <w:spacing w:val="0"/>
          <w:sz w:val="32"/>
          <w:szCs w:val="32"/>
          <w:shd w:val="clear" w:fill="FFFFFF"/>
        </w:rPr>
        <w:t>确保能公开尽公开。</w:t>
      </w:r>
      <w:r>
        <w:rPr>
          <w:rFonts w:hint="default" w:ascii="Times New Roman" w:hAnsi="Times New Roman" w:eastAsia="仿宋_GB2312" w:cs="Times New Roman"/>
          <w:i w:val="0"/>
          <w:iCs w:val="0"/>
          <w:caps w:val="0"/>
          <w:color w:val="000000"/>
          <w:spacing w:val="0"/>
          <w:sz w:val="32"/>
          <w:szCs w:val="32"/>
          <w:shd w:val="clear" w:fill="FFFFFF"/>
          <w:lang w:val="en-US" w:eastAsia="zh-CN"/>
        </w:rPr>
        <w:t>2022年，</w:t>
      </w:r>
      <w:r>
        <w:rPr>
          <w:rFonts w:hint="default" w:ascii="Times New Roman" w:hAnsi="Times New Roman" w:eastAsia="仿宋_GB2312" w:cs="Times New Roman"/>
          <w:i w:val="0"/>
          <w:iCs w:val="0"/>
          <w:caps w:val="0"/>
          <w:color w:val="000000"/>
          <w:spacing w:val="0"/>
          <w:sz w:val="32"/>
          <w:szCs w:val="32"/>
          <w:shd w:val="clear" w:fill="FFFFFF"/>
        </w:rPr>
        <w:t>依托政府信息公开网站，主动公开业务工作、农业农村、法规政策等企业群众关注的信息</w:t>
      </w:r>
      <w:r>
        <w:rPr>
          <w:rFonts w:hint="default" w:ascii="Times New Roman" w:hAnsi="Times New Roman" w:eastAsia="宋体" w:cs="Times New Roman"/>
          <w:i w:val="0"/>
          <w:iCs w:val="0"/>
          <w:caps w:val="0"/>
          <w:color w:val="000000"/>
          <w:spacing w:val="0"/>
          <w:sz w:val="32"/>
          <w:szCs w:val="32"/>
          <w:shd w:val="clear" w:fill="FFFFFF"/>
          <w:lang w:val="en-US" w:eastAsia="zh-CN"/>
        </w:rPr>
        <w:t>261</w:t>
      </w:r>
      <w:r>
        <w:rPr>
          <w:rFonts w:hint="default" w:ascii="Times New Roman" w:hAnsi="Times New Roman" w:eastAsia="仿宋_GB2312" w:cs="Times New Roman"/>
          <w:i w:val="0"/>
          <w:iCs w:val="0"/>
          <w:caps w:val="0"/>
          <w:color w:val="000000"/>
          <w:spacing w:val="0"/>
          <w:sz w:val="32"/>
          <w:szCs w:val="32"/>
          <w:shd w:val="clear" w:fill="FFFFFF"/>
        </w:rPr>
        <w:t>条。</w:t>
      </w:r>
      <w:r>
        <w:rPr>
          <w:rFonts w:hint="default" w:ascii="Times New Roman" w:hAnsi="Times New Roman" w:eastAsia="仿宋_GB2312" w:cs="Times New Roman"/>
          <w:color w:val="000000"/>
          <w:sz w:val="32"/>
          <w:szCs w:val="32"/>
        </w:rPr>
        <w:t>通过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敬仲视角”</w:t>
      </w:r>
      <w:r>
        <w:rPr>
          <w:rFonts w:hint="default" w:ascii="Times New Roman" w:hAnsi="Times New Roman" w:eastAsia="仿宋_GB2312" w:cs="Times New Roman"/>
          <w:color w:val="000000"/>
          <w:sz w:val="32"/>
          <w:szCs w:val="32"/>
        </w:rPr>
        <w:t>微信公众号发布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转载</w:t>
      </w:r>
      <w:r>
        <w:rPr>
          <w:rFonts w:hint="default" w:ascii="Times New Roman" w:hAnsi="Times New Roman" w:eastAsia="仿宋_GB2312" w:cs="Times New Roman"/>
          <w:color w:val="000000"/>
          <w:sz w:val="32"/>
          <w:szCs w:val="32"/>
        </w:rPr>
        <w:t>信息</w:t>
      </w:r>
      <w:r>
        <w:rPr>
          <w:rFonts w:hint="default" w:ascii="Times New Roman" w:hAnsi="Times New Roman" w:eastAsia="仿宋_GB2312" w:cs="Times New Roman"/>
          <w:color w:val="000000"/>
          <w:sz w:val="32"/>
          <w:szCs w:val="32"/>
          <w:lang w:val="en-US" w:eastAsia="zh-CN"/>
        </w:rPr>
        <w:t>348</w:t>
      </w:r>
      <w:r>
        <w:rPr>
          <w:rFonts w:hint="default" w:ascii="Times New Roman" w:hAnsi="Times New Roman" w:eastAsia="仿宋_GB2312" w:cs="Times New Roman"/>
          <w:color w:val="000000"/>
          <w:sz w:val="32"/>
          <w:szCs w:val="32"/>
        </w:rPr>
        <w:t>条，持续提升政务新媒体信息发布的时效性、实效性、严肃性。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color w:val="000000"/>
          <w:sz w:val="32"/>
          <w:szCs w:val="32"/>
        </w:rPr>
        <w:t>（二）依申请公开工作情况。</w:t>
      </w:r>
      <w:r>
        <w:rPr>
          <w:rFonts w:hint="default" w:ascii="Times New Roman" w:hAnsi="Times New Roman" w:eastAsia="仿宋_GB2312" w:cs="Times New Roman"/>
          <w:color w:val="000000"/>
          <w:sz w:val="32"/>
          <w:szCs w:val="32"/>
          <w:lang w:val="en-US" w:eastAsia="zh-CN"/>
        </w:rPr>
        <w:t>2022年我镇共收到和处理政府信息公开申请0件。</w:t>
      </w:r>
      <w:r>
        <w:rPr>
          <w:rFonts w:hint="default" w:ascii="Times New Roman" w:hAnsi="Times New Roman" w:eastAsia="仿宋_GB2312" w:cs="Times New Roman"/>
          <w:color w:val="000000"/>
          <w:sz w:val="32"/>
          <w:szCs w:val="32"/>
          <w:lang w:val="en-US" w:eastAsia="zh-CN"/>
        </w:rPr>
        <w:t>在日常工作中，安排专人做好</w:t>
      </w:r>
      <w:r>
        <w:rPr>
          <w:rFonts w:hint="default" w:ascii="Times New Roman" w:hAnsi="Times New Roman" w:eastAsia="仿宋_GB2312" w:cs="Times New Roman"/>
          <w:color w:val="000000"/>
          <w:sz w:val="32"/>
          <w:szCs w:val="32"/>
          <w:lang w:val="en-US" w:eastAsia="zh-CN"/>
        </w:rPr>
        <w:t>依申请公开接收、答复、办理等环节</w:t>
      </w:r>
      <w:r>
        <w:rPr>
          <w:rFonts w:hint="default" w:ascii="Times New Roman" w:hAnsi="Times New Roman" w:eastAsia="仿宋_GB2312" w:cs="Times New Roman"/>
          <w:color w:val="000000"/>
          <w:sz w:val="32"/>
          <w:szCs w:val="32"/>
          <w:lang w:val="en-US" w:eastAsia="zh-CN"/>
        </w:rPr>
        <w:t>，每日对收发室文件进行梳理，确保依申请公开工作及时、有效。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color w:val="000000"/>
          <w:sz w:val="32"/>
          <w:szCs w:val="32"/>
        </w:rPr>
        <w:t>（三）政府信息管理情况。</w:t>
      </w:r>
      <w:r>
        <w:rPr>
          <w:rFonts w:hint="default" w:ascii="Times New Roman" w:hAnsi="Times New Roman" w:eastAsia="仿宋_GB2312" w:cs="Times New Roman"/>
          <w:color w:val="000000"/>
          <w:sz w:val="32"/>
          <w:szCs w:val="32"/>
          <w:lang w:val="en-US" w:eastAsia="zh-CN"/>
        </w:rPr>
        <w:t>及时调整政府信息公开领导小组成员，加强政务公开信息负责委办党政办与其他委办、工作片、镇直相关部门之间的联系，</w:t>
      </w:r>
      <w:r>
        <w:rPr>
          <w:rFonts w:hint="default" w:ascii="Times New Roman" w:hAnsi="Times New Roman" w:eastAsia="仿宋_GB2312" w:cs="Times New Roman"/>
          <w:i w:val="0"/>
          <w:iCs w:val="0"/>
          <w:caps w:val="0"/>
          <w:color w:val="000000"/>
          <w:spacing w:val="0"/>
          <w:sz w:val="32"/>
          <w:szCs w:val="32"/>
          <w:shd w:val="clear" w:fill="FFFFFF"/>
        </w:rPr>
        <w:t>8名信息员负责对照标准化清单等，及时梳理本委办需要公开的事项，经委办负责同志</w:t>
      </w:r>
      <w:r>
        <w:rPr>
          <w:rFonts w:hint="default" w:ascii="Times New Roman" w:hAnsi="Times New Roman" w:eastAsia="仿宋_GB2312" w:cs="Times New Roman"/>
          <w:i w:val="0"/>
          <w:iCs w:val="0"/>
          <w:caps w:val="0"/>
          <w:color w:val="000000"/>
          <w:spacing w:val="0"/>
          <w:sz w:val="32"/>
          <w:szCs w:val="32"/>
          <w:shd w:val="clear" w:fill="FFFFFF"/>
          <w:lang w:val="en-US" w:eastAsia="zh-CN"/>
        </w:rPr>
        <w:t>初步</w:t>
      </w:r>
      <w:r>
        <w:rPr>
          <w:rFonts w:hint="default" w:ascii="Times New Roman" w:hAnsi="Times New Roman" w:eastAsia="仿宋_GB2312" w:cs="Times New Roman"/>
          <w:i w:val="0"/>
          <w:iCs w:val="0"/>
          <w:caps w:val="0"/>
          <w:color w:val="000000"/>
          <w:spacing w:val="0"/>
          <w:sz w:val="32"/>
          <w:szCs w:val="32"/>
          <w:shd w:val="clear" w:fill="FFFFFF"/>
        </w:rPr>
        <w:t>审核后报党政办，</w:t>
      </w:r>
      <w:r>
        <w:rPr>
          <w:rFonts w:hint="default" w:ascii="Times New Roman" w:hAnsi="Times New Roman" w:eastAsia="仿宋_GB2312" w:cs="Times New Roman"/>
          <w:i w:val="0"/>
          <w:iCs w:val="0"/>
          <w:caps w:val="0"/>
          <w:color w:val="000000"/>
          <w:spacing w:val="0"/>
          <w:sz w:val="32"/>
          <w:szCs w:val="32"/>
          <w:shd w:val="clear" w:fill="FFFFFF"/>
          <w:lang w:val="en-US" w:eastAsia="zh-CN"/>
        </w:rPr>
        <w:t>再由政务公开科室负责人及分管领导审核后，</w:t>
      </w:r>
      <w:r>
        <w:rPr>
          <w:rFonts w:hint="default" w:ascii="Times New Roman" w:hAnsi="Times New Roman" w:eastAsia="仿宋_GB2312" w:cs="Times New Roman"/>
          <w:i w:val="0"/>
          <w:iCs w:val="0"/>
          <w:caps w:val="0"/>
          <w:color w:val="000000"/>
          <w:spacing w:val="0"/>
          <w:sz w:val="32"/>
          <w:szCs w:val="32"/>
          <w:shd w:val="clear" w:fill="FFFFFF"/>
        </w:rPr>
        <w:t>由政务公开专职工作人员按照程序在政府信息公开网站等平台进行公开，对不应公开的及时说明，</w:t>
      </w:r>
      <w:r>
        <w:rPr>
          <w:rFonts w:hint="default" w:ascii="Times New Roman" w:hAnsi="Times New Roman" w:eastAsia="仿宋_GB2312" w:cs="Times New Roman"/>
          <w:i w:val="0"/>
          <w:iCs w:val="0"/>
          <w:caps w:val="0"/>
          <w:color w:val="000000"/>
          <w:spacing w:val="0"/>
          <w:sz w:val="32"/>
          <w:szCs w:val="32"/>
          <w:shd w:val="clear" w:fill="FFFFFF"/>
        </w:rPr>
        <w:t>凡是能主动公开的一律主动公开，切实满足人民群众获取政府信息的合理需求</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color w:val="000000"/>
          <w:sz w:val="32"/>
          <w:szCs w:val="32"/>
          <w:lang w:val="en-US" w:eastAsia="zh-CN"/>
        </w:rPr>
        <w:t>做到信息生成与发布保持同步。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bookmarkStart w:id="0" w:name="_Hlk93399709"/>
      <w:r>
        <w:rPr>
          <w:rFonts w:hint="default" w:ascii="Times New Roman" w:hAnsi="Times New Roman" w:eastAsia="楷体" w:cs="Times New Roman"/>
          <w:color w:val="000000"/>
          <w:sz w:val="32"/>
          <w:szCs w:val="32"/>
        </w:rPr>
        <w:t>（四）政府信息公开平台建设情况。</w:t>
      </w:r>
      <w:bookmarkEnd w:id="0"/>
      <w:r>
        <w:rPr>
          <w:rFonts w:hint="default" w:ascii="Times New Roman" w:hAnsi="Times New Roman" w:eastAsia="仿宋_GB2312" w:cs="Times New Roman"/>
          <w:color w:val="000000"/>
          <w:sz w:val="32"/>
          <w:szCs w:val="32"/>
          <w:lang w:val="en-US" w:eastAsia="zh-CN"/>
        </w:rPr>
        <w:t>线上，</w:t>
      </w:r>
      <w:r>
        <w:rPr>
          <w:rFonts w:hint="default" w:ascii="Times New Roman" w:hAnsi="Times New Roman" w:eastAsia="仿宋_GB2312" w:cs="Times New Roman"/>
          <w:color w:val="000000"/>
          <w:sz w:val="32"/>
          <w:szCs w:val="32"/>
          <w:lang w:val="en-US" w:eastAsia="zh-CN"/>
        </w:rPr>
        <w:t>一方面</w:t>
      </w:r>
      <w:r>
        <w:rPr>
          <w:rFonts w:hint="default" w:ascii="Times New Roman" w:hAnsi="Times New Roman" w:eastAsia="仿宋_GB2312" w:cs="Times New Roman"/>
          <w:color w:val="000000"/>
          <w:sz w:val="32"/>
          <w:szCs w:val="32"/>
          <w:lang w:val="en-US" w:eastAsia="zh-CN"/>
        </w:rPr>
        <w:t>及时</w:t>
      </w:r>
      <w:r>
        <w:rPr>
          <w:rFonts w:hint="default" w:ascii="Times New Roman" w:hAnsi="Times New Roman" w:eastAsia="仿宋_GB2312" w:cs="Times New Roman"/>
          <w:color w:val="000000"/>
          <w:sz w:val="32"/>
          <w:szCs w:val="32"/>
        </w:rPr>
        <w:t>调整政府网站栏目设置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做好政策文件、</w:t>
      </w:r>
      <w:r>
        <w:rPr>
          <w:rFonts w:hint="default" w:ascii="Times New Roman" w:hAnsi="Times New Roman" w:eastAsia="仿宋_GB2312" w:cs="Times New Roman"/>
          <w:color w:val="000000"/>
          <w:sz w:val="32"/>
          <w:szCs w:val="32"/>
          <w:lang w:val="en-US" w:eastAsia="zh-CN"/>
        </w:rPr>
        <w:t>政府</w:t>
      </w:r>
      <w:r>
        <w:rPr>
          <w:rFonts w:hint="default" w:ascii="Times New Roman" w:hAnsi="Times New Roman" w:eastAsia="仿宋_GB2312" w:cs="Times New Roman"/>
          <w:color w:val="000000"/>
          <w:sz w:val="32"/>
          <w:szCs w:val="32"/>
        </w:rPr>
        <w:t>会议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业务工作</w:t>
      </w:r>
      <w:r>
        <w:rPr>
          <w:rFonts w:hint="default" w:ascii="Times New Roman" w:hAnsi="Times New Roman" w:eastAsia="仿宋_GB2312" w:cs="Times New Roman"/>
          <w:color w:val="000000"/>
          <w:sz w:val="32"/>
          <w:szCs w:val="32"/>
        </w:rPr>
        <w:t>等公开专栏信息维护。</w:t>
      </w:r>
      <w:r>
        <w:rPr>
          <w:rFonts w:hint="default" w:ascii="Times New Roman" w:hAnsi="Times New Roman" w:eastAsia="仿宋_GB2312" w:cs="Times New Roman"/>
          <w:color w:val="000000"/>
          <w:sz w:val="32"/>
          <w:szCs w:val="32"/>
          <w:lang w:val="en-US" w:eastAsia="zh-CN"/>
        </w:rPr>
        <w:t>另一方面</w:t>
      </w:r>
      <w:r>
        <w:rPr>
          <w:rFonts w:hint="default" w:ascii="Times New Roman" w:hAnsi="Times New Roman" w:eastAsia="仿宋_GB2312" w:cs="Times New Roman"/>
          <w:color w:val="000000"/>
          <w:sz w:val="32"/>
          <w:szCs w:val="32"/>
        </w:rPr>
        <w:t>利用好“敬仲视角”政务新媒体</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lang w:eastAsia="zh-CN"/>
        </w:rPr>
        <w:t>通过“敬仲这一周”、业务动态等及时公开政务信息，</w:t>
      </w:r>
      <w:r>
        <w:rPr>
          <w:rFonts w:hint="default" w:ascii="Times New Roman" w:hAnsi="Times New Roman" w:eastAsia="仿宋_GB2312" w:cs="Times New Roman"/>
          <w:color w:val="000000"/>
          <w:sz w:val="32"/>
          <w:szCs w:val="32"/>
        </w:rPr>
        <w:t>同时在搜索栏链接政务信息公开网站等，实现双向可查、快速查找。</w:t>
      </w:r>
      <w:r>
        <w:rPr>
          <w:rFonts w:hint="default" w:ascii="Times New Roman" w:hAnsi="Times New Roman" w:eastAsia="仿宋_GB2312" w:cs="Times New Roman"/>
          <w:color w:val="000000"/>
          <w:sz w:val="32"/>
          <w:szCs w:val="32"/>
          <w:lang w:val="en-US" w:eastAsia="zh-CN"/>
        </w:rPr>
        <w:t>线下，</w:t>
      </w:r>
      <w:r>
        <w:rPr>
          <w:rFonts w:hint="default" w:ascii="Times New Roman" w:hAnsi="Times New Roman" w:eastAsia="仿宋_GB2312" w:cs="Times New Roman"/>
          <w:i w:val="0"/>
          <w:iCs w:val="0"/>
          <w:caps w:val="0"/>
          <w:color w:val="000000"/>
          <w:spacing w:val="0"/>
          <w:sz w:val="32"/>
          <w:szCs w:val="32"/>
          <w:shd w:val="clear" w:fill="FFFFFF"/>
        </w:rPr>
        <w:t>配备政务服务大厅电子显示屏宣传、窗口操作流程宣传折页等</w:t>
      </w:r>
      <w:r>
        <w:rPr>
          <w:rFonts w:hint="default" w:ascii="Times New Roman" w:hAnsi="Times New Roman" w:eastAsia="仿宋_GB2312" w:cs="Times New Roman"/>
          <w:i w:val="0"/>
          <w:iCs w:val="0"/>
          <w:caps w:val="0"/>
          <w:color w:val="000000"/>
          <w:spacing w:val="0"/>
          <w:sz w:val="32"/>
          <w:szCs w:val="32"/>
          <w:shd w:val="clear" w:fill="FFFFFF"/>
        </w:rPr>
        <w:t>，积极梳理</w:t>
      </w:r>
      <w:r>
        <w:rPr>
          <w:rFonts w:hint="default" w:ascii="Times New Roman" w:hAnsi="Times New Roman" w:eastAsia="仿宋_GB2312" w:cs="Times New Roman"/>
          <w:i w:val="0"/>
          <w:iCs w:val="0"/>
          <w:caps w:val="0"/>
          <w:color w:val="000000"/>
          <w:spacing w:val="0"/>
          <w:sz w:val="32"/>
          <w:szCs w:val="32"/>
          <w:shd w:val="clear" w:fill="FFFFFF"/>
          <w:lang w:val="en-US" w:eastAsia="zh-CN"/>
        </w:rPr>
        <w:t>129条</w:t>
      </w:r>
      <w:r>
        <w:rPr>
          <w:rFonts w:hint="default" w:ascii="Times New Roman" w:hAnsi="Times New Roman" w:eastAsia="仿宋_GB2312" w:cs="Times New Roman"/>
          <w:i w:val="0"/>
          <w:iCs w:val="0"/>
          <w:caps w:val="0"/>
          <w:color w:val="000000"/>
          <w:spacing w:val="0"/>
          <w:sz w:val="32"/>
          <w:szCs w:val="32"/>
          <w:shd w:val="clear" w:fill="FFFFFF"/>
        </w:rPr>
        <w:t>服务内容与政策依据，</w:t>
      </w:r>
      <w:r>
        <w:rPr>
          <w:rFonts w:hint="default" w:ascii="Times New Roman" w:hAnsi="Times New Roman" w:eastAsia="仿宋_GB2312" w:cs="Times New Roman"/>
          <w:color w:val="000000"/>
          <w:sz w:val="32"/>
          <w:szCs w:val="32"/>
        </w:rPr>
        <w:t>安排专人接受群众咨询，解答医疗、人社、就业、盖章、优抚、临时救助等各类业务办理流程，让群众最多“跑一次”，不断优化、规范政务公开平台建设。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color w:val="000000"/>
          <w:sz w:val="32"/>
          <w:szCs w:val="32"/>
        </w:rPr>
        <w:t>（五）政府信息公开监督保障情况。</w:t>
      </w:r>
      <w:r>
        <w:rPr>
          <w:rFonts w:hint="default" w:ascii="Times New Roman" w:hAnsi="Times New Roman" w:eastAsia="仿宋_GB2312" w:cs="Times New Roman"/>
          <w:color w:val="000000"/>
          <w:sz w:val="32"/>
          <w:szCs w:val="32"/>
        </w:rPr>
        <w:t>建立政务公开</w:t>
      </w:r>
      <w:r>
        <w:rPr>
          <w:rFonts w:hint="default" w:ascii="Times New Roman" w:hAnsi="Times New Roman" w:eastAsia="仿宋_GB2312" w:cs="Times New Roman"/>
          <w:color w:val="000000"/>
          <w:sz w:val="32"/>
          <w:szCs w:val="32"/>
          <w:lang w:val="en-US" w:eastAsia="zh-CN"/>
        </w:rPr>
        <w:t>沟通机制</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定期召开安排部署会、推进会等，组织党政办政务公开专职人员、各委办信息员进行培训等，提升政务公开工作能力，年内召开各类会议5次。同时按照政务公开工作要求统一对工作职责、办公地址、联系方式、邮箱等内容进行规范公开，及时更新机构职能等相关信息，确保监督保障渠道畅通。</w:t>
      </w:r>
    </w:p>
    <w:p>
      <w:pPr>
        <w:ind w:firstLine="648"/>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p>
      <w:pPr>
        <w:spacing w:before="9"/>
        <w:jc w:val="left"/>
        <w:rPr>
          <w:rFonts w:hint="default" w:ascii="Times New Roman" w:hAnsi="Times New Roman" w:eastAsia="宋体" w:cs="Times New Roman"/>
          <w:kern w:val="0"/>
          <w:szCs w:val="21"/>
        </w:rPr>
      </w:pPr>
    </w:p>
    <w:tbl>
      <w:tblPr>
        <w:tblStyle w:val="13"/>
        <w:tblW w:w="8124" w:type="dxa"/>
        <w:jc w:val="center"/>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621" w:hRule="exact"/>
          <w:jc w:val="center"/>
        </w:trPr>
        <w:tc>
          <w:tcPr>
            <w:tcW w:w="8124"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rFonts w:hint="default" w:ascii="Times New Roman" w:hAnsi="Times New Roman" w:cs="Times New Roman"/>
                <w:sz w:val="21"/>
                <w:lang w:eastAsia="en-US"/>
              </w:rPr>
            </w:pPr>
            <w:r>
              <w:rPr>
                <w:rFonts w:hint="default" w:ascii="Times New Roman" w:hAnsi="Times New Roman" w:cs="Times New Roman"/>
                <w:sz w:val="21"/>
                <w:lang w:eastAsia="en-US"/>
              </w:rPr>
              <w:t>第二十条</w:t>
            </w:r>
            <w:r>
              <w:rPr>
                <w:rFonts w:hint="default" w:ascii="Times New Roman" w:hAnsi="Times New Roman" w:cs="Times New Roman"/>
                <w:sz w:val="21"/>
                <w:lang w:eastAsia="en-US"/>
              </w:rPr>
              <w:tab/>
            </w:r>
            <w:r>
              <w:rPr>
                <w:rFonts w:hint="default" w:ascii="Times New Roman" w:hAnsi="Times New Roman" w:cs="Times New Roman"/>
                <w:sz w:val="21"/>
                <w:lang w:eastAsia="en-US"/>
              </w:rPr>
              <w:t>第 （一</w:t>
            </w:r>
            <w:r>
              <w:rPr>
                <w:rFonts w:hint="default" w:ascii="Times New Roman" w:hAnsi="Times New Roman" w:cs="Times New Roman"/>
                <w:sz w:val="21"/>
                <w:lang w:eastAsia="en-US"/>
              </w:rPr>
              <w:t>）</w:t>
            </w:r>
            <w:r>
              <w:rPr>
                <w:rFonts w:hint="default" w:ascii="Times New Roman" w:hAnsi="Times New Roman" w:cs="Times New Roman"/>
                <w:sz w:val="21"/>
                <w:lang w:eastAsia="en-US"/>
              </w:rPr>
              <w:t xml:space="preserve"> 项</w:t>
            </w:r>
          </w:p>
        </w:tc>
      </w:tr>
      <w:tr>
        <w:tblPrEx>
          <w:tblCellMar>
            <w:top w:w="0" w:type="dxa"/>
            <w:left w:w="0" w:type="dxa"/>
            <w:bottom w:w="0" w:type="dxa"/>
            <w:right w:w="0" w:type="dxa"/>
          </w:tblCellMar>
        </w:tblPrEx>
        <w:trPr>
          <w:trHeight w:val="616" w:hRule="exact"/>
          <w:jc w:val="center"/>
        </w:trPr>
        <w:tc>
          <w:tcPr>
            <w:tcW w:w="3284" w:type="dxa"/>
            <w:tcBorders>
              <w:top w:val="single" w:color="64647C" w:sz="4" w:space="0"/>
              <w:left w:val="single" w:color="3B3B44" w:sz="6" w:space="0"/>
              <w:bottom w:val="single" w:color="707790" w:sz="4" w:space="0"/>
              <w:right w:val="single" w:color="7C7C83" w:sz="4" w:space="0"/>
            </w:tcBorders>
          </w:tcPr>
          <w:p>
            <w:pPr>
              <w:spacing w:before="135"/>
              <w:ind w:right="27"/>
              <w:jc w:val="center"/>
              <w:rPr>
                <w:rFonts w:hint="default" w:ascii="Times New Roman" w:hAnsi="Times New Roman" w:cs="Times New Roman"/>
                <w:sz w:val="21"/>
                <w:lang w:eastAsia="en-US"/>
              </w:rPr>
            </w:pPr>
            <w:r>
              <w:rPr>
                <w:rFonts w:hint="default" w:ascii="Times New Roman" w:hAnsi="Times New Roman" w:cs="Times New Roman"/>
                <w:sz w:val="21"/>
                <w:lang w:eastAsia="en-US"/>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rFonts w:hint="default" w:ascii="Times New Roman" w:hAnsi="Times New Roman" w:cs="Times New Roman"/>
                <w:sz w:val="21"/>
                <w:lang w:eastAsia="en-US"/>
              </w:rPr>
            </w:pPr>
            <w:r>
              <w:rPr>
                <w:rFonts w:hint="default" w:ascii="Times New Roman" w:hAnsi="Times New Roman" w:cs="Times New Roman"/>
                <w:sz w:val="21"/>
                <w:lang w:eastAsia="en-US"/>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rFonts w:hint="default" w:ascii="Times New Roman" w:hAnsi="Times New Roman" w:cs="Times New Roman"/>
                <w:sz w:val="21"/>
                <w:lang w:eastAsia="en-US"/>
              </w:rPr>
            </w:pPr>
            <w:r>
              <w:rPr>
                <w:rFonts w:hint="default" w:ascii="Times New Roman" w:hAnsi="Times New Roman" w:cs="Times New Roman"/>
                <w:sz w:val="21"/>
                <w:lang w:eastAsia="en-US"/>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spacing w:before="130"/>
              <w:jc w:val="center"/>
              <w:rPr>
                <w:rFonts w:hint="default" w:ascii="Times New Roman" w:hAnsi="Times New Roman" w:cs="Times New Roman"/>
                <w:sz w:val="21"/>
                <w:lang w:eastAsia="en-US"/>
              </w:rPr>
            </w:pPr>
            <w:r>
              <w:rPr>
                <w:rFonts w:hint="default" w:ascii="Times New Roman" w:hAnsi="Times New Roman" w:cs="Times New Roman"/>
                <w:sz w:val="21"/>
                <w:lang w:eastAsia="en-US"/>
              </w:rPr>
              <w:t>现行有效件数</w:t>
            </w:r>
          </w:p>
        </w:tc>
      </w:tr>
      <w:tr>
        <w:tblPrEx>
          <w:tblCellMar>
            <w:top w:w="0" w:type="dxa"/>
            <w:left w:w="0" w:type="dxa"/>
            <w:bottom w:w="0" w:type="dxa"/>
            <w:right w:w="0" w:type="dxa"/>
          </w:tblCellMar>
        </w:tblPrEx>
        <w:trPr>
          <w:trHeight w:val="628" w:hRule="exact"/>
          <w:jc w:val="center"/>
        </w:trPr>
        <w:tc>
          <w:tcPr>
            <w:tcW w:w="3284" w:type="dxa"/>
            <w:tcBorders>
              <w:top w:val="single" w:color="707790" w:sz="4" w:space="0"/>
              <w:left w:val="single" w:color="3B3B44" w:sz="6" w:space="0"/>
              <w:bottom w:val="single" w:color="747487" w:sz="4" w:space="0"/>
              <w:right w:val="single" w:color="97979C" w:sz="4" w:space="0"/>
            </w:tcBorders>
          </w:tcPr>
          <w:p>
            <w:pPr>
              <w:spacing w:before="147"/>
              <w:ind w:left="93"/>
              <w:jc w:val="left"/>
              <w:rPr>
                <w:rFonts w:hint="default" w:ascii="Times New Roman" w:hAnsi="Times New Roman" w:cs="Times New Roman"/>
                <w:sz w:val="21"/>
                <w:lang w:eastAsia="en-US"/>
              </w:rPr>
            </w:pPr>
            <w:r>
              <w:rPr>
                <w:rFonts w:hint="default" w:ascii="Times New Roman" w:hAnsi="Times New Roman" w:cs="Times New Roman"/>
                <w:sz w:val="21"/>
                <w:lang w:eastAsia="en-US"/>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pPr>
              <w:jc w:val="center"/>
              <w:rPr>
                <w:rFonts w:hint="default" w:ascii="Times New Roman" w:hAnsi="Times New Roman" w:cs="Times New Roman"/>
                <w:sz w:val="21"/>
                <w:lang w:eastAsia="en-US"/>
              </w:rPr>
            </w:pPr>
            <w:r>
              <w:rPr>
                <w:rFonts w:hint="default" w:ascii="Times New Roman" w:hAnsi="Times New Roman" w:cs="Times New Roman"/>
                <w:sz w:val="21"/>
                <w:lang w:eastAsia="en-US"/>
              </w:rPr>
              <w:t>0</w:t>
            </w:r>
          </w:p>
        </w:tc>
        <w:tc>
          <w:tcPr>
            <w:tcW w:w="1803" w:type="dxa"/>
            <w:tcBorders>
              <w:top w:val="single" w:color="835B67" w:sz="4" w:space="0"/>
              <w:left w:val="single" w:color="939397" w:sz="4" w:space="0"/>
              <w:bottom w:val="single" w:color="546080" w:sz="2" w:space="0"/>
              <w:right w:val="single" w:color="97939C" w:sz="4" w:space="0"/>
            </w:tcBorders>
            <w:vAlign w:val="center"/>
          </w:tcPr>
          <w:p>
            <w:pPr>
              <w:jc w:val="center"/>
              <w:rPr>
                <w:rFonts w:hint="default" w:ascii="Times New Roman" w:hAnsi="Times New Roman" w:cs="Times New Roman"/>
                <w:sz w:val="21"/>
                <w:lang w:eastAsia="en-US"/>
              </w:rPr>
            </w:pPr>
            <w:r>
              <w:rPr>
                <w:rFonts w:hint="default" w:ascii="Times New Roman" w:hAnsi="Times New Roman" w:cs="Times New Roman"/>
                <w:sz w:val="21"/>
                <w:lang w:eastAsia="en-US"/>
              </w:rPr>
              <w:t>0</w:t>
            </w:r>
          </w:p>
        </w:tc>
        <w:tc>
          <w:tcPr>
            <w:tcW w:w="1351" w:type="dxa"/>
            <w:tcBorders>
              <w:top w:val="single" w:color="835B67" w:sz="4" w:space="0"/>
              <w:left w:val="single" w:color="97939C" w:sz="4" w:space="0"/>
              <w:bottom w:val="single" w:color="74778C" w:sz="4" w:space="0"/>
              <w:right w:val="single" w:color="3B3B3F" w:sz="8" w:space="0"/>
            </w:tcBorders>
            <w:vAlign w:val="center"/>
          </w:tcPr>
          <w:p>
            <w:pPr>
              <w:jc w:val="center"/>
              <w:rPr>
                <w:rFonts w:hint="default" w:ascii="Times New Roman" w:hAnsi="Times New Roman" w:cs="Times New Roman"/>
                <w:sz w:val="21"/>
                <w:lang w:eastAsia="en-US"/>
              </w:rPr>
            </w:pPr>
            <w:r>
              <w:rPr>
                <w:rFonts w:hint="default" w:ascii="Times New Roman" w:hAnsi="Times New Roman" w:cs="Times New Roman"/>
                <w:sz w:val="21"/>
                <w:lang w:eastAsia="en-US"/>
              </w:rPr>
              <w:t>0</w:t>
            </w:r>
          </w:p>
        </w:tc>
      </w:tr>
      <w:tr>
        <w:tblPrEx>
          <w:tblCellMar>
            <w:top w:w="0" w:type="dxa"/>
            <w:left w:w="0" w:type="dxa"/>
            <w:bottom w:w="0" w:type="dxa"/>
            <w:right w:w="0" w:type="dxa"/>
          </w:tblCellMar>
        </w:tblPrEx>
        <w:trPr>
          <w:trHeight w:val="621" w:hRule="exact"/>
          <w:jc w:val="center"/>
        </w:trPr>
        <w:tc>
          <w:tcPr>
            <w:tcW w:w="3284" w:type="dxa"/>
            <w:tcBorders>
              <w:top w:val="single" w:color="747487" w:sz="4" w:space="0"/>
              <w:left w:val="single" w:color="3B3B44" w:sz="6" w:space="0"/>
              <w:bottom w:val="single" w:color="5B6080" w:sz="4" w:space="0"/>
              <w:right w:val="single" w:color="97979C" w:sz="4" w:space="0"/>
            </w:tcBorders>
          </w:tcPr>
          <w:p>
            <w:pPr>
              <w:spacing w:before="138"/>
              <w:ind w:left="93"/>
              <w:jc w:val="left"/>
              <w:rPr>
                <w:rFonts w:hint="default" w:ascii="Times New Roman" w:hAnsi="Times New Roman" w:cs="Times New Roman"/>
                <w:sz w:val="21"/>
                <w:lang w:eastAsia="en-US"/>
              </w:rPr>
            </w:pPr>
            <w:r>
              <w:rPr>
                <w:rFonts w:hint="default" w:ascii="Times New Roman" w:hAnsi="Times New Roman" w:cs="Times New Roman"/>
                <w:sz w:val="21"/>
                <w:lang w:eastAsia="en-US"/>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pPr>
              <w:jc w:val="center"/>
              <w:rPr>
                <w:rFonts w:hint="default" w:ascii="Times New Roman" w:hAnsi="Times New Roman" w:cs="Times New Roman" w:eastAsiaTheme="minorEastAsia"/>
                <w:sz w:val="21"/>
                <w:lang w:eastAsia="zh-CN"/>
              </w:rPr>
            </w:pPr>
            <w:r>
              <w:rPr>
                <w:rFonts w:hint="default" w:ascii="Times New Roman" w:hAnsi="Times New Roman" w:cs="Times New Roman"/>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pPr>
              <w:jc w:val="center"/>
              <w:rPr>
                <w:rFonts w:hint="default" w:ascii="Times New Roman" w:hAnsi="Times New Roman" w:cs="Times New Roman" w:eastAsiaTheme="minorEastAsia"/>
                <w:sz w:val="21"/>
                <w:lang w:eastAsia="zh-CN"/>
              </w:rPr>
            </w:pPr>
            <w:r>
              <w:rPr>
                <w:rFonts w:hint="default" w:ascii="Times New Roman" w:hAnsi="Times New Roman" w:cs="Times New Roman"/>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vAlign w:val="center"/>
          </w:tcPr>
          <w:p>
            <w:pPr>
              <w:jc w:val="center"/>
              <w:rPr>
                <w:rFonts w:hint="default" w:ascii="Times New Roman" w:hAnsi="Times New Roman" w:cs="Times New Roman" w:eastAsiaTheme="minorEastAsia"/>
                <w:sz w:val="21"/>
                <w:lang w:eastAsia="zh-CN"/>
              </w:rPr>
            </w:pPr>
            <w:r>
              <w:rPr>
                <w:rFonts w:hint="default" w:ascii="Times New Roman" w:hAnsi="Times New Roman" w:cs="Times New Roman"/>
                <w:sz w:val="21"/>
                <w:lang w:val="en-US" w:eastAsia="zh-CN"/>
              </w:rPr>
              <w:t>0</w:t>
            </w:r>
          </w:p>
        </w:tc>
      </w:tr>
      <w:tr>
        <w:tblPrEx>
          <w:tblCellMar>
            <w:top w:w="0" w:type="dxa"/>
            <w:left w:w="0" w:type="dxa"/>
            <w:bottom w:w="0" w:type="dxa"/>
            <w:right w:w="0" w:type="dxa"/>
          </w:tblCellMar>
        </w:tblPrEx>
        <w:trPr>
          <w:trHeight w:val="621" w:hRule="exact"/>
          <w:jc w:val="center"/>
        </w:trPr>
        <w:tc>
          <w:tcPr>
            <w:tcW w:w="8124"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rFonts w:hint="default" w:ascii="Times New Roman" w:hAnsi="Times New Roman" w:cs="Times New Roman"/>
                <w:sz w:val="21"/>
                <w:lang w:eastAsia="en-US"/>
              </w:rPr>
            </w:pPr>
            <w:r>
              <w:rPr>
                <w:rFonts w:hint="default" w:ascii="Times New Roman" w:hAnsi="Times New Roman" w:cs="Times New Roman"/>
                <w:sz w:val="21"/>
                <w:lang w:eastAsia="en-US"/>
              </w:rPr>
              <w:t>第二十条</w:t>
            </w:r>
            <w:r>
              <w:rPr>
                <w:rFonts w:hint="default" w:ascii="Times New Roman" w:hAnsi="Times New Roman" w:cs="Times New Roman"/>
                <w:sz w:val="21"/>
                <w:lang w:eastAsia="en-US"/>
              </w:rPr>
              <w:tab/>
            </w:r>
            <w:r>
              <w:rPr>
                <w:rFonts w:hint="default" w:ascii="Times New Roman" w:hAnsi="Times New Roman" w:cs="Times New Roman"/>
                <w:sz w:val="21"/>
                <w:lang w:eastAsia="en-US"/>
              </w:rPr>
              <w:t>第 （五</w:t>
            </w:r>
            <w:r>
              <w:rPr>
                <w:rFonts w:hint="default" w:ascii="Times New Roman" w:hAnsi="Times New Roman" w:cs="Times New Roman"/>
                <w:sz w:val="21"/>
                <w:lang w:eastAsia="en-US"/>
              </w:rPr>
              <w:t>）</w:t>
            </w:r>
            <w:r>
              <w:rPr>
                <w:rFonts w:hint="default" w:ascii="Times New Roman" w:hAnsi="Times New Roman" w:cs="Times New Roman"/>
                <w:sz w:val="21"/>
                <w:lang w:eastAsia="en-US"/>
              </w:rPr>
              <w:t xml:space="preserve"> 项</w:t>
            </w:r>
          </w:p>
        </w:tc>
      </w:tr>
      <w:tr>
        <w:tblPrEx>
          <w:tblCellMar>
            <w:top w:w="0" w:type="dxa"/>
            <w:left w:w="0" w:type="dxa"/>
            <w:bottom w:w="0" w:type="dxa"/>
            <w:right w:w="0" w:type="dxa"/>
          </w:tblCellMar>
        </w:tblPrEx>
        <w:trPr>
          <w:trHeight w:val="621" w:hRule="exact"/>
          <w:jc w:val="center"/>
        </w:trPr>
        <w:tc>
          <w:tcPr>
            <w:tcW w:w="3284" w:type="dxa"/>
            <w:tcBorders>
              <w:top w:val="single" w:color="646B80" w:sz="4" w:space="0"/>
              <w:left w:val="single" w:color="3B3B44" w:sz="6" w:space="0"/>
              <w:bottom w:val="single" w:color="80676B" w:sz="4" w:space="0"/>
              <w:right w:val="single" w:color="878787" w:sz="4" w:space="0"/>
            </w:tcBorders>
          </w:tcPr>
          <w:p>
            <w:pPr>
              <w:spacing w:before="138"/>
              <w:ind w:right="17"/>
              <w:jc w:val="center"/>
              <w:rPr>
                <w:rFonts w:hint="default" w:ascii="Times New Roman" w:hAnsi="Times New Roman" w:cs="Times New Roman"/>
                <w:sz w:val="21"/>
                <w:lang w:eastAsia="en-US"/>
              </w:rPr>
            </w:pPr>
            <w:r>
              <w:rPr>
                <w:rFonts w:hint="default" w:ascii="Times New Roman" w:hAnsi="Times New Roman" w:cs="Times New Roman"/>
                <w:sz w:val="21"/>
                <w:lang w:eastAsia="en-US"/>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rFonts w:hint="default" w:ascii="Times New Roman" w:hAnsi="Times New Roman" w:cs="Times New Roman"/>
                <w:sz w:val="21"/>
                <w:lang w:eastAsia="en-US"/>
              </w:rPr>
            </w:pPr>
            <w:r>
              <w:rPr>
                <w:rFonts w:hint="default" w:ascii="Times New Roman" w:hAnsi="Times New Roman" w:cs="Times New Roman"/>
                <w:sz w:val="21"/>
                <w:lang w:eastAsia="en-US"/>
              </w:rPr>
              <w:t>本年处理决定数量</w:t>
            </w:r>
          </w:p>
        </w:tc>
      </w:tr>
      <w:tr>
        <w:tblPrEx>
          <w:tblCellMar>
            <w:top w:w="0" w:type="dxa"/>
            <w:left w:w="0" w:type="dxa"/>
            <w:bottom w:w="0" w:type="dxa"/>
            <w:right w:w="0" w:type="dxa"/>
          </w:tblCellMar>
        </w:tblPrEx>
        <w:trPr>
          <w:trHeight w:val="621" w:hRule="exact"/>
          <w:jc w:val="center"/>
        </w:trPr>
        <w:tc>
          <w:tcPr>
            <w:tcW w:w="3284" w:type="dxa"/>
            <w:tcBorders>
              <w:top w:val="single" w:color="80676B" w:sz="4" w:space="0"/>
              <w:left w:val="single" w:color="3B3B44" w:sz="6" w:space="0"/>
              <w:bottom w:val="single" w:color="646487" w:sz="4" w:space="0"/>
              <w:right w:val="single" w:color="878787" w:sz="4" w:space="0"/>
            </w:tcBorders>
          </w:tcPr>
          <w:p>
            <w:pPr>
              <w:spacing w:before="140"/>
              <w:ind w:left="98"/>
              <w:jc w:val="left"/>
              <w:rPr>
                <w:rFonts w:hint="default" w:ascii="Times New Roman" w:hAnsi="Times New Roman" w:cs="Times New Roman"/>
                <w:sz w:val="21"/>
                <w:lang w:eastAsia="en-US"/>
              </w:rPr>
            </w:pPr>
            <w:r>
              <w:rPr>
                <w:rFonts w:hint="default" w:ascii="Times New Roman" w:hAnsi="Times New Roman" w:cs="Times New Roman"/>
                <w:sz w:val="21"/>
                <w:lang w:eastAsia="en-US"/>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pPr>
              <w:jc w:val="center"/>
              <w:rPr>
                <w:rFonts w:hint="default" w:ascii="Times New Roman" w:hAnsi="Times New Roman" w:cs="Times New Roman"/>
                <w:sz w:val="21"/>
                <w:lang w:eastAsia="en-US"/>
              </w:rPr>
            </w:pPr>
            <w:r>
              <w:rPr>
                <w:rFonts w:hint="default" w:ascii="Times New Roman" w:hAnsi="Times New Roman" w:cs="Times New Roman"/>
                <w:sz w:val="21"/>
                <w:lang w:eastAsia="en-US"/>
              </w:rPr>
              <w:t>0</w:t>
            </w:r>
          </w:p>
        </w:tc>
      </w:tr>
      <w:tr>
        <w:tblPrEx>
          <w:tblCellMar>
            <w:top w:w="0" w:type="dxa"/>
            <w:left w:w="0" w:type="dxa"/>
            <w:bottom w:w="0" w:type="dxa"/>
            <w:right w:w="0" w:type="dxa"/>
          </w:tblCellMar>
        </w:tblPrEx>
        <w:trPr>
          <w:trHeight w:val="623" w:hRule="exact"/>
          <w:jc w:val="center"/>
        </w:trPr>
        <w:tc>
          <w:tcPr>
            <w:tcW w:w="8124"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rFonts w:hint="default" w:ascii="Times New Roman" w:hAnsi="Times New Roman" w:cs="Times New Roman"/>
                <w:sz w:val="21"/>
                <w:lang w:eastAsia="en-US"/>
              </w:rPr>
            </w:pPr>
            <w:r>
              <w:rPr>
                <w:rFonts w:hint="default" w:ascii="Times New Roman" w:hAnsi="Times New Roman" w:cs="Times New Roman"/>
                <w:sz w:val="21"/>
                <w:lang w:eastAsia="en-US"/>
              </w:rPr>
              <w:t>第二十条</w:t>
            </w:r>
            <w:r>
              <w:rPr>
                <w:rFonts w:hint="default" w:ascii="Times New Roman" w:hAnsi="Times New Roman" w:cs="Times New Roman"/>
                <w:sz w:val="21"/>
                <w:lang w:eastAsia="en-US"/>
              </w:rPr>
              <w:tab/>
            </w:r>
            <w:r>
              <w:rPr>
                <w:rFonts w:hint="default" w:ascii="Times New Roman" w:hAnsi="Times New Roman" w:cs="Times New Roman"/>
                <w:sz w:val="21"/>
                <w:lang w:eastAsia="en-US"/>
              </w:rPr>
              <w:t>第 （六</w:t>
            </w:r>
            <w:r>
              <w:rPr>
                <w:rFonts w:hint="default" w:ascii="Times New Roman" w:hAnsi="Times New Roman" w:cs="Times New Roman"/>
                <w:sz w:val="21"/>
                <w:lang w:eastAsia="en-US"/>
              </w:rPr>
              <w:t>）</w:t>
            </w:r>
            <w:r>
              <w:rPr>
                <w:rFonts w:hint="default" w:ascii="Times New Roman" w:hAnsi="Times New Roman" w:cs="Times New Roman"/>
                <w:sz w:val="21"/>
                <w:lang w:eastAsia="en-US"/>
              </w:rPr>
              <w:t xml:space="preserve"> 项</w:t>
            </w:r>
          </w:p>
        </w:tc>
      </w:tr>
      <w:tr>
        <w:tblPrEx>
          <w:tblCellMar>
            <w:top w:w="0" w:type="dxa"/>
            <w:left w:w="0" w:type="dxa"/>
            <w:bottom w:w="0" w:type="dxa"/>
            <w:right w:w="0" w:type="dxa"/>
          </w:tblCellMar>
        </w:tblPrEx>
        <w:trPr>
          <w:trHeight w:val="627" w:hRule="exact"/>
          <w:jc w:val="center"/>
        </w:trPr>
        <w:tc>
          <w:tcPr>
            <w:tcW w:w="3284" w:type="dxa"/>
            <w:tcBorders>
              <w:top w:val="single" w:color="607087" w:sz="4" w:space="0"/>
              <w:left w:val="single" w:color="3B3B44" w:sz="6" w:space="0"/>
              <w:bottom w:val="single" w:color="8C7774" w:sz="4" w:space="0"/>
              <w:right w:val="single" w:color="909093" w:sz="4" w:space="0"/>
            </w:tcBorders>
          </w:tcPr>
          <w:p>
            <w:pPr>
              <w:spacing w:before="142"/>
              <w:ind w:right="8"/>
              <w:jc w:val="center"/>
              <w:rPr>
                <w:rFonts w:hint="default" w:ascii="Times New Roman" w:hAnsi="Times New Roman" w:cs="Times New Roman"/>
                <w:sz w:val="21"/>
                <w:lang w:eastAsia="en-US"/>
              </w:rPr>
            </w:pPr>
            <w:r>
              <w:rPr>
                <w:rFonts w:hint="default" w:ascii="Times New Roman" w:hAnsi="Times New Roman" w:cs="Times New Roman"/>
                <w:sz w:val="21"/>
                <w:lang w:eastAsia="en-US"/>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rFonts w:hint="default" w:ascii="Times New Roman" w:hAnsi="Times New Roman" w:cs="Times New Roman"/>
                <w:sz w:val="21"/>
                <w:lang w:eastAsia="en-US"/>
              </w:rPr>
            </w:pPr>
            <w:r>
              <w:rPr>
                <w:rFonts w:hint="default" w:ascii="Times New Roman" w:hAnsi="Times New Roman" w:cs="Times New Roman"/>
                <w:sz w:val="21"/>
                <w:lang w:eastAsia="en-US"/>
              </w:rPr>
              <w:t>本年处理决定数量</w:t>
            </w:r>
          </w:p>
        </w:tc>
      </w:tr>
      <w:tr>
        <w:tblPrEx>
          <w:tblCellMar>
            <w:top w:w="0" w:type="dxa"/>
            <w:left w:w="0" w:type="dxa"/>
            <w:bottom w:w="0" w:type="dxa"/>
            <w:right w:w="0" w:type="dxa"/>
          </w:tblCellMar>
        </w:tblPrEx>
        <w:trPr>
          <w:trHeight w:val="624" w:hRule="exact"/>
          <w:jc w:val="center"/>
        </w:trPr>
        <w:tc>
          <w:tcPr>
            <w:tcW w:w="3284" w:type="dxa"/>
            <w:tcBorders>
              <w:top w:val="single" w:color="8C7774" w:sz="4" w:space="0"/>
              <w:left w:val="single" w:color="3B3B44" w:sz="6" w:space="0"/>
              <w:bottom w:val="single" w:color="7C6B74" w:sz="4" w:space="0"/>
              <w:right w:val="single" w:color="909093" w:sz="4" w:space="0"/>
            </w:tcBorders>
          </w:tcPr>
          <w:p>
            <w:pPr>
              <w:spacing w:before="139"/>
              <w:ind w:left="102"/>
              <w:jc w:val="left"/>
              <w:rPr>
                <w:rFonts w:hint="default" w:ascii="Times New Roman" w:hAnsi="Times New Roman" w:cs="Times New Roman"/>
                <w:sz w:val="21"/>
                <w:lang w:eastAsia="en-US"/>
              </w:rPr>
            </w:pPr>
            <w:r>
              <w:rPr>
                <w:rFonts w:hint="default" w:ascii="Times New Roman" w:hAnsi="Times New Roman" w:cs="Times New Roman"/>
                <w:sz w:val="21"/>
                <w:lang w:eastAsia="en-US"/>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pPr>
              <w:jc w:val="center"/>
              <w:rPr>
                <w:rFonts w:hint="default" w:ascii="Times New Roman" w:hAnsi="Times New Roman" w:cs="Times New Roman"/>
                <w:sz w:val="21"/>
                <w:lang w:eastAsia="en-US"/>
              </w:rPr>
            </w:pPr>
            <w:r>
              <w:rPr>
                <w:rFonts w:hint="default" w:ascii="Times New Roman" w:hAnsi="Times New Roman" w:cs="Times New Roman"/>
                <w:sz w:val="21"/>
                <w:lang w:eastAsia="en-US"/>
              </w:rPr>
              <w:t>0</w:t>
            </w:r>
          </w:p>
        </w:tc>
      </w:tr>
      <w:tr>
        <w:tblPrEx>
          <w:tblCellMar>
            <w:top w:w="0" w:type="dxa"/>
            <w:left w:w="0" w:type="dxa"/>
            <w:bottom w:w="0" w:type="dxa"/>
            <w:right w:w="0" w:type="dxa"/>
          </w:tblCellMar>
        </w:tblPrEx>
        <w:trPr>
          <w:trHeight w:val="618" w:hRule="exact"/>
          <w:jc w:val="center"/>
        </w:trPr>
        <w:tc>
          <w:tcPr>
            <w:tcW w:w="3284" w:type="dxa"/>
            <w:tcBorders>
              <w:top w:val="single" w:color="7C6B74" w:sz="4" w:space="0"/>
              <w:left w:val="single" w:color="3B3B44" w:sz="6" w:space="0"/>
              <w:bottom w:val="single" w:color="646080" w:sz="4" w:space="0"/>
              <w:right w:val="single" w:color="909093" w:sz="4" w:space="0"/>
            </w:tcBorders>
          </w:tcPr>
          <w:p>
            <w:pPr>
              <w:spacing w:before="138"/>
              <w:ind w:left="107"/>
              <w:jc w:val="left"/>
              <w:rPr>
                <w:rFonts w:hint="default" w:ascii="Times New Roman" w:hAnsi="Times New Roman" w:cs="Times New Roman"/>
                <w:sz w:val="21"/>
                <w:lang w:eastAsia="en-US"/>
              </w:rPr>
            </w:pPr>
            <w:r>
              <w:rPr>
                <w:rFonts w:hint="default" w:ascii="Times New Roman" w:hAnsi="Times New Roman" w:cs="Times New Roman"/>
                <w:sz w:val="21"/>
                <w:lang w:eastAsia="en-US"/>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pPr>
              <w:jc w:val="center"/>
              <w:rPr>
                <w:rFonts w:hint="default" w:ascii="Times New Roman" w:hAnsi="Times New Roman" w:cs="Times New Roman"/>
                <w:sz w:val="21"/>
                <w:lang w:eastAsia="en-US"/>
              </w:rPr>
            </w:pPr>
            <w:r>
              <w:rPr>
                <w:rFonts w:hint="default" w:ascii="Times New Roman" w:hAnsi="Times New Roman" w:cs="Times New Roman"/>
                <w:sz w:val="21"/>
                <w:lang w:eastAsia="en-US"/>
              </w:rPr>
              <w:t>0</w:t>
            </w:r>
          </w:p>
        </w:tc>
      </w:tr>
      <w:tr>
        <w:tblPrEx>
          <w:tblCellMar>
            <w:top w:w="0" w:type="dxa"/>
            <w:left w:w="0" w:type="dxa"/>
            <w:bottom w:w="0" w:type="dxa"/>
            <w:right w:w="0" w:type="dxa"/>
          </w:tblCellMar>
        </w:tblPrEx>
        <w:trPr>
          <w:trHeight w:val="626" w:hRule="exact"/>
          <w:jc w:val="center"/>
        </w:trPr>
        <w:tc>
          <w:tcPr>
            <w:tcW w:w="8124" w:type="dxa"/>
            <w:gridSpan w:val="4"/>
            <w:tcBorders>
              <w:top w:val="single" w:color="646080" w:sz="4" w:space="0"/>
              <w:left w:val="single" w:color="3B3B44" w:sz="6" w:space="0"/>
              <w:bottom w:val="nil"/>
              <w:right w:val="single" w:color="3B3B3F" w:sz="8" w:space="0"/>
            </w:tcBorders>
          </w:tcPr>
          <w:p>
            <w:pPr>
              <w:tabs>
                <w:tab w:val="left" w:pos="1068"/>
              </w:tabs>
              <w:spacing w:before="142"/>
              <w:ind w:left="25"/>
              <w:jc w:val="center"/>
              <w:rPr>
                <w:rFonts w:hint="default" w:ascii="Times New Roman" w:hAnsi="Times New Roman" w:cs="Times New Roman"/>
                <w:sz w:val="21"/>
                <w:lang w:eastAsia="en-US"/>
              </w:rPr>
            </w:pPr>
            <w:r>
              <w:rPr>
                <w:rFonts w:hint="default" w:ascii="Times New Roman" w:hAnsi="Times New Roman" w:cs="Times New Roman"/>
                <w:sz w:val="21"/>
                <w:lang w:eastAsia="en-US"/>
              </w:rPr>
              <w:t>第二十条</w:t>
            </w:r>
            <w:r>
              <w:rPr>
                <w:rFonts w:hint="default" w:ascii="Times New Roman" w:hAnsi="Times New Roman" w:cs="Times New Roman"/>
                <w:sz w:val="21"/>
                <w:lang w:eastAsia="en-US"/>
              </w:rPr>
              <w:tab/>
            </w:r>
            <w:r>
              <w:rPr>
                <w:rFonts w:hint="default" w:ascii="Times New Roman" w:hAnsi="Times New Roman" w:cs="Times New Roman"/>
                <w:sz w:val="21"/>
                <w:lang w:eastAsia="en-US"/>
              </w:rPr>
              <w:t>第 （八） 项</w:t>
            </w:r>
          </w:p>
        </w:tc>
      </w:tr>
      <w:tr>
        <w:tblPrEx>
          <w:tblCellMar>
            <w:top w:w="0" w:type="dxa"/>
            <w:left w:w="0" w:type="dxa"/>
            <w:bottom w:w="0" w:type="dxa"/>
            <w:right w:w="0" w:type="dxa"/>
          </w:tblCellMar>
        </w:tblPrEx>
        <w:trPr>
          <w:trHeight w:val="621" w:hRule="exact"/>
          <w:jc w:val="center"/>
        </w:trPr>
        <w:tc>
          <w:tcPr>
            <w:tcW w:w="3284" w:type="dxa"/>
            <w:tcBorders>
              <w:top w:val="single" w:color="6B747C" w:sz="4" w:space="0"/>
              <w:left w:val="single" w:color="5B5B60" w:sz="6" w:space="0"/>
              <w:bottom w:val="single" w:color="77778C" w:sz="4" w:space="0"/>
              <w:right w:val="single" w:color="auto" w:sz="4" w:space="0"/>
            </w:tcBorders>
          </w:tcPr>
          <w:p>
            <w:pPr>
              <w:spacing w:before="135"/>
              <w:ind w:right="1"/>
              <w:jc w:val="center"/>
              <w:rPr>
                <w:rFonts w:hint="default" w:ascii="Times New Roman" w:hAnsi="Times New Roman" w:cs="Times New Roman"/>
                <w:sz w:val="21"/>
                <w:lang w:eastAsia="en-US"/>
              </w:rPr>
            </w:pPr>
            <w:r>
              <w:rPr>
                <w:rFonts w:hint="default" w:ascii="Times New Roman" w:hAnsi="Times New Roman" w:cs="Times New Roman"/>
                <w:sz w:val="21"/>
                <w:lang w:eastAsia="en-US"/>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spacing w:before="145"/>
              <w:ind w:left="1446"/>
              <w:jc w:val="left"/>
              <w:rPr>
                <w:rFonts w:hint="default" w:ascii="Times New Roman" w:hAnsi="Times New Roman" w:cs="Times New Roman"/>
                <w:sz w:val="21"/>
                <w:lang w:eastAsia="en-US"/>
              </w:rPr>
            </w:pPr>
            <w:r>
              <w:rPr>
                <w:rFonts w:hint="default" w:ascii="Times New Roman" w:hAnsi="Times New Roman" w:cs="Times New Roman"/>
                <w:sz w:val="21"/>
                <w:lang w:eastAsia="en-US"/>
              </w:rPr>
              <w:t>本年收费金额  （单位 ：万元</w:t>
            </w:r>
            <w:r>
              <w:rPr>
                <w:rFonts w:hint="default" w:ascii="Times New Roman" w:hAnsi="Times New Roman" w:cs="Times New Roman"/>
                <w:sz w:val="21"/>
                <w:lang w:eastAsia="en-US"/>
              </w:rPr>
              <w:t>）</w:t>
            </w:r>
          </w:p>
        </w:tc>
      </w:tr>
      <w:tr>
        <w:tblPrEx>
          <w:tblCellMar>
            <w:top w:w="0" w:type="dxa"/>
            <w:left w:w="0" w:type="dxa"/>
            <w:bottom w:w="0" w:type="dxa"/>
            <w:right w:w="0" w:type="dxa"/>
          </w:tblCellMar>
        </w:tblPrEx>
        <w:trPr>
          <w:trHeight w:val="626" w:hRule="exact"/>
          <w:jc w:val="center"/>
        </w:trPr>
        <w:tc>
          <w:tcPr>
            <w:tcW w:w="3284" w:type="dxa"/>
            <w:tcBorders>
              <w:top w:val="single" w:color="77778C" w:sz="4" w:space="0"/>
              <w:left w:val="single" w:color="5B5B60" w:sz="6" w:space="0"/>
              <w:bottom w:val="single" w:color="3B383F" w:sz="8" w:space="0"/>
              <w:right w:val="single" w:color="8C8C93" w:sz="2" w:space="0"/>
            </w:tcBorders>
          </w:tcPr>
          <w:p>
            <w:pPr>
              <w:spacing w:before="138"/>
              <w:ind w:left="107"/>
              <w:jc w:val="left"/>
              <w:rPr>
                <w:rFonts w:hint="default" w:ascii="Times New Roman" w:hAnsi="Times New Roman" w:cs="Times New Roman"/>
                <w:sz w:val="21"/>
                <w:lang w:eastAsia="en-US"/>
              </w:rPr>
            </w:pPr>
            <w:r>
              <w:rPr>
                <w:rFonts w:hint="default" w:ascii="Times New Roman" w:hAnsi="Times New Roman" w:cs="Times New Roman"/>
                <w:sz w:val="21"/>
                <w:lang w:eastAsia="en-US"/>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pPr>
              <w:jc w:val="center"/>
              <w:rPr>
                <w:rFonts w:hint="default" w:ascii="Times New Roman" w:hAnsi="Times New Roman" w:cs="Times New Roman"/>
                <w:sz w:val="21"/>
                <w:lang w:eastAsia="en-US"/>
              </w:rPr>
            </w:pPr>
            <w:r>
              <w:rPr>
                <w:rFonts w:hint="default" w:ascii="Times New Roman" w:hAnsi="Times New Roman" w:cs="Times New Roman"/>
                <w:sz w:val="21"/>
                <w:lang w:eastAsia="en-US"/>
              </w:rPr>
              <w:t>0</w:t>
            </w:r>
          </w:p>
        </w:tc>
      </w:tr>
    </w:tbl>
    <w:p>
      <w:pPr>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三、收到和处理政府信息公开申请情况</w:t>
      </w:r>
    </w:p>
    <w:tbl>
      <w:tblPr>
        <w:tblStyle w:val="7"/>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pPr>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4685" w:type="dxa"/>
            <w:gridSpan w:val="7"/>
            <w:vAlign w:val="center"/>
          </w:tcPr>
          <w:p>
            <w:pPr>
              <w:jc w:val="center"/>
              <w:rPr>
                <w:rFonts w:hint="default" w:ascii="Times New Roman" w:hAnsi="Times New Roman" w:cs="Times New Roman"/>
                <w:szCs w:val="21"/>
              </w:rPr>
            </w:pPr>
            <w:r>
              <w:rPr>
                <w:rFonts w:hint="default" w:ascii="Times New Roman" w:hAnsi="Times New Roman" w:cs="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pPr>
              <w:rPr>
                <w:rFonts w:hint="default" w:ascii="Times New Roman" w:hAnsi="Times New Roman" w:cs="Times New Roman"/>
              </w:rPr>
            </w:pPr>
          </w:p>
        </w:tc>
        <w:tc>
          <w:tcPr>
            <w:tcW w:w="554" w:type="dxa"/>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自然人</w:t>
            </w:r>
          </w:p>
        </w:tc>
        <w:tc>
          <w:tcPr>
            <w:tcW w:w="3466"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法人或其他组织</w:t>
            </w:r>
          </w:p>
        </w:tc>
        <w:tc>
          <w:tcPr>
            <w:tcW w:w="66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pPr>
              <w:rPr>
                <w:rFonts w:hint="default" w:ascii="Times New Roman" w:hAnsi="Times New Roman" w:cs="Times New Roman"/>
              </w:rPr>
            </w:pPr>
          </w:p>
        </w:tc>
        <w:tc>
          <w:tcPr>
            <w:tcW w:w="554" w:type="dxa"/>
            <w:vMerge w:val="continue"/>
          </w:tcPr>
          <w:p>
            <w:pPr>
              <w:rPr>
                <w:rFonts w:hint="default" w:ascii="Times New Roman" w:hAnsi="Times New Roman" w:cs="Times New Roman"/>
                <w:sz w:val="18"/>
                <w:szCs w:val="18"/>
              </w:rPr>
            </w:pP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商业企业</w:t>
            </w:r>
          </w:p>
        </w:tc>
        <w:tc>
          <w:tcPr>
            <w:tcW w:w="692" w:type="dxa"/>
            <w:vAlign w:val="center"/>
          </w:tcPr>
          <w:p>
            <w:pPr>
              <w:rPr>
                <w:rFonts w:hint="default" w:ascii="Times New Roman" w:hAnsi="Times New Roman" w:cs="Times New Roman"/>
                <w:szCs w:val="21"/>
              </w:rPr>
            </w:pPr>
            <w:r>
              <w:rPr>
                <w:rFonts w:hint="default" w:ascii="Times New Roman" w:hAnsi="Times New Roman" w:cs="Times New Roman"/>
                <w:szCs w:val="21"/>
              </w:rPr>
              <w:t>科研机构</w:t>
            </w: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社会公益组织</w:t>
            </w: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法律服务机构</w:t>
            </w:r>
          </w:p>
        </w:tc>
        <w:tc>
          <w:tcPr>
            <w:tcW w:w="695" w:type="dxa"/>
            <w:vAlign w:val="center"/>
          </w:tcPr>
          <w:p>
            <w:pPr>
              <w:rPr>
                <w:rFonts w:hint="default" w:ascii="Times New Roman" w:hAnsi="Times New Roman" w:cs="Times New Roman"/>
                <w:szCs w:val="21"/>
              </w:rPr>
            </w:pPr>
            <w:r>
              <w:rPr>
                <w:rFonts w:hint="default" w:ascii="Times New Roman" w:hAnsi="Times New Roman" w:cs="Times New Roman"/>
                <w:szCs w:val="21"/>
              </w:rPr>
              <w:t>其他</w:t>
            </w:r>
          </w:p>
        </w:tc>
        <w:tc>
          <w:tcPr>
            <w:tcW w:w="665" w:type="dxa"/>
            <w:vMerge w:val="continue"/>
            <w:vAlign w:val="center"/>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pPr>
              <w:rPr>
                <w:rFonts w:hint="default" w:ascii="Times New Roman" w:hAnsi="Times New Roman" w:cs="Times New Roman"/>
              </w:rPr>
            </w:pPr>
            <w:r>
              <w:rPr>
                <w:rFonts w:hint="default" w:ascii="Times New Roman" w:hAnsi="Times New Roman" w:cs="Times New Roman"/>
              </w:rPr>
              <w:t>一、本年新收政府信息公开申请数量</w:t>
            </w:r>
          </w:p>
        </w:tc>
        <w:tc>
          <w:tcPr>
            <w:tcW w:w="554" w:type="dxa"/>
            <w:vAlign w:val="center"/>
          </w:tcPr>
          <w:p>
            <w:pPr>
              <w:rPr>
                <w:rFonts w:hint="default" w:ascii="Times New Roman" w:hAnsi="Times New Roman" w:cs="Times New Roman" w:eastAsiaTheme="minorEastAsia"/>
                <w:lang w:eastAsia="zh-CN"/>
              </w:rPr>
            </w:pPr>
            <w:r>
              <w:rPr>
                <w:rFonts w:hint="default" w:ascii="Times New Roman" w:hAnsi="Times New Roman" w:cs="Times New Roman"/>
                <w:lang w:val="en-US" w:eastAsia="zh-CN"/>
              </w:rPr>
              <w:t>0</w:t>
            </w: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szCs w:val="21"/>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szCs w:val="21"/>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szCs w:val="21"/>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szCs w:val="21"/>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pPr>
              <w:rPr>
                <w:rFonts w:hint="default" w:ascii="Times New Roman" w:hAnsi="Times New Roman" w:cs="Times New Roman"/>
              </w:rPr>
            </w:pPr>
            <w:r>
              <w:rPr>
                <w:rFonts w:hint="default" w:ascii="Times New Roman" w:hAnsi="Times New Roman" w:cs="Times New Roman"/>
              </w:rPr>
              <w:t>二、上年结转政府信息公开申请数量</w:t>
            </w:r>
          </w:p>
        </w:tc>
        <w:tc>
          <w:tcPr>
            <w:tcW w:w="554" w:type="dxa"/>
            <w:vAlign w:val="center"/>
          </w:tcPr>
          <w:p>
            <w:pPr>
              <w:rPr>
                <w:rFonts w:hint="default" w:ascii="Times New Roman" w:hAnsi="Times New Roman" w:cs="Times New Roman" w:eastAsiaTheme="minorEastAsia"/>
                <w:lang w:eastAsia="zh-CN"/>
              </w:rPr>
            </w:pPr>
            <w:r>
              <w:rPr>
                <w:rFonts w:hint="default" w:ascii="Times New Roman" w:hAnsi="Times New Roman" w:cs="Times New Roman"/>
                <w:lang w:val="en-US" w:eastAsia="zh-CN"/>
              </w:rPr>
              <w:t>0</w:t>
            </w:r>
          </w:p>
        </w:tc>
        <w:tc>
          <w:tcPr>
            <w:tcW w:w="693" w:type="dxa"/>
            <w:vAlign w:val="center"/>
          </w:tcPr>
          <w:p>
            <w:pPr>
              <w:rPr>
                <w:rFonts w:hint="default" w:ascii="Times New Roman" w:hAnsi="Times New Roman" w:cs="Times New Roman"/>
              </w:rPr>
            </w:pPr>
            <w:r>
              <w:rPr>
                <w:rFonts w:hint="default" w:ascii="Times New Roman" w:hAnsi="Times New Roman" w:cs="Times New Roman"/>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pPr>
              <w:rPr>
                <w:rFonts w:hint="default" w:ascii="Times New Roman" w:hAnsi="Times New Roman" w:cs="Times New Roman"/>
              </w:rPr>
            </w:pPr>
            <w:r>
              <w:rPr>
                <w:rFonts w:hint="default" w:ascii="Times New Roman" w:hAnsi="Times New Roman" w:cs="Times New Roman"/>
              </w:rPr>
              <w:t>三、本年度办理结果</w:t>
            </w:r>
          </w:p>
        </w:tc>
        <w:tc>
          <w:tcPr>
            <w:tcW w:w="4159"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（一）予以公开</w:t>
            </w:r>
          </w:p>
        </w:tc>
        <w:tc>
          <w:tcPr>
            <w:tcW w:w="554" w:type="dxa"/>
            <w:vAlign w:val="center"/>
          </w:tcPr>
          <w:p>
            <w:pPr>
              <w:rPr>
                <w:rFonts w:hint="default" w:ascii="Times New Roman" w:hAnsi="Times New Roman" w:cs="Times New Roman" w:eastAsiaTheme="minorEastAsia"/>
                <w:lang w:eastAsia="zh-CN"/>
              </w:rPr>
            </w:pPr>
            <w:r>
              <w:rPr>
                <w:rFonts w:hint="default" w:ascii="Times New Roman" w:hAnsi="Times New Roman" w:cs="Times New Roman"/>
                <w:lang w:val="en-US" w:eastAsia="zh-CN"/>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4159"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（二）部分公开（区分处理的，只计这一情形，不计其他情形）</w:t>
            </w:r>
          </w:p>
        </w:tc>
        <w:tc>
          <w:tcPr>
            <w:tcW w:w="554" w:type="dxa"/>
            <w:vAlign w:val="center"/>
          </w:tcPr>
          <w:p>
            <w:pPr>
              <w:rPr>
                <w:rFonts w:hint="default" w:ascii="Times New Roman" w:hAnsi="Times New Roman" w:cs="Times New Roman" w:eastAsiaTheme="minorEastAsia"/>
                <w:lang w:eastAsia="zh-CN"/>
              </w:rPr>
            </w:pPr>
            <w:r>
              <w:rPr>
                <w:rFonts w:hint="default" w:ascii="Times New Roman" w:hAnsi="Times New Roman" w:cs="Times New Roman"/>
                <w:szCs w:val="21"/>
                <w:lang w:val="en-US" w:eastAsia="zh-CN"/>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（三）不予公开</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sz w:val="18"/>
                <w:szCs w:val="18"/>
              </w:rPr>
              <w:t>．属于国家秘密</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2．其他法律行政法规禁止公开</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3．危及“三安全一稳定”</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4．保护第三方合法权益</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5．属于三类内部事务信息</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6．属于四类过程性信息</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7．属于行政执法案卷</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8．属于行政查询事项</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（四）无法提供</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1．本机关不掌握相关政府信息</w:t>
            </w:r>
          </w:p>
        </w:tc>
        <w:tc>
          <w:tcPr>
            <w:tcW w:w="554" w:type="dxa"/>
            <w:vAlign w:val="center"/>
          </w:tcPr>
          <w:p>
            <w:pPr>
              <w:rPr>
                <w:rFonts w:hint="default" w:ascii="Times New Roman" w:hAnsi="Times New Roman" w:cs="Times New Roman" w:eastAsiaTheme="minorEastAsia"/>
                <w:lang w:eastAsia="zh-CN"/>
              </w:rPr>
            </w:pPr>
            <w:r>
              <w:rPr>
                <w:rFonts w:hint="default" w:ascii="Times New Roman" w:hAnsi="Times New Roman" w:cs="Times New Roman"/>
                <w:lang w:val="en-US" w:eastAsia="zh-CN"/>
              </w:rPr>
              <w:t>0</w:t>
            </w:r>
          </w:p>
        </w:tc>
        <w:tc>
          <w:tcPr>
            <w:tcW w:w="693" w:type="dxa"/>
            <w:vAlign w:val="center"/>
          </w:tcPr>
          <w:p>
            <w:pPr>
              <w:rPr>
                <w:rFonts w:hint="default" w:ascii="Times New Roman" w:hAnsi="Times New Roman" w:cs="Times New Roman"/>
              </w:rPr>
            </w:pPr>
            <w:r>
              <w:rPr>
                <w:rFonts w:hint="default" w:ascii="Times New Roman" w:hAnsi="Times New Roman" w:cs="Times New Roman"/>
              </w:rPr>
              <w:t>0</w:t>
            </w:r>
          </w:p>
        </w:tc>
        <w:tc>
          <w:tcPr>
            <w:tcW w:w="692" w:type="dxa"/>
            <w:vAlign w:val="center"/>
          </w:tcPr>
          <w:p>
            <w:pPr>
              <w:rPr>
                <w:rFonts w:hint="default" w:ascii="Times New Roman" w:hAnsi="Times New Roman" w:cs="Times New Roman"/>
              </w:rPr>
            </w:pPr>
            <w:r>
              <w:rPr>
                <w:rFonts w:hint="default" w:ascii="Times New Roman" w:hAnsi="Times New Roman" w:cs="Times New Roman"/>
              </w:rPr>
              <w:t>0</w:t>
            </w:r>
          </w:p>
        </w:tc>
        <w:tc>
          <w:tcPr>
            <w:tcW w:w="693" w:type="dxa"/>
            <w:vAlign w:val="center"/>
          </w:tcPr>
          <w:p>
            <w:pPr>
              <w:rPr>
                <w:rFonts w:hint="default" w:ascii="Times New Roman" w:hAnsi="Times New Roman" w:cs="Times New Roman"/>
              </w:rPr>
            </w:pPr>
            <w:r>
              <w:rPr>
                <w:rFonts w:hint="default" w:ascii="Times New Roman" w:hAnsi="Times New Roman" w:cs="Times New Roman"/>
              </w:rPr>
              <w:t>0</w:t>
            </w:r>
          </w:p>
        </w:tc>
        <w:tc>
          <w:tcPr>
            <w:tcW w:w="693" w:type="dxa"/>
            <w:vAlign w:val="center"/>
          </w:tcPr>
          <w:p>
            <w:pPr>
              <w:rPr>
                <w:rFonts w:hint="default" w:ascii="Times New Roman" w:hAnsi="Times New Roman" w:cs="Times New Roman"/>
              </w:rPr>
            </w:pPr>
            <w:r>
              <w:rPr>
                <w:rFonts w:hint="default" w:ascii="Times New Roman" w:hAnsi="Times New Roman" w:cs="Times New Roman"/>
              </w:rPr>
              <w:t>0</w:t>
            </w:r>
          </w:p>
        </w:tc>
        <w:tc>
          <w:tcPr>
            <w:tcW w:w="695" w:type="dxa"/>
            <w:vAlign w:val="center"/>
          </w:tcPr>
          <w:p>
            <w:pPr>
              <w:rPr>
                <w:rFonts w:hint="default" w:ascii="Times New Roman" w:hAnsi="Times New Roman" w:cs="Times New Roman"/>
              </w:rPr>
            </w:pPr>
            <w:r>
              <w:rPr>
                <w:rFonts w:hint="default" w:ascii="Times New Roman" w:hAnsi="Times New Roman" w:cs="Times New Roman"/>
              </w:rPr>
              <w:t>0</w:t>
            </w:r>
          </w:p>
        </w:tc>
        <w:tc>
          <w:tcPr>
            <w:tcW w:w="665" w:type="dxa"/>
            <w:vAlign w:val="center"/>
          </w:tcPr>
          <w:p>
            <w:pPr>
              <w:rPr>
                <w:rFonts w:hint="default" w:ascii="Times New Roman" w:hAnsi="Times New Roman" w:cs="Times New Roman" w:eastAsiaTheme="minorEastAsia"/>
                <w:lang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2．没有现成信息需要另行制作</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vAlign w:val="center"/>
          </w:tcPr>
          <w:p>
            <w:pPr>
              <w:rPr>
                <w:rFonts w:hint="default" w:ascii="Times New Roman" w:hAnsi="Times New Roman" w:cs="Times New Roman"/>
                <w:sz w:val="18"/>
                <w:szCs w:val="18"/>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3．补正后申请内容仍不明确</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（五）</w:t>
            </w:r>
            <w:r>
              <w:rPr>
                <w:rFonts w:hint="default" w:ascii="Times New Roman" w:hAnsi="Times New Roman" w:cs="Times New Roman"/>
                <w:sz w:val="18"/>
                <w:szCs w:val="18"/>
              </w:rPr>
              <w:t>不予处理</w:t>
            </w: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1．信访举报投诉类申请</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2．重复申请</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3</w:t>
            </w:r>
            <w:r>
              <w:rPr>
                <w:rFonts w:hint="default" w:ascii="Times New Roman" w:hAnsi="Times New Roman" w:cs="Times New Roman"/>
                <w:sz w:val="18"/>
                <w:szCs w:val="18"/>
              </w:rPr>
              <w:t>．要求提供公开出版物</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rPr>
                <w:rFonts w:hint="default" w:ascii="Times New Roman" w:hAnsi="Times New Roman" w:cs="Times New Roman"/>
                <w:sz w:val="18"/>
                <w:szCs w:val="18"/>
              </w:rPr>
            </w:pPr>
            <w:r>
              <w:rPr>
                <w:rFonts w:hint="default" w:ascii="Times New Roman" w:hAnsi="Times New Roman" w:cs="Times New Roman"/>
                <w:sz w:val="18"/>
                <w:szCs w:val="18"/>
              </w:rPr>
              <w:t>4．无正当理由大量反复申请</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5．要求行政机关确认或重新出具已获取信息</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restart"/>
            <w:vAlign w:val="center"/>
          </w:tcPr>
          <w:p>
            <w:pPr>
              <w:rPr>
                <w:rFonts w:hint="default" w:ascii="Times New Roman" w:hAnsi="Times New Roman" w:cs="Times New Roman"/>
              </w:rPr>
            </w:pPr>
            <w:r>
              <w:rPr>
                <w:rFonts w:hint="default" w:ascii="Times New Roman" w:hAnsi="Times New Roman" w:cs="Times New Roman"/>
                <w:sz w:val="18"/>
                <w:szCs w:val="18"/>
              </w:rPr>
              <w:t>（六）其他处理</w:t>
            </w: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sz w:val="18"/>
                <w:szCs w:val="18"/>
              </w:rPr>
              <w:t>.</w:t>
            </w:r>
            <w:r>
              <w:rPr>
                <w:rFonts w:hint="default" w:ascii="Times New Roman" w:hAnsi="Times New Roman" w:cs="Times New Roman"/>
                <w:sz w:val="18"/>
                <w:szCs w:val="18"/>
              </w:rPr>
              <w:t>申请人无正当理由逾期不补正、行政机关不再处理其政府信息公开申请</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2</w:t>
            </w:r>
            <w:r>
              <w:rPr>
                <w:rFonts w:hint="default" w:ascii="Times New Roman" w:hAnsi="Times New Roman" w:cs="Times New Roman"/>
                <w:sz w:val="18"/>
                <w:szCs w:val="18"/>
              </w:rPr>
              <w:t>.</w:t>
            </w:r>
            <w:r>
              <w:rPr>
                <w:rFonts w:hint="default" w:ascii="Times New Roman" w:hAnsi="Times New Roman" w:cs="Times New Roman"/>
                <w:sz w:val="18"/>
                <w:szCs w:val="18"/>
              </w:rPr>
              <w:t>申请人逾期未按收费通知 要求缴纳费用、行政机关不再处理其政府信息公开申请</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cs="Times New Roman"/>
              </w:rPr>
            </w:pPr>
          </w:p>
        </w:tc>
        <w:tc>
          <w:tcPr>
            <w:tcW w:w="1525" w:type="dxa"/>
            <w:vMerge w:val="continue"/>
          </w:tcPr>
          <w:p>
            <w:pPr>
              <w:rPr>
                <w:rFonts w:hint="default" w:ascii="Times New Roman" w:hAnsi="Times New Roman" w:cs="Times New Roman"/>
              </w:rPr>
            </w:pPr>
          </w:p>
        </w:tc>
        <w:tc>
          <w:tcPr>
            <w:tcW w:w="2634" w:type="dxa"/>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3</w:t>
            </w:r>
            <w:r>
              <w:rPr>
                <w:rFonts w:hint="default" w:ascii="Times New Roman" w:hAnsi="Times New Roman" w:cs="Times New Roman"/>
                <w:sz w:val="18"/>
                <w:szCs w:val="18"/>
              </w:rPr>
              <w:t>.</w:t>
            </w:r>
            <w:r>
              <w:rPr>
                <w:rFonts w:hint="default" w:ascii="Times New Roman" w:hAnsi="Times New Roman" w:cs="Times New Roman"/>
                <w:sz w:val="18"/>
                <w:szCs w:val="18"/>
              </w:rPr>
              <w:t>其他</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2"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5"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rFonts w:hint="default" w:ascii="Times New Roman" w:hAnsi="Times New Roman" w:cs="Times New Roman"/>
              </w:rPr>
            </w:pPr>
          </w:p>
        </w:tc>
        <w:tc>
          <w:tcPr>
            <w:tcW w:w="4159"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（七）总计</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rPr>
              <w:t>0</w:t>
            </w:r>
          </w:p>
        </w:tc>
        <w:tc>
          <w:tcPr>
            <w:tcW w:w="692" w:type="dxa"/>
            <w:vAlign w:val="center"/>
          </w:tcPr>
          <w:p>
            <w:pPr>
              <w:rPr>
                <w:rFonts w:hint="default" w:ascii="Times New Roman" w:hAnsi="Times New Roman" w:cs="Times New Roman"/>
              </w:rPr>
            </w:pPr>
            <w:r>
              <w:rPr>
                <w:rFonts w:hint="default" w:ascii="Times New Roman" w:hAnsi="Times New Roman" w:cs="Times New Roman"/>
              </w:rPr>
              <w:t>0</w:t>
            </w:r>
          </w:p>
        </w:tc>
        <w:tc>
          <w:tcPr>
            <w:tcW w:w="693" w:type="dxa"/>
            <w:vAlign w:val="center"/>
          </w:tcPr>
          <w:p>
            <w:pPr>
              <w:rPr>
                <w:rFonts w:hint="default" w:ascii="Times New Roman" w:hAnsi="Times New Roman" w:cs="Times New Roman"/>
              </w:rPr>
            </w:pPr>
            <w:r>
              <w:rPr>
                <w:rFonts w:hint="default" w:ascii="Times New Roman" w:hAnsi="Times New Roman" w:cs="Times New Roman"/>
              </w:rPr>
              <w:t>0</w:t>
            </w:r>
          </w:p>
        </w:tc>
        <w:tc>
          <w:tcPr>
            <w:tcW w:w="693" w:type="dxa"/>
            <w:vAlign w:val="center"/>
          </w:tcPr>
          <w:p>
            <w:pPr>
              <w:rPr>
                <w:rFonts w:hint="default" w:ascii="Times New Roman" w:hAnsi="Times New Roman" w:cs="Times New Roman"/>
              </w:rPr>
            </w:pPr>
            <w:r>
              <w:rPr>
                <w:rFonts w:hint="default" w:ascii="Times New Roman" w:hAnsi="Times New Roman" w:cs="Times New Roman"/>
              </w:rPr>
              <w:t>0</w:t>
            </w:r>
          </w:p>
        </w:tc>
        <w:tc>
          <w:tcPr>
            <w:tcW w:w="695" w:type="dxa"/>
            <w:vAlign w:val="center"/>
          </w:tcPr>
          <w:p>
            <w:pPr>
              <w:rPr>
                <w:rFonts w:hint="default" w:ascii="Times New Roman" w:hAnsi="Times New Roman" w:cs="Times New Roman"/>
              </w:rPr>
            </w:pPr>
            <w:r>
              <w:rPr>
                <w:rFonts w:hint="default" w:ascii="Times New Roman" w:hAnsi="Times New Roman" w:cs="Times New Roman"/>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pPr>
              <w:rPr>
                <w:rFonts w:hint="default" w:ascii="Times New Roman" w:hAnsi="Times New Roman" w:cs="Times New Roman"/>
              </w:rPr>
            </w:pPr>
            <w:r>
              <w:rPr>
                <w:rFonts w:hint="default" w:ascii="Times New Roman" w:hAnsi="Times New Roman" w:cs="Times New Roman"/>
              </w:rPr>
              <w:t>四、结转下年度继续办理</w:t>
            </w:r>
          </w:p>
        </w:tc>
        <w:tc>
          <w:tcPr>
            <w:tcW w:w="554" w:type="dxa"/>
            <w:vAlign w:val="center"/>
          </w:tcPr>
          <w:p>
            <w:pPr>
              <w:rPr>
                <w:rFonts w:hint="default" w:ascii="Times New Roman" w:hAnsi="Times New Roman" w:cs="Times New Roman"/>
              </w:rPr>
            </w:pPr>
            <w:r>
              <w:rPr>
                <w:rFonts w:hint="default" w:ascii="Times New Roman" w:hAnsi="Times New Roman" w:cs="Times New Roman"/>
                <w:szCs w:val="21"/>
              </w:rPr>
              <w:t>0</w:t>
            </w:r>
          </w:p>
        </w:tc>
        <w:tc>
          <w:tcPr>
            <w:tcW w:w="693" w:type="dxa"/>
            <w:vAlign w:val="center"/>
          </w:tcPr>
          <w:p>
            <w:pPr>
              <w:rPr>
                <w:rFonts w:hint="default" w:ascii="Times New Roman" w:hAnsi="Times New Roman" w:cs="Times New Roman"/>
              </w:rPr>
            </w:pPr>
            <w:r>
              <w:rPr>
                <w:rFonts w:hint="default" w:ascii="Times New Roman" w:hAnsi="Times New Roman" w:cs="Times New Roman"/>
              </w:rPr>
              <w:t>0</w:t>
            </w:r>
          </w:p>
        </w:tc>
        <w:tc>
          <w:tcPr>
            <w:tcW w:w="692" w:type="dxa"/>
            <w:vAlign w:val="center"/>
          </w:tcPr>
          <w:p>
            <w:pPr>
              <w:rPr>
                <w:rFonts w:hint="default" w:ascii="Times New Roman" w:hAnsi="Times New Roman" w:cs="Times New Roman"/>
              </w:rPr>
            </w:pPr>
            <w:r>
              <w:rPr>
                <w:rFonts w:hint="default" w:ascii="Times New Roman" w:hAnsi="Times New Roman" w:cs="Times New Roman"/>
              </w:rPr>
              <w:t>0</w:t>
            </w:r>
          </w:p>
        </w:tc>
        <w:tc>
          <w:tcPr>
            <w:tcW w:w="693" w:type="dxa"/>
            <w:vAlign w:val="center"/>
          </w:tcPr>
          <w:p>
            <w:pPr>
              <w:rPr>
                <w:rFonts w:hint="default" w:ascii="Times New Roman" w:hAnsi="Times New Roman" w:cs="Times New Roman"/>
              </w:rPr>
            </w:pPr>
            <w:r>
              <w:rPr>
                <w:rFonts w:hint="default" w:ascii="Times New Roman" w:hAnsi="Times New Roman" w:cs="Times New Roman"/>
              </w:rPr>
              <w:t>0</w:t>
            </w:r>
          </w:p>
        </w:tc>
        <w:tc>
          <w:tcPr>
            <w:tcW w:w="693" w:type="dxa"/>
            <w:vAlign w:val="center"/>
          </w:tcPr>
          <w:p>
            <w:pPr>
              <w:rPr>
                <w:rFonts w:hint="default" w:ascii="Times New Roman" w:hAnsi="Times New Roman" w:cs="Times New Roman"/>
              </w:rPr>
            </w:pPr>
            <w:r>
              <w:rPr>
                <w:rFonts w:hint="default" w:ascii="Times New Roman" w:hAnsi="Times New Roman" w:cs="Times New Roman"/>
              </w:rPr>
              <w:t>0</w:t>
            </w:r>
          </w:p>
        </w:tc>
        <w:tc>
          <w:tcPr>
            <w:tcW w:w="695" w:type="dxa"/>
            <w:vAlign w:val="center"/>
          </w:tcPr>
          <w:p>
            <w:pPr>
              <w:rPr>
                <w:rFonts w:hint="default" w:ascii="Times New Roman" w:hAnsi="Times New Roman" w:cs="Times New Roman"/>
              </w:rPr>
            </w:pPr>
            <w:r>
              <w:rPr>
                <w:rFonts w:hint="default" w:ascii="Times New Roman" w:hAnsi="Times New Roman" w:cs="Times New Roman"/>
              </w:rPr>
              <w:t>0</w:t>
            </w:r>
          </w:p>
        </w:tc>
        <w:tc>
          <w:tcPr>
            <w:tcW w:w="665" w:type="dxa"/>
            <w:vAlign w:val="center"/>
          </w:tcPr>
          <w:p>
            <w:pPr>
              <w:rPr>
                <w:rFonts w:hint="default" w:ascii="Times New Roman" w:hAnsi="Times New Roman" w:cs="Times New Roman"/>
              </w:rPr>
            </w:pPr>
            <w:r>
              <w:rPr>
                <w:rFonts w:hint="default" w:ascii="Times New Roman" w:hAnsi="Times New Roman" w:cs="Times New Roman"/>
                <w:szCs w:val="21"/>
              </w:rPr>
              <w:t>0</w:t>
            </w:r>
          </w:p>
        </w:tc>
      </w:tr>
    </w:tbl>
    <w:p>
      <w:pPr>
        <w:rPr>
          <w:rFonts w:hint="default" w:ascii="Times New Roman" w:hAnsi="Times New Roman" w:cs="Times New Roman"/>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tbl>
      <w:tblPr>
        <w:tblStyle w:val="7"/>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行政复议</w:t>
            </w:r>
          </w:p>
        </w:tc>
        <w:tc>
          <w:tcPr>
            <w:tcW w:w="6505" w:type="dxa"/>
            <w:gridSpan w:val="10"/>
            <w:vAlign w:val="center"/>
          </w:tcPr>
          <w:p>
            <w:pPr>
              <w:jc w:val="center"/>
              <w:rPr>
                <w:rFonts w:hint="default" w:ascii="Times New Roman" w:hAnsi="Times New Roman" w:cs="Times New Roman"/>
                <w:szCs w:val="21"/>
              </w:rPr>
            </w:pPr>
            <w:r>
              <w:rPr>
                <w:rFonts w:hint="default" w:ascii="Times New Roman" w:hAnsi="Times New Roman" w:cs="Times New Roman"/>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6"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8"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3260"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未经复议直接起诉</w:t>
            </w:r>
          </w:p>
        </w:tc>
        <w:tc>
          <w:tcPr>
            <w:tcW w:w="3245"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rFonts w:hint="default" w:ascii="Times New Roman" w:hAnsi="Times New Roman" w:cs="Times New Roman"/>
                <w:sz w:val="18"/>
                <w:szCs w:val="18"/>
              </w:rPr>
            </w:pPr>
          </w:p>
        </w:tc>
        <w:tc>
          <w:tcPr>
            <w:tcW w:w="709" w:type="dxa"/>
            <w:vMerge w:val="continue"/>
            <w:vAlign w:val="center"/>
          </w:tcPr>
          <w:p>
            <w:pPr>
              <w:jc w:val="center"/>
              <w:rPr>
                <w:rFonts w:hint="default" w:ascii="Times New Roman" w:hAnsi="Times New Roman" w:cs="Times New Roman"/>
                <w:sz w:val="18"/>
                <w:szCs w:val="18"/>
              </w:rPr>
            </w:pPr>
          </w:p>
        </w:tc>
        <w:tc>
          <w:tcPr>
            <w:tcW w:w="709" w:type="dxa"/>
            <w:vMerge w:val="continue"/>
            <w:vAlign w:val="center"/>
          </w:tcPr>
          <w:p>
            <w:pPr>
              <w:jc w:val="center"/>
              <w:rPr>
                <w:rFonts w:hint="default" w:ascii="Times New Roman" w:hAnsi="Times New Roman" w:cs="Times New Roman"/>
                <w:sz w:val="18"/>
                <w:szCs w:val="18"/>
              </w:rPr>
            </w:pPr>
          </w:p>
        </w:tc>
        <w:tc>
          <w:tcPr>
            <w:tcW w:w="706" w:type="dxa"/>
            <w:vMerge w:val="continue"/>
            <w:vAlign w:val="center"/>
          </w:tcPr>
          <w:p>
            <w:pPr>
              <w:jc w:val="center"/>
              <w:rPr>
                <w:rFonts w:hint="default" w:ascii="Times New Roman" w:hAnsi="Times New Roman" w:cs="Times New Roman"/>
                <w:szCs w:val="21"/>
              </w:rPr>
            </w:pPr>
          </w:p>
        </w:tc>
        <w:tc>
          <w:tcPr>
            <w:tcW w:w="428" w:type="dxa"/>
            <w:vMerge w:val="continue"/>
            <w:vAlign w:val="center"/>
          </w:tcPr>
          <w:p>
            <w:pPr>
              <w:jc w:val="center"/>
              <w:rPr>
                <w:rFonts w:hint="default" w:ascii="Times New Roman" w:hAnsi="Times New Roman" w:cs="Times New Roman"/>
                <w:szCs w:val="21"/>
              </w:rPr>
            </w:pP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69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6"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42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8"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425"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69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4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r>
    </w:tbl>
    <w:p>
      <w:pPr>
        <w:ind w:firstLine="640" w:firstLineChars="200"/>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color w:val="000000"/>
          <w:sz w:val="32"/>
          <w:szCs w:val="32"/>
        </w:rPr>
        <w:t>1</w:t>
      </w:r>
      <w:r>
        <w:rPr>
          <w:rFonts w:hint="default" w:ascii="Times New Roman" w:hAnsi="Times New Roman" w:eastAsia="楷体" w:cs="Times New Roman"/>
          <w:color w:val="000000"/>
          <w:sz w:val="32"/>
          <w:szCs w:val="32"/>
        </w:rPr>
        <w:t>.</w:t>
      </w:r>
      <w:r>
        <w:rPr>
          <w:rFonts w:hint="default" w:ascii="Times New Roman" w:hAnsi="Times New Roman" w:eastAsia="楷体" w:cs="Times New Roman"/>
          <w:color w:val="000000"/>
          <w:sz w:val="32"/>
          <w:szCs w:val="32"/>
        </w:rPr>
        <w:t>存在问题。</w:t>
      </w:r>
      <w:r>
        <w:rPr>
          <w:rFonts w:hint="default" w:ascii="Times New Roman" w:hAnsi="Times New Roman" w:eastAsia="仿宋_GB2312" w:cs="Times New Roman"/>
          <w:color w:val="000000"/>
          <w:sz w:val="32"/>
          <w:szCs w:val="32"/>
          <w:lang w:val="en-US" w:eastAsia="zh-CN"/>
        </w:rPr>
        <w:t>一是公开的信息内容还不够丰富，部分公开栏目更新不够及时；二是信息公开渠道还有待拓宽，工作程序还需进一步完善。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color w:val="000000"/>
          <w:sz w:val="32"/>
          <w:szCs w:val="32"/>
        </w:rPr>
        <w:t>2</w:t>
      </w:r>
      <w:r>
        <w:rPr>
          <w:rFonts w:hint="default" w:ascii="Times New Roman" w:hAnsi="Times New Roman" w:eastAsia="楷体" w:cs="Times New Roman"/>
          <w:color w:val="000000"/>
          <w:sz w:val="32"/>
          <w:szCs w:val="32"/>
        </w:rPr>
        <w:t>.</w:t>
      </w:r>
      <w:r>
        <w:rPr>
          <w:rFonts w:hint="default" w:ascii="Times New Roman" w:hAnsi="Times New Roman" w:eastAsia="楷体" w:cs="Times New Roman"/>
          <w:color w:val="000000"/>
          <w:sz w:val="32"/>
          <w:szCs w:val="32"/>
        </w:rPr>
        <w:t>改进措施。</w:t>
      </w:r>
      <w:r>
        <w:rPr>
          <w:rFonts w:hint="default" w:ascii="Times New Roman" w:hAnsi="Times New Roman" w:eastAsia="仿宋_GB2312" w:cs="Times New Roman"/>
          <w:color w:val="000000"/>
          <w:sz w:val="32"/>
          <w:szCs w:val="32"/>
          <w:lang w:val="en-US" w:eastAsia="zh-CN"/>
        </w:rPr>
        <w:t>一是</w:t>
      </w:r>
      <w:r>
        <w:rPr>
          <w:rFonts w:hint="default" w:ascii="Times New Roman" w:hAnsi="Times New Roman" w:eastAsia="仿宋_GB2312" w:cs="Times New Roman"/>
          <w:color w:val="000000"/>
          <w:sz w:val="32"/>
          <w:szCs w:val="32"/>
          <w:lang w:val="en-US" w:eastAsia="zh-CN"/>
        </w:rPr>
        <w:t>强化信息时效性和规范性,进一步细化公开事项、丰富公开内容，拓宽公开渠道、优化公开方式，不断加大公开内容的深度和广度。</w:t>
      </w:r>
      <w:r>
        <w:rPr>
          <w:rFonts w:hint="default" w:ascii="Times New Roman" w:hAnsi="Times New Roman" w:eastAsia="仿宋_GB2312" w:cs="Times New Roman"/>
          <w:color w:val="000000"/>
          <w:sz w:val="32"/>
          <w:szCs w:val="32"/>
          <w:lang w:val="en-US" w:eastAsia="zh-CN"/>
        </w:rPr>
        <w:t>二是加强政务公开工作人员培训，提高政府信息公开工作能力和业务水平。通过政务信息公开网站、微信公众平台等及时更新信息内容、提高信息质量。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color w:val="000000"/>
          <w:sz w:val="32"/>
          <w:szCs w:val="32"/>
        </w:rPr>
        <w:t>（一）收取信息处理费情况。</w:t>
      </w:r>
      <w:r>
        <w:rPr>
          <w:rFonts w:hint="default" w:ascii="Times New Roman" w:hAnsi="Times New Roman" w:eastAsia="仿宋_GB2312" w:cs="Times New Roman"/>
          <w:color w:val="000000"/>
          <w:sz w:val="32"/>
          <w:szCs w:val="32"/>
          <w:lang w:val="en-US" w:eastAsia="zh-CN"/>
        </w:rPr>
        <w:t>本年度未有收取信息处理费情况。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楷体" w:cs="Times New Roman"/>
          <w:color w:val="000000"/>
          <w:sz w:val="32"/>
          <w:szCs w:val="32"/>
        </w:rPr>
        <w:t>（二）人大代表建议和政协提案办理情况。</w:t>
      </w:r>
      <w:r>
        <w:rPr>
          <w:rFonts w:hint="default" w:ascii="Times New Roman" w:hAnsi="Times New Roman" w:eastAsia="仿宋_GB2312" w:cs="Times New Roman"/>
          <w:color w:val="000000"/>
          <w:sz w:val="32"/>
          <w:szCs w:val="32"/>
          <w:lang w:val="en-US" w:eastAsia="zh-CN"/>
        </w:rPr>
        <w:t>2022年，共承办人大代表建议0件；承办政协提案</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lang w:val="en-US" w:eastAsia="zh-CN"/>
        </w:rPr>
        <w:t>件</w:t>
      </w:r>
      <w:r>
        <w:rPr>
          <w:rFonts w:hint="default"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color w:val="000000"/>
          <w:sz w:val="32"/>
          <w:szCs w:val="32"/>
        </w:rPr>
        <w:t>（</w:t>
      </w:r>
      <w:r>
        <w:rPr>
          <w:rFonts w:hint="default" w:ascii="Times New Roman" w:hAnsi="Times New Roman" w:eastAsia="楷体" w:cs="Times New Roman"/>
          <w:color w:val="000000"/>
          <w:sz w:val="32"/>
          <w:szCs w:val="32"/>
          <w:lang w:val="en-US" w:eastAsia="zh-CN"/>
        </w:rPr>
        <w:t>三</w:t>
      </w:r>
      <w:r>
        <w:rPr>
          <w:rFonts w:hint="default" w:ascii="Times New Roman" w:hAnsi="Times New Roman" w:eastAsia="楷体" w:cs="Times New Roman"/>
          <w:color w:val="000000"/>
          <w:sz w:val="32"/>
          <w:szCs w:val="32"/>
        </w:rPr>
        <w:t>）政务公开工作创新情况</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2022年</w:t>
      </w:r>
      <w:r>
        <w:rPr>
          <w:rFonts w:hint="default" w:ascii="Times New Roman" w:hAnsi="Times New Roman" w:eastAsia="仿宋_GB2312" w:cs="Times New Roman"/>
          <w:sz w:val="32"/>
          <w:szCs w:val="32"/>
          <w:lang w:eastAsia="zh-CN"/>
        </w:rPr>
        <w:t>敬仲镇将</w:t>
      </w:r>
      <w:r>
        <w:rPr>
          <w:rFonts w:hint="default" w:ascii="Times New Roman" w:hAnsi="Times New Roman" w:eastAsia="仿宋_GB2312" w:cs="Times New Roman"/>
          <w:sz w:val="32"/>
          <w:szCs w:val="32"/>
        </w:rPr>
        <w:t>政务公开工作</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我为群众办实事</w:t>
      </w:r>
      <w:r>
        <w:rPr>
          <w:rFonts w:hint="default" w:ascii="Times New Roman" w:hAnsi="Times New Roman" w:eastAsia="仿宋_GB2312" w:cs="Times New Roman"/>
          <w:sz w:val="32"/>
          <w:szCs w:val="32"/>
          <w:lang w:val="en-US" w:eastAsia="zh-CN"/>
        </w:rPr>
        <w:t>·走千村进万户</w:t>
      </w:r>
      <w:r>
        <w:rPr>
          <w:rFonts w:hint="default" w:ascii="Times New Roman" w:hAnsi="Times New Roman" w:eastAsia="仿宋_GB2312" w:cs="Times New Roman"/>
          <w:sz w:val="32"/>
          <w:szCs w:val="32"/>
        </w:rPr>
        <w:t>”大走访</w:t>
      </w:r>
      <w:r>
        <w:rPr>
          <w:rFonts w:hint="default" w:ascii="Times New Roman" w:hAnsi="Times New Roman" w:eastAsia="仿宋_GB2312" w:cs="Times New Roman"/>
          <w:sz w:val="32"/>
          <w:szCs w:val="32"/>
          <w:lang w:eastAsia="zh-CN"/>
        </w:rPr>
        <w:t>大排查大提升</w:t>
      </w:r>
      <w:r>
        <w:rPr>
          <w:rFonts w:hint="default" w:ascii="Times New Roman" w:hAnsi="Times New Roman" w:eastAsia="仿宋_GB2312" w:cs="Times New Roman"/>
          <w:sz w:val="32"/>
          <w:szCs w:val="32"/>
        </w:rPr>
        <w:t>活动相结合，广泛加强</w:t>
      </w:r>
      <w:r>
        <w:rPr>
          <w:rFonts w:hint="default" w:ascii="Times New Roman" w:hAnsi="Times New Roman" w:eastAsia="仿宋_GB2312" w:cs="Times New Roman"/>
          <w:sz w:val="32"/>
          <w:szCs w:val="32"/>
          <w:lang w:eastAsia="zh-CN"/>
        </w:rPr>
        <w:t>惠民政策宣传。</w:t>
      </w:r>
      <w:r>
        <w:rPr>
          <w:rFonts w:hint="default" w:ascii="Times New Roman" w:hAnsi="Times New Roman" w:eastAsia="仿宋_GB2312" w:cs="Times New Roman"/>
          <w:sz w:val="32"/>
          <w:szCs w:val="32"/>
        </w:rPr>
        <w:t>一是以公开推动精准宣传。</w:t>
      </w:r>
      <w:r>
        <w:rPr>
          <w:rFonts w:hint="default" w:ascii="Times New Roman" w:hAnsi="Times New Roman" w:eastAsia="仿宋_GB2312" w:cs="Times New Roman"/>
          <w:sz w:val="32"/>
          <w:szCs w:val="32"/>
        </w:rPr>
        <w:t>主动把走访和镇党委政府的</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工作内容相结合起来</w:t>
      </w:r>
      <w:r>
        <w:rPr>
          <w:rFonts w:hint="default" w:ascii="Times New Roman" w:hAnsi="Times New Roman" w:eastAsia="仿宋_GB2312" w:cs="Times New Roman"/>
          <w:sz w:val="32"/>
          <w:szCs w:val="32"/>
          <w:lang w:eastAsia="zh-CN"/>
        </w:rPr>
        <w:t>，通过政府信息公开网站、“敬仲视角”微信公众平台等方式及时发布全镇</w:t>
      </w:r>
      <w:r>
        <w:rPr>
          <w:rFonts w:hint="default" w:ascii="Times New Roman" w:hAnsi="Times New Roman" w:eastAsia="仿宋_GB2312" w:cs="Times New Roman"/>
          <w:sz w:val="32"/>
          <w:szCs w:val="32"/>
          <w:lang w:val="en-US" w:eastAsia="zh-CN"/>
        </w:rPr>
        <w:t>9个方面的工作内容。</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是以公开强化</w:t>
      </w:r>
      <w:r>
        <w:rPr>
          <w:rFonts w:hint="default" w:ascii="Times New Roman" w:hAnsi="Times New Roman" w:eastAsia="仿宋_GB2312" w:cs="Times New Roman"/>
          <w:sz w:val="32"/>
          <w:szCs w:val="32"/>
          <w:lang w:eastAsia="zh-CN"/>
        </w:rPr>
        <w:t>政策普及</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镇村干部带着《敬仲镇民情手册》、联系卡走进</w:t>
      </w:r>
      <w:r>
        <w:rPr>
          <w:rFonts w:hint="default" w:ascii="Times New Roman" w:hAnsi="Times New Roman" w:eastAsia="仿宋_GB2312" w:cs="Times New Roman"/>
          <w:sz w:val="32"/>
          <w:szCs w:val="32"/>
        </w:rPr>
        <w:t>街头巷尾、田间地头</w:t>
      </w:r>
      <w:r>
        <w:rPr>
          <w:rFonts w:hint="default" w:ascii="Times New Roman" w:hAnsi="Times New Roman" w:eastAsia="仿宋_GB2312" w:cs="Times New Roman"/>
          <w:sz w:val="32"/>
          <w:szCs w:val="32"/>
          <w:lang w:eastAsia="zh-CN"/>
        </w:rPr>
        <w:t>、村民家中</w:t>
      </w:r>
      <w:r>
        <w:rPr>
          <w:rFonts w:hint="default" w:ascii="Times New Roman" w:hAnsi="Times New Roman" w:eastAsia="仿宋_GB2312" w:cs="Times New Roman"/>
          <w:sz w:val="32"/>
          <w:szCs w:val="32"/>
        </w:rPr>
        <w:t>，向群众</w:t>
      </w:r>
      <w:r>
        <w:rPr>
          <w:rFonts w:hint="default" w:ascii="Times New Roman" w:hAnsi="Times New Roman" w:eastAsia="仿宋_GB2312" w:cs="Times New Roman"/>
          <w:sz w:val="32"/>
          <w:szCs w:val="32"/>
          <w:lang w:eastAsia="zh-CN"/>
        </w:rPr>
        <w:t>广泛</w:t>
      </w:r>
      <w:r>
        <w:rPr>
          <w:rFonts w:hint="default" w:ascii="Times New Roman" w:hAnsi="Times New Roman" w:eastAsia="仿宋_GB2312" w:cs="Times New Roman"/>
          <w:sz w:val="32"/>
          <w:szCs w:val="32"/>
        </w:rPr>
        <w:t>宣传社会治安、生态环境等方面相关政策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民情手册背面设置二维码，只要拿出手机扫一扫就能了解医疗、教育、就业等方面的惠民政策，</w:t>
      </w:r>
      <w:r>
        <w:rPr>
          <w:rFonts w:hint="default" w:ascii="Times New Roman" w:hAnsi="Times New Roman" w:eastAsia="仿宋_GB2312" w:cs="Times New Roman"/>
          <w:sz w:val="32"/>
          <w:szCs w:val="32"/>
        </w:rPr>
        <w:t>用真心真意拉近</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与群众的距离</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是以公开促进</w:t>
      </w:r>
      <w:r>
        <w:rPr>
          <w:rFonts w:hint="default" w:ascii="Times New Roman" w:hAnsi="Times New Roman" w:eastAsia="仿宋_GB2312" w:cs="Times New Roman"/>
          <w:sz w:val="32"/>
          <w:szCs w:val="32"/>
          <w:lang w:eastAsia="zh-CN"/>
        </w:rPr>
        <w:t>责任落实。</w:t>
      </w:r>
      <w:r>
        <w:rPr>
          <w:rFonts w:hint="default" w:ascii="Times New Roman" w:hAnsi="Times New Roman" w:eastAsia="仿宋_GB2312" w:cs="Times New Roman"/>
          <w:sz w:val="32"/>
          <w:szCs w:val="32"/>
          <w:lang w:eastAsia="zh-CN"/>
        </w:rPr>
        <w:t>在走访中，</w:t>
      </w:r>
      <w:r>
        <w:rPr>
          <w:rFonts w:hint="default" w:ascii="Times New Roman" w:hAnsi="Times New Roman" w:eastAsia="仿宋_GB2312" w:cs="Times New Roman"/>
          <w:sz w:val="32"/>
          <w:szCs w:val="32"/>
        </w:rPr>
        <w:t>针对群众关心</w:t>
      </w:r>
      <w:r>
        <w:rPr>
          <w:rFonts w:hint="default" w:ascii="Times New Roman" w:hAnsi="Times New Roman" w:eastAsia="仿宋_GB2312" w:cs="Times New Roman"/>
          <w:sz w:val="32"/>
          <w:szCs w:val="32"/>
          <w:lang w:eastAsia="zh-CN"/>
        </w:rPr>
        <w:t>关切的</w:t>
      </w:r>
      <w:r>
        <w:rPr>
          <w:rFonts w:hint="default" w:ascii="Times New Roman" w:hAnsi="Times New Roman" w:eastAsia="仿宋_GB2312" w:cs="Times New Roman"/>
          <w:sz w:val="32"/>
          <w:szCs w:val="32"/>
        </w:rPr>
        <w:t>问题，</w:t>
      </w:r>
      <w:r>
        <w:rPr>
          <w:rFonts w:hint="default" w:ascii="Times New Roman" w:hAnsi="Times New Roman" w:eastAsia="仿宋_GB2312" w:cs="Times New Roman"/>
          <w:sz w:val="32"/>
          <w:szCs w:val="32"/>
          <w:lang w:eastAsia="zh-CN"/>
        </w:rPr>
        <w:t>能够现场解决的现场解决，暂时无法现场解决的，及时和群众做好解释的同时纳入问题台账，分析研判后反馈至相关责任人，积极督促解决，确保</w:t>
      </w:r>
      <w:r>
        <w:rPr>
          <w:rFonts w:hint="default" w:ascii="Times New Roman" w:hAnsi="Times New Roman" w:eastAsia="仿宋_GB2312" w:cs="Times New Roman"/>
          <w:sz w:val="32"/>
          <w:szCs w:val="32"/>
        </w:rPr>
        <w:t>取得群众的理解和支持</w:t>
      </w:r>
      <w:r>
        <w:rPr>
          <w:rFonts w:hint="default" w:ascii="Times New Roman" w:hAnsi="Times New Roman" w:eastAsia="仿宋_GB2312" w:cs="Times New Roman"/>
          <w:sz w:val="32"/>
          <w:szCs w:val="32"/>
          <w:lang w:eastAsia="zh-CN"/>
        </w:rPr>
        <w:t>，并在走访后梳理我镇群众关心热点问题，不断完善我镇政务公开工作。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docPartObj>
        <w:docPartGallery w:val="autotext"/>
      </w:docPartObj>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ZiNmJjNTU3MWZkOTQ4NDk4Y2JkMjk5MjBiYzRjYjEifQ=="/>
  </w:docVars>
  <w:rsids>
    <w:rsidRoot w:val="00E04258"/>
    <w:rsid w:val="00000145"/>
    <w:rsid w:val="00001C9E"/>
    <w:rsid w:val="000038F9"/>
    <w:rsid w:val="000045EB"/>
    <w:rsid w:val="0000594A"/>
    <w:rsid w:val="00013109"/>
    <w:rsid w:val="00015FD1"/>
    <w:rsid w:val="00023AAC"/>
    <w:rsid w:val="00024810"/>
    <w:rsid w:val="0002660F"/>
    <w:rsid w:val="00026978"/>
    <w:rsid w:val="00030DFB"/>
    <w:rsid w:val="000414C6"/>
    <w:rsid w:val="00042CA0"/>
    <w:rsid w:val="00043D31"/>
    <w:rsid w:val="00046423"/>
    <w:rsid w:val="00052AD6"/>
    <w:rsid w:val="00055473"/>
    <w:rsid w:val="00055E11"/>
    <w:rsid w:val="00056B8B"/>
    <w:rsid w:val="000629D1"/>
    <w:rsid w:val="00063220"/>
    <w:rsid w:val="000656CD"/>
    <w:rsid w:val="0006628C"/>
    <w:rsid w:val="000706E1"/>
    <w:rsid w:val="00074702"/>
    <w:rsid w:val="00085190"/>
    <w:rsid w:val="0008623C"/>
    <w:rsid w:val="0008742D"/>
    <w:rsid w:val="00087FF0"/>
    <w:rsid w:val="00092898"/>
    <w:rsid w:val="00094E08"/>
    <w:rsid w:val="00097052"/>
    <w:rsid w:val="000A18B3"/>
    <w:rsid w:val="000A5D01"/>
    <w:rsid w:val="000A6851"/>
    <w:rsid w:val="000B0633"/>
    <w:rsid w:val="000B1602"/>
    <w:rsid w:val="000B7CC0"/>
    <w:rsid w:val="000C34FF"/>
    <w:rsid w:val="000C358D"/>
    <w:rsid w:val="000C4942"/>
    <w:rsid w:val="000C4C84"/>
    <w:rsid w:val="000C5D2E"/>
    <w:rsid w:val="000C6578"/>
    <w:rsid w:val="000C7BD7"/>
    <w:rsid w:val="000D0520"/>
    <w:rsid w:val="000D4473"/>
    <w:rsid w:val="000D6BC6"/>
    <w:rsid w:val="000E1057"/>
    <w:rsid w:val="000E2F5F"/>
    <w:rsid w:val="000F497F"/>
    <w:rsid w:val="000F51F6"/>
    <w:rsid w:val="000F7617"/>
    <w:rsid w:val="00105B3E"/>
    <w:rsid w:val="001108EA"/>
    <w:rsid w:val="00120C85"/>
    <w:rsid w:val="001240A4"/>
    <w:rsid w:val="00125C8A"/>
    <w:rsid w:val="00127976"/>
    <w:rsid w:val="00131A3C"/>
    <w:rsid w:val="001343A5"/>
    <w:rsid w:val="0013565C"/>
    <w:rsid w:val="00137F60"/>
    <w:rsid w:val="00140E3F"/>
    <w:rsid w:val="00141E69"/>
    <w:rsid w:val="00143DC5"/>
    <w:rsid w:val="00144ABF"/>
    <w:rsid w:val="00144B5F"/>
    <w:rsid w:val="0014785E"/>
    <w:rsid w:val="00153042"/>
    <w:rsid w:val="001544A4"/>
    <w:rsid w:val="00170D63"/>
    <w:rsid w:val="00172B20"/>
    <w:rsid w:val="0017420B"/>
    <w:rsid w:val="0017427C"/>
    <w:rsid w:val="00176618"/>
    <w:rsid w:val="00176B17"/>
    <w:rsid w:val="00180618"/>
    <w:rsid w:val="00183633"/>
    <w:rsid w:val="00187315"/>
    <w:rsid w:val="001900C0"/>
    <w:rsid w:val="00192809"/>
    <w:rsid w:val="00196FD6"/>
    <w:rsid w:val="001A1B6E"/>
    <w:rsid w:val="001A21B5"/>
    <w:rsid w:val="001A36DF"/>
    <w:rsid w:val="001B26AB"/>
    <w:rsid w:val="001B4410"/>
    <w:rsid w:val="001B5D46"/>
    <w:rsid w:val="001C1DC2"/>
    <w:rsid w:val="001C4706"/>
    <w:rsid w:val="001C4EBC"/>
    <w:rsid w:val="001C5FFD"/>
    <w:rsid w:val="001C6DFA"/>
    <w:rsid w:val="001C6F55"/>
    <w:rsid w:val="001D41A6"/>
    <w:rsid w:val="001D61F9"/>
    <w:rsid w:val="001D63AC"/>
    <w:rsid w:val="001E0520"/>
    <w:rsid w:val="001E0CBD"/>
    <w:rsid w:val="001E25F4"/>
    <w:rsid w:val="001E5257"/>
    <w:rsid w:val="001E5A28"/>
    <w:rsid w:val="001E72C7"/>
    <w:rsid w:val="001F5D73"/>
    <w:rsid w:val="002019C6"/>
    <w:rsid w:val="00202FD0"/>
    <w:rsid w:val="00204AA5"/>
    <w:rsid w:val="00205590"/>
    <w:rsid w:val="002149D9"/>
    <w:rsid w:val="002150A5"/>
    <w:rsid w:val="002157C1"/>
    <w:rsid w:val="00216261"/>
    <w:rsid w:val="00216DF6"/>
    <w:rsid w:val="0021763D"/>
    <w:rsid w:val="00222077"/>
    <w:rsid w:val="00224377"/>
    <w:rsid w:val="002264B1"/>
    <w:rsid w:val="002275BE"/>
    <w:rsid w:val="0023206E"/>
    <w:rsid w:val="00234868"/>
    <w:rsid w:val="0023602C"/>
    <w:rsid w:val="00240EAF"/>
    <w:rsid w:val="00246626"/>
    <w:rsid w:val="00250A4C"/>
    <w:rsid w:val="002531F4"/>
    <w:rsid w:val="00255E00"/>
    <w:rsid w:val="00255F86"/>
    <w:rsid w:val="00256F7D"/>
    <w:rsid w:val="002572C0"/>
    <w:rsid w:val="002604BD"/>
    <w:rsid w:val="00262020"/>
    <w:rsid w:val="00270C0E"/>
    <w:rsid w:val="0027691A"/>
    <w:rsid w:val="00276B13"/>
    <w:rsid w:val="00276E5B"/>
    <w:rsid w:val="002774CD"/>
    <w:rsid w:val="0028009A"/>
    <w:rsid w:val="00280FAA"/>
    <w:rsid w:val="00294467"/>
    <w:rsid w:val="00294F71"/>
    <w:rsid w:val="00295E2D"/>
    <w:rsid w:val="00296DC4"/>
    <w:rsid w:val="002A188B"/>
    <w:rsid w:val="002A1F5C"/>
    <w:rsid w:val="002A672D"/>
    <w:rsid w:val="002A7292"/>
    <w:rsid w:val="002B0D6E"/>
    <w:rsid w:val="002B1D93"/>
    <w:rsid w:val="002B395F"/>
    <w:rsid w:val="002B463A"/>
    <w:rsid w:val="002B6F68"/>
    <w:rsid w:val="002C0C09"/>
    <w:rsid w:val="002D115E"/>
    <w:rsid w:val="002D1694"/>
    <w:rsid w:val="002D33B9"/>
    <w:rsid w:val="002D65EF"/>
    <w:rsid w:val="002D6987"/>
    <w:rsid w:val="002D6A99"/>
    <w:rsid w:val="002D70DF"/>
    <w:rsid w:val="002E10FD"/>
    <w:rsid w:val="002E17CA"/>
    <w:rsid w:val="002E421A"/>
    <w:rsid w:val="002E594D"/>
    <w:rsid w:val="002E6EDF"/>
    <w:rsid w:val="003048BF"/>
    <w:rsid w:val="00304D59"/>
    <w:rsid w:val="003054A7"/>
    <w:rsid w:val="003109FF"/>
    <w:rsid w:val="00312C5F"/>
    <w:rsid w:val="0031332E"/>
    <w:rsid w:val="003135A4"/>
    <w:rsid w:val="0031530C"/>
    <w:rsid w:val="003164F6"/>
    <w:rsid w:val="00316CE4"/>
    <w:rsid w:val="003257C1"/>
    <w:rsid w:val="003318E7"/>
    <w:rsid w:val="00332905"/>
    <w:rsid w:val="00333516"/>
    <w:rsid w:val="00334C65"/>
    <w:rsid w:val="0034379C"/>
    <w:rsid w:val="00350BD0"/>
    <w:rsid w:val="00350D39"/>
    <w:rsid w:val="00354755"/>
    <w:rsid w:val="00357E22"/>
    <w:rsid w:val="00357E4E"/>
    <w:rsid w:val="003638D5"/>
    <w:rsid w:val="00363B37"/>
    <w:rsid w:val="00366088"/>
    <w:rsid w:val="0038169B"/>
    <w:rsid w:val="00382099"/>
    <w:rsid w:val="00383519"/>
    <w:rsid w:val="003856CA"/>
    <w:rsid w:val="00386525"/>
    <w:rsid w:val="00387A9C"/>
    <w:rsid w:val="00390173"/>
    <w:rsid w:val="0039072E"/>
    <w:rsid w:val="00395676"/>
    <w:rsid w:val="00397E9C"/>
    <w:rsid w:val="003A4408"/>
    <w:rsid w:val="003A617F"/>
    <w:rsid w:val="003B4A71"/>
    <w:rsid w:val="003B7876"/>
    <w:rsid w:val="003C0527"/>
    <w:rsid w:val="003C44C8"/>
    <w:rsid w:val="003C5789"/>
    <w:rsid w:val="003D3DAD"/>
    <w:rsid w:val="003D6959"/>
    <w:rsid w:val="003D7EB2"/>
    <w:rsid w:val="003E1F92"/>
    <w:rsid w:val="003E6B2B"/>
    <w:rsid w:val="003F2DA8"/>
    <w:rsid w:val="003F38D1"/>
    <w:rsid w:val="003F538D"/>
    <w:rsid w:val="004008C3"/>
    <w:rsid w:val="00400BED"/>
    <w:rsid w:val="00405DB6"/>
    <w:rsid w:val="0041230D"/>
    <w:rsid w:val="00414EEE"/>
    <w:rsid w:val="00420F86"/>
    <w:rsid w:val="0042326E"/>
    <w:rsid w:val="00423431"/>
    <w:rsid w:val="00427F02"/>
    <w:rsid w:val="00434746"/>
    <w:rsid w:val="0044085A"/>
    <w:rsid w:val="00446210"/>
    <w:rsid w:val="00451464"/>
    <w:rsid w:val="00452652"/>
    <w:rsid w:val="00460593"/>
    <w:rsid w:val="0046437F"/>
    <w:rsid w:val="00467CB2"/>
    <w:rsid w:val="004713FB"/>
    <w:rsid w:val="004719F8"/>
    <w:rsid w:val="00473626"/>
    <w:rsid w:val="00474846"/>
    <w:rsid w:val="00476ABF"/>
    <w:rsid w:val="00481ED7"/>
    <w:rsid w:val="00481FD3"/>
    <w:rsid w:val="00483E15"/>
    <w:rsid w:val="004847BC"/>
    <w:rsid w:val="0048518B"/>
    <w:rsid w:val="004936CF"/>
    <w:rsid w:val="00495EBA"/>
    <w:rsid w:val="004A6081"/>
    <w:rsid w:val="004B1B2D"/>
    <w:rsid w:val="004B36CF"/>
    <w:rsid w:val="004B3DE8"/>
    <w:rsid w:val="004B53B3"/>
    <w:rsid w:val="004B7413"/>
    <w:rsid w:val="004C254E"/>
    <w:rsid w:val="004C2C34"/>
    <w:rsid w:val="004C2F29"/>
    <w:rsid w:val="004C4F7D"/>
    <w:rsid w:val="004D2882"/>
    <w:rsid w:val="004D7633"/>
    <w:rsid w:val="004D788E"/>
    <w:rsid w:val="004E24C6"/>
    <w:rsid w:val="004E5DF1"/>
    <w:rsid w:val="004F244D"/>
    <w:rsid w:val="004F2625"/>
    <w:rsid w:val="004F39DF"/>
    <w:rsid w:val="00501A3F"/>
    <w:rsid w:val="005026C8"/>
    <w:rsid w:val="00503B08"/>
    <w:rsid w:val="00504DE1"/>
    <w:rsid w:val="00511AE3"/>
    <w:rsid w:val="005162AB"/>
    <w:rsid w:val="00520A6A"/>
    <w:rsid w:val="00523B84"/>
    <w:rsid w:val="0052540C"/>
    <w:rsid w:val="00531036"/>
    <w:rsid w:val="00533338"/>
    <w:rsid w:val="0053359A"/>
    <w:rsid w:val="00534089"/>
    <w:rsid w:val="00540904"/>
    <w:rsid w:val="00543FE0"/>
    <w:rsid w:val="00545B17"/>
    <w:rsid w:val="00546170"/>
    <w:rsid w:val="00556A7F"/>
    <w:rsid w:val="005637BC"/>
    <w:rsid w:val="00564F0C"/>
    <w:rsid w:val="00567AE3"/>
    <w:rsid w:val="0057319B"/>
    <w:rsid w:val="0057340D"/>
    <w:rsid w:val="005771DE"/>
    <w:rsid w:val="00580B3B"/>
    <w:rsid w:val="00580D95"/>
    <w:rsid w:val="005818BC"/>
    <w:rsid w:val="00582EFB"/>
    <w:rsid w:val="00584920"/>
    <w:rsid w:val="00586957"/>
    <w:rsid w:val="00590B6D"/>
    <w:rsid w:val="00593B91"/>
    <w:rsid w:val="00593F9E"/>
    <w:rsid w:val="0059666D"/>
    <w:rsid w:val="005A3BFA"/>
    <w:rsid w:val="005A5E65"/>
    <w:rsid w:val="005C071E"/>
    <w:rsid w:val="005C0A8C"/>
    <w:rsid w:val="005C1259"/>
    <w:rsid w:val="005D4DA2"/>
    <w:rsid w:val="005D4DDE"/>
    <w:rsid w:val="005D7981"/>
    <w:rsid w:val="005E2D72"/>
    <w:rsid w:val="005E2FAD"/>
    <w:rsid w:val="005E5225"/>
    <w:rsid w:val="005E5EA6"/>
    <w:rsid w:val="005F07DB"/>
    <w:rsid w:val="005F410F"/>
    <w:rsid w:val="005F5FEA"/>
    <w:rsid w:val="005F7CFA"/>
    <w:rsid w:val="006001B7"/>
    <w:rsid w:val="00604585"/>
    <w:rsid w:val="00604767"/>
    <w:rsid w:val="00606DE2"/>
    <w:rsid w:val="00607754"/>
    <w:rsid w:val="00607BD2"/>
    <w:rsid w:val="006105C7"/>
    <w:rsid w:val="006133B7"/>
    <w:rsid w:val="00614243"/>
    <w:rsid w:val="00615468"/>
    <w:rsid w:val="006221BD"/>
    <w:rsid w:val="0062401C"/>
    <w:rsid w:val="0062406E"/>
    <w:rsid w:val="00630352"/>
    <w:rsid w:val="00632656"/>
    <w:rsid w:val="00633AD3"/>
    <w:rsid w:val="00634DDC"/>
    <w:rsid w:val="006359EF"/>
    <w:rsid w:val="006364F7"/>
    <w:rsid w:val="006368DF"/>
    <w:rsid w:val="0064035F"/>
    <w:rsid w:val="00640DE1"/>
    <w:rsid w:val="006419CD"/>
    <w:rsid w:val="00641A49"/>
    <w:rsid w:val="00641B33"/>
    <w:rsid w:val="00645E5B"/>
    <w:rsid w:val="00651342"/>
    <w:rsid w:val="00656F2C"/>
    <w:rsid w:val="00660AAE"/>
    <w:rsid w:val="006634C0"/>
    <w:rsid w:val="00675D05"/>
    <w:rsid w:val="00677652"/>
    <w:rsid w:val="006821DB"/>
    <w:rsid w:val="00687144"/>
    <w:rsid w:val="0069301A"/>
    <w:rsid w:val="00693163"/>
    <w:rsid w:val="00693534"/>
    <w:rsid w:val="00697E19"/>
    <w:rsid w:val="00697EE4"/>
    <w:rsid w:val="006A1171"/>
    <w:rsid w:val="006A13C2"/>
    <w:rsid w:val="006A5226"/>
    <w:rsid w:val="006A5288"/>
    <w:rsid w:val="006B0C13"/>
    <w:rsid w:val="006B72A8"/>
    <w:rsid w:val="006B7E72"/>
    <w:rsid w:val="006C0283"/>
    <w:rsid w:val="006C2EA0"/>
    <w:rsid w:val="006C58BC"/>
    <w:rsid w:val="006C656F"/>
    <w:rsid w:val="006C7952"/>
    <w:rsid w:val="006E0094"/>
    <w:rsid w:val="006E2256"/>
    <w:rsid w:val="006E2790"/>
    <w:rsid w:val="006E63A6"/>
    <w:rsid w:val="006E63B8"/>
    <w:rsid w:val="006F42F2"/>
    <w:rsid w:val="006F5E17"/>
    <w:rsid w:val="007011FB"/>
    <w:rsid w:val="0070175A"/>
    <w:rsid w:val="00705CE0"/>
    <w:rsid w:val="007061A3"/>
    <w:rsid w:val="0070622A"/>
    <w:rsid w:val="00707D61"/>
    <w:rsid w:val="00710BA4"/>
    <w:rsid w:val="007129AD"/>
    <w:rsid w:val="00714451"/>
    <w:rsid w:val="00717EE3"/>
    <w:rsid w:val="007218A5"/>
    <w:rsid w:val="007234A6"/>
    <w:rsid w:val="00723B47"/>
    <w:rsid w:val="00723D67"/>
    <w:rsid w:val="00724A6A"/>
    <w:rsid w:val="00731CB1"/>
    <w:rsid w:val="00732D81"/>
    <w:rsid w:val="00733F31"/>
    <w:rsid w:val="00736923"/>
    <w:rsid w:val="00736C50"/>
    <w:rsid w:val="00737F14"/>
    <w:rsid w:val="00741A40"/>
    <w:rsid w:val="00746739"/>
    <w:rsid w:val="00755418"/>
    <w:rsid w:val="00760496"/>
    <w:rsid w:val="007611C0"/>
    <w:rsid w:val="0076607A"/>
    <w:rsid w:val="007720F2"/>
    <w:rsid w:val="00772EA0"/>
    <w:rsid w:val="007745BE"/>
    <w:rsid w:val="007769D7"/>
    <w:rsid w:val="00781A3D"/>
    <w:rsid w:val="00790116"/>
    <w:rsid w:val="00791D32"/>
    <w:rsid w:val="00794B44"/>
    <w:rsid w:val="007A0220"/>
    <w:rsid w:val="007A02B5"/>
    <w:rsid w:val="007A2756"/>
    <w:rsid w:val="007A39A8"/>
    <w:rsid w:val="007A3DB5"/>
    <w:rsid w:val="007A46E1"/>
    <w:rsid w:val="007A4F8C"/>
    <w:rsid w:val="007A6694"/>
    <w:rsid w:val="007A7BB7"/>
    <w:rsid w:val="007B346E"/>
    <w:rsid w:val="007B42D4"/>
    <w:rsid w:val="007B68D1"/>
    <w:rsid w:val="007B6DCF"/>
    <w:rsid w:val="007B7AE0"/>
    <w:rsid w:val="007C2141"/>
    <w:rsid w:val="007C53E0"/>
    <w:rsid w:val="007C5C81"/>
    <w:rsid w:val="007D0AF2"/>
    <w:rsid w:val="007D3AB6"/>
    <w:rsid w:val="007D4916"/>
    <w:rsid w:val="007D59C4"/>
    <w:rsid w:val="007D71FE"/>
    <w:rsid w:val="007E07E3"/>
    <w:rsid w:val="007E177A"/>
    <w:rsid w:val="007E2505"/>
    <w:rsid w:val="007E334A"/>
    <w:rsid w:val="007E55EA"/>
    <w:rsid w:val="007F193F"/>
    <w:rsid w:val="007F22F8"/>
    <w:rsid w:val="007F3182"/>
    <w:rsid w:val="007F43FC"/>
    <w:rsid w:val="007F4E63"/>
    <w:rsid w:val="00802361"/>
    <w:rsid w:val="00803A8F"/>
    <w:rsid w:val="008041FF"/>
    <w:rsid w:val="00804E65"/>
    <w:rsid w:val="00805ABE"/>
    <w:rsid w:val="00806B21"/>
    <w:rsid w:val="00813BC0"/>
    <w:rsid w:val="00820BB8"/>
    <w:rsid w:val="0082744A"/>
    <w:rsid w:val="00830865"/>
    <w:rsid w:val="0083723A"/>
    <w:rsid w:val="0083763C"/>
    <w:rsid w:val="00837953"/>
    <w:rsid w:val="00837D96"/>
    <w:rsid w:val="00840818"/>
    <w:rsid w:val="00842C3D"/>
    <w:rsid w:val="00844416"/>
    <w:rsid w:val="00852EEB"/>
    <w:rsid w:val="008556C2"/>
    <w:rsid w:val="00855B3A"/>
    <w:rsid w:val="00856193"/>
    <w:rsid w:val="008567BF"/>
    <w:rsid w:val="008579AB"/>
    <w:rsid w:val="008606AC"/>
    <w:rsid w:val="008608A2"/>
    <w:rsid w:val="008613A8"/>
    <w:rsid w:val="008619F6"/>
    <w:rsid w:val="00865005"/>
    <w:rsid w:val="00873E0F"/>
    <w:rsid w:val="00874364"/>
    <w:rsid w:val="00875150"/>
    <w:rsid w:val="00875291"/>
    <w:rsid w:val="00881404"/>
    <w:rsid w:val="0089032F"/>
    <w:rsid w:val="00892DC4"/>
    <w:rsid w:val="00892E66"/>
    <w:rsid w:val="008938E6"/>
    <w:rsid w:val="008977A9"/>
    <w:rsid w:val="008A0545"/>
    <w:rsid w:val="008A171F"/>
    <w:rsid w:val="008A26FD"/>
    <w:rsid w:val="008A3BC0"/>
    <w:rsid w:val="008A66F8"/>
    <w:rsid w:val="008B2FD1"/>
    <w:rsid w:val="008B36DE"/>
    <w:rsid w:val="008B5142"/>
    <w:rsid w:val="008B5D19"/>
    <w:rsid w:val="008B6607"/>
    <w:rsid w:val="008C2625"/>
    <w:rsid w:val="008C37A3"/>
    <w:rsid w:val="008C48D5"/>
    <w:rsid w:val="008C51DA"/>
    <w:rsid w:val="008C7E1D"/>
    <w:rsid w:val="008D17DC"/>
    <w:rsid w:val="008D2DBD"/>
    <w:rsid w:val="008D429C"/>
    <w:rsid w:val="008D6B7B"/>
    <w:rsid w:val="008D6CF3"/>
    <w:rsid w:val="008E185B"/>
    <w:rsid w:val="008E1E05"/>
    <w:rsid w:val="008E1F71"/>
    <w:rsid w:val="008F142B"/>
    <w:rsid w:val="008F1674"/>
    <w:rsid w:val="008F188C"/>
    <w:rsid w:val="008F3D4E"/>
    <w:rsid w:val="008F51FF"/>
    <w:rsid w:val="008F55BA"/>
    <w:rsid w:val="0090213B"/>
    <w:rsid w:val="00904289"/>
    <w:rsid w:val="00906B9B"/>
    <w:rsid w:val="00912FB0"/>
    <w:rsid w:val="00913531"/>
    <w:rsid w:val="00916B08"/>
    <w:rsid w:val="00920298"/>
    <w:rsid w:val="0092086C"/>
    <w:rsid w:val="00920A8C"/>
    <w:rsid w:val="0092182B"/>
    <w:rsid w:val="0092533C"/>
    <w:rsid w:val="00930D46"/>
    <w:rsid w:val="009349B5"/>
    <w:rsid w:val="00935E77"/>
    <w:rsid w:val="00940C11"/>
    <w:rsid w:val="00941C64"/>
    <w:rsid w:val="00943D39"/>
    <w:rsid w:val="009515FD"/>
    <w:rsid w:val="009547E6"/>
    <w:rsid w:val="00954C2A"/>
    <w:rsid w:val="00956264"/>
    <w:rsid w:val="009568D2"/>
    <w:rsid w:val="0095735C"/>
    <w:rsid w:val="0096093C"/>
    <w:rsid w:val="00962CD0"/>
    <w:rsid w:val="00966C94"/>
    <w:rsid w:val="0097065C"/>
    <w:rsid w:val="00975A80"/>
    <w:rsid w:val="009811AC"/>
    <w:rsid w:val="0098598B"/>
    <w:rsid w:val="00993C26"/>
    <w:rsid w:val="009B0107"/>
    <w:rsid w:val="009B7848"/>
    <w:rsid w:val="009C460B"/>
    <w:rsid w:val="009C6FFD"/>
    <w:rsid w:val="009D430D"/>
    <w:rsid w:val="009D452F"/>
    <w:rsid w:val="009D5A5A"/>
    <w:rsid w:val="009E0ED9"/>
    <w:rsid w:val="009E17C3"/>
    <w:rsid w:val="009E3F33"/>
    <w:rsid w:val="009E460F"/>
    <w:rsid w:val="009E68DF"/>
    <w:rsid w:val="009E7693"/>
    <w:rsid w:val="009F3632"/>
    <w:rsid w:val="009F4FD2"/>
    <w:rsid w:val="00A03AC4"/>
    <w:rsid w:val="00A03E53"/>
    <w:rsid w:val="00A06E87"/>
    <w:rsid w:val="00A1342F"/>
    <w:rsid w:val="00A143E6"/>
    <w:rsid w:val="00A16C0E"/>
    <w:rsid w:val="00A22178"/>
    <w:rsid w:val="00A25860"/>
    <w:rsid w:val="00A353B4"/>
    <w:rsid w:val="00A35AE0"/>
    <w:rsid w:val="00A36696"/>
    <w:rsid w:val="00A36C3E"/>
    <w:rsid w:val="00A43B4D"/>
    <w:rsid w:val="00A47C35"/>
    <w:rsid w:val="00A55405"/>
    <w:rsid w:val="00A56457"/>
    <w:rsid w:val="00A574E6"/>
    <w:rsid w:val="00A6302E"/>
    <w:rsid w:val="00A65792"/>
    <w:rsid w:val="00A7163D"/>
    <w:rsid w:val="00A75587"/>
    <w:rsid w:val="00A759E5"/>
    <w:rsid w:val="00A82619"/>
    <w:rsid w:val="00A86F1B"/>
    <w:rsid w:val="00A919F7"/>
    <w:rsid w:val="00A93492"/>
    <w:rsid w:val="00A944C5"/>
    <w:rsid w:val="00A957F6"/>
    <w:rsid w:val="00AA0857"/>
    <w:rsid w:val="00AA3C78"/>
    <w:rsid w:val="00AA6678"/>
    <w:rsid w:val="00AA7AEC"/>
    <w:rsid w:val="00AA7B4B"/>
    <w:rsid w:val="00AB031E"/>
    <w:rsid w:val="00AB09E9"/>
    <w:rsid w:val="00AC222F"/>
    <w:rsid w:val="00AD0D97"/>
    <w:rsid w:val="00AD1A81"/>
    <w:rsid w:val="00AD1C82"/>
    <w:rsid w:val="00AD1D6B"/>
    <w:rsid w:val="00AD49B5"/>
    <w:rsid w:val="00AD5BEA"/>
    <w:rsid w:val="00AD76B6"/>
    <w:rsid w:val="00AE6C57"/>
    <w:rsid w:val="00AE77F6"/>
    <w:rsid w:val="00AF2313"/>
    <w:rsid w:val="00AF406E"/>
    <w:rsid w:val="00AF50F4"/>
    <w:rsid w:val="00B0337D"/>
    <w:rsid w:val="00B12715"/>
    <w:rsid w:val="00B12B27"/>
    <w:rsid w:val="00B1769A"/>
    <w:rsid w:val="00B23183"/>
    <w:rsid w:val="00B245B9"/>
    <w:rsid w:val="00B24973"/>
    <w:rsid w:val="00B33075"/>
    <w:rsid w:val="00B34EF4"/>
    <w:rsid w:val="00B414D1"/>
    <w:rsid w:val="00B459E2"/>
    <w:rsid w:val="00B53141"/>
    <w:rsid w:val="00B532C8"/>
    <w:rsid w:val="00B559FA"/>
    <w:rsid w:val="00B63E26"/>
    <w:rsid w:val="00B811E5"/>
    <w:rsid w:val="00B8236F"/>
    <w:rsid w:val="00B835A5"/>
    <w:rsid w:val="00B91004"/>
    <w:rsid w:val="00BA000D"/>
    <w:rsid w:val="00BA35CC"/>
    <w:rsid w:val="00BA4307"/>
    <w:rsid w:val="00BA45ED"/>
    <w:rsid w:val="00BA486D"/>
    <w:rsid w:val="00BB1F4C"/>
    <w:rsid w:val="00BB2336"/>
    <w:rsid w:val="00BC0376"/>
    <w:rsid w:val="00BC0DDF"/>
    <w:rsid w:val="00BC34AC"/>
    <w:rsid w:val="00BD1CAC"/>
    <w:rsid w:val="00BD4F6B"/>
    <w:rsid w:val="00BD789A"/>
    <w:rsid w:val="00BE26F0"/>
    <w:rsid w:val="00BE350E"/>
    <w:rsid w:val="00BE3EBE"/>
    <w:rsid w:val="00BE3FA5"/>
    <w:rsid w:val="00BE4FAC"/>
    <w:rsid w:val="00BF0D87"/>
    <w:rsid w:val="00BF3636"/>
    <w:rsid w:val="00BF368E"/>
    <w:rsid w:val="00BF42A9"/>
    <w:rsid w:val="00BF578F"/>
    <w:rsid w:val="00C04961"/>
    <w:rsid w:val="00C055A1"/>
    <w:rsid w:val="00C07E13"/>
    <w:rsid w:val="00C11BC3"/>
    <w:rsid w:val="00C11D2B"/>
    <w:rsid w:val="00C16EFE"/>
    <w:rsid w:val="00C17388"/>
    <w:rsid w:val="00C206ED"/>
    <w:rsid w:val="00C217D5"/>
    <w:rsid w:val="00C234EF"/>
    <w:rsid w:val="00C24E68"/>
    <w:rsid w:val="00C307E5"/>
    <w:rsid w:val="00C30AAF"/>
    <w:rsid w:val="00C61A42"/>
    <w:rsid w:val="00C63784"/>
    <w:rsid w:val="00C661B5"/>
    <w:rsid w:val="00C665B4"/>
    <w:rsid w:val="00C71268"/>
    <w:rsid w:val="00C75B28"/>
    <w:rsid w:val="00C762CA"/>
    <w:rsid w:val="00C83C1A"/>
    <w:rsid w:val="00C86FE5"/>
    <w:rsid w:val="00C90488"/>
    <w:rsid w:val="00C90FBF"/>
    <w:rsid w:val="00C91D9E"/>
    <w:rsid w:val="00C928FE"/>
    <w:rsid w:val="00C94177"/>
    <w:rsid w:val="00C9497F"/>
    <w:rsid w:val="00C957F6"/>
    <w:rsid w:val="00C978BE"/>
    <w:rsid w:val="00CA24FE"/>
    <w:rsid w:val="00CA4E64"/>
    <w:rsid w:val="00CB1248"/>
    <w:rsid w:val="00CB7A70"/>
    <w:rsid w:val="00CC09E5"/>
    <w:rsid w:val="00CC51DA"/>
    <w:rsid w:val="00CD3E74"/>
    <w:rsid w:val="00CD6DCF"/>
    <w:rsid w:val="00CE17AD"/>
    <w:rsid w:val="00CE33B0"/>
    <w:rsid w:val="00CE3B5A"/>
    <w:rsid w:val="00CE49B6"/>
    <w:rsid w:val="00CE4DB6"/>
    <w:rsid w:val="00CE7BFF"/>
    <w:rsid w:val="00CF2399"/>
    <w:rsid w:val="00CF2860"/>
    <w:rsid w:val="00CF3DD6"/>
    <w:rsid w:val="00CF509B"/>
    <w:rsid w:val="00CF7DF1"/>
    <w:rsid w:val="00D0300A"/>
    <w:rsid w:val="00D06B46"/>
    <w:rsid w:val="00D16C7E"/>
    <w:rsid w:val="00D17DF3"/>
    <w:rsid w:val="00D201BD"/>
    <w:rsid w:val="00D21479"/>
    <w:rsid w:val="00D2358D"/>
    <w:rsid w:val="00D25962"/>
    <w:rsid w:val="00D268CC"/>
    <w:rsid w:val="00D327E4"/>
    <w:rsid w:val="00D33F3A"/>
    <w:rsid w:val="00D4031A"/>
    <w:rsid w:val="00D434B4"/>
    <w:rsid w:val="00D43AAA"/>
    <w:rsid w:val="00D43B9F"/>
    <w:rsid w:val="00D4484C"/>
    <w:rsid w:val="00D51651"/>
    <w:rsid w:val="00D53AC2"/>
    <w:rsid w:val="00D54B78"/>
    <w:rsid w:val="00D670F0"/>
    <w:rsid w:val="00D7609C"/>
    <w:rsid w:val="00D7673F"/>
    <w:rsid w:val="00D76B31"/>
    <w:rsid w:val="00D81D7A"/>
    <w:rsid w:val="00D83D05"/>
    <w:rsid w:val="00D849A0"/>
    <w:rsid w:val="00D93EC9"/>
    <w:rsid w:val="00D96A77"/>
    <w:rsid w:val="00D96B4C"/>
    <w:rsid w:val="00DA076B"/>
    <w:rsid w:val="00DA0B78"/>
    <w:rsid w:val="00DA1BF9"/>
    <w:rsid w:val="00DA443C"/>
    <w:rsid w:val="00DA4831"/>
    <w:rsid w:val="00DA4E35"/>
    <w:rsid w:val="00DA546B"/>
    <w:rsid w:val="00DA5691"/>
    <w:rsid w:val="00DB085B"/>
    <w:rsid w:val="00DB1096"/>
    <w:rsid w:val="00DB316C"/>
    <w:rsid w:val="00DC2AFC"/>
    <w:rsid w:val="00DC6314"/>
    <w:rsid w:val="00DD7CD6"/>
    <w:rsid w:val="00DE0CC2"/>
    <w:rsid w:val="00DE3137"/>
    <w:rsid w:val="00DE7D42"/>
    <w:rsid w:val="00DF0951"/>
    <w:rsid w:val="00DF2CAA"/>
    <w:rsid w:val="00DF3C2A"/>
    <w:rsid w:val="00DF576D"/>
    <w:rsid w:val="00DF59E8"/>
    <w:rsid w:val="00DF60AB"/>
    <w:rsid w:val="00DF7204"/>
    <w:rsid w:val="00E01A10"/>
    <w:rsid w:val="00E01F0F"/>
    <w:rsid w:val="00E03F11"/>
    <w:rsid w:val="00E04258"/>
    <w:rsid w:val="00E068B5"/>
    <w:rsid w:val="00E07D70"/>
    <w:rsid w:val="00E23485"/>
    <w:rsid w:val="00E275DE"/>
    <w:rsid w:val="00E30050"/>
    <w:rsid w:val="00E377B4"/>
    <w:rsid w:val="00E42C13"/>
    <w:rsid w:val="00E42DE7"/>
    <w:rsid w:val="00E447EA"/>
    <w:rsid w:val="00E46A83"/>
    <w:rsid w:val="00E52562"/>
    <w:rsid w:val="00E54057"/>
    <w:rsid w:val="00E541AA"/>
    <w:rsid w:val="00E56D7E"/>
    <w:rsid w:val="00E62601"/>
    <w:rsid w:val="00E651F4"/>
    <w:rsid w:val="00E712E4"/>
    <w:rsid w:val="00E7522E"/>
    <w:rsid w:val="00E756BB"/>
    <w:rsid w:val="00E82A61"/>
    <w:rsid w:val="00E83001"/>
    <w:rsid w:val="00E86BFA"/>
    <w:rsid w:val="00E9136E"/>
    <w:rsid w:val="00E92569"/>
    <w:rsid w:val="00E93C26"/>
    <w:rsid w:val="00E9689B"/>
    <w:rsid w:val="00EA0FDD"/>
    <w:rsid w:val="00EA17D7"/>
    <w:rsid w:val="00EA3830"/>
    <w:rsid w:val="00EA3993"/>
    <w:rsid w:val="00EB0983"/>
    <w:rsid w:val="00EB0F52"/>
    <w:rsid w:val="00EB345F"/>
    <w:rsid w:val="00EB4EEC"/>
    <w:rsid w:val="00EC02B5"/>
    <w:rsid w:val="00EC48E7"/>
    <w:rsid w:val="00EC7F71"/>
    <w:rsid w:val="00ED1769"/>
    <w:rsid w:val="00ED2198"/>
    <w:rsid w:val="00ED2963"/>
    <w:rsid w:val="00ED3161"/>
    <w:rsid w:val="00ED4C6D"/>
    <w:rsid w:val="00ED4E74"/>
    <w:rsid w:val="00EE3275"/>
    <w:rsid w:val="00EE7415"/>
    <w:rsid w:val="00EF0391"/>
    <w:rsid w:val="00EF2C94"/>
    <w:rsid w:val="00EF7239"/>
    <w:rsid w:val="00F00F32"/>
    <w:rsid w:val="00F0322D"/>
    <w:rsid w:val="00F0408E"/>
    <w:rsid w:val="00F04871"/>
    <w:rsid w:val="00F12F37"/>
    <w:rsid w:val="00F22E87"/>
    <w:rsid w:val="00F40BD5"/>
    <w:rsid w:val="00F455D4"/>
    <w:rsid w:val="00F45E29"/>
    <w:rsid w:val="00F46168"/>
    <w:rsid w:val="00F503E6"/>
    <w:rsid w:val="00F53FBF"/>
    <w:rsid w:val="00F544AC"/>
    <w:rsid w:val="00F60260"/>
    <w:rsid w:val="00F651BF"/>
    <w:rsid w:val="00F6601D"/>
    <w:rsid w:val="00F675FD"/>
    <w:rsid w:val="00F71A9E"/>
    <w:rsid w:val="00F739B0"/>
    <w:rsid w:val="00F74408"/>
    <w:rsid w:val="00F74856"/>
    <w:rsid w:val="00F81F44"/>
    <w:rsid w:val="00F9544E"/>
    <w:rsid w:val="00F9603E"/>
    <w:rsid w:val="00FA2749"/>
    <w:rsid w:val="00FA3378"/>
    <w:rsid w:val="00FA4017"/>
    <w:rsid w:val="00FA67ED"/>
    <w:rsid w:val="00FB0E1B"/>
    <w:rsid w:val="00FB16F3"/>
    <w:rsid w:val="00FB45EE"/>
    <w:rsid w:val="00FB5467"/>
    <w:rsid w:val="00FB6D9A"/>
    <w:rsid w:val="00FB7C20"/>
    <w:rsid w:val="00FC192F"/>
    <w:rsid w:val="00FC44B2"/>
    <w:rsid w:val="00FC66CE"/>
    <w:rsid w:val="00FD0EE2"/>
    <w:rsid w:val="00FD4AC0"/>
    <w:rsid w:val="00FD598D"/>
    <w:rsid w:val="00FD5E3C"/>
    <w:rsid w:val="00FD7A66"/>
    <w:rsid w:val="00FE1203"/>
    <w:rsid w:val="00FE1DCB"/>
    <w:rsid w:val="00FE2E48"/>
    <w:rsid w:val="00FE3091"/>
    <w:rsid w:val="4DE93206"/>
    <w:rsid w:val="574910D7"/>
    <w:rsid w:val="747148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rPr>
  </w:style>
  <w:style w:type="character" w:customStyle="1" w:styleId="10">
    <w:name w:val="页眉 字符"/>
    <w:basedOn w:val="8"/>
    <w:link w:val="4"/>
    <w:qFormat/>
    <w:uiPriority w:val="99"/>
    <w:rPr>
      <w:kern w:val="2"/>
      <w:sz w:val="18"/>
      <w:szCs w:val="18"/>
    </w:rPr>
  </w:style>
  <w:style w:type="character" w:customStyle="1" w:styleId="11">
    <w:name w:val="页脚 字符"/>
    <w:basedOn w:val="8"/>
    <w:link w:val="3"/>
    <w:qFormat/>
    <w:uiPriority w:val="99"/>
    <w:rPr>
      <w:kern w:val="2"/>
      <w:sz w:val="18"/>
      <w:szCs w:val="18"/>
    </w:rPr>
  </w:style>
  <w:style w:type="paragraph" w:customStyle="1" w:styleId="12">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3">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14">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2721</Words>
  <Characters>2827</Characters>
  <Lines>23</Lines>
  <Paragraphs>6</Paragraphs>
  <TotalTime>2</TotalTime>
  <ScaleCrop>false</ScaleCrop>
  <LinksUpToDate>false</LinksUpToDate>
  <CharactersWithSpaces>2847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不怂</cp:lastModifiedBy>
  <dcterms:modified xsi:type="dcterms:W3CDTF">2023-01-31T08:51:05Z</dcterms:modified>
  <cp:revision>3169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C98A82D1A6B84DE69D41B0E6BC5409D6</vt:lpwstr>
  </property>
</Properties>
</file>