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临淄区科技局2023年政府信息公开工作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本报告按照《国务院办公厅政府信息与政务公开办公室关于印发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&lt;中华人民共和国政府信息公开工作年度报告格式&gt;的通知》(国办公开办函〔2021〕30号)和《中华人民共和国政府信息公开条例》要求编制，全文包括总体情况、主动公开政府信息情况、收到和处理政府信息公开申请情况、政府信息公开行政复议及行政诉讼情况、政府信息公开工作存在的主要问题及改进情况、其他需要报告的事项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本年度报告中所列数据的统计期限自2023年1月1日起，至2023年12月31日止。如对报告内容有疑问，请与临淄区科技局联系（地址：临淄区行政办公中心821室；邮编：255400；电话：0533-7211580；电子邮箱：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"mailto:lzqkjjbgs@zb.shandong.cn）"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lzqkjjbgs@zb.shandong.cn）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临淄区科技局政府信息公开工作在区委、区政府的正确领导和市科技局的关心指导下，坚持以习近平新时代中国特色社会主义思想为指引，认真贯彻落实《中华人民共和国政府信息公开条例》，结合科技工作实际，加强组织领导，建立健全机制，规范运作程序，扎实推进全局政府信息公开工作。具体情况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（一）主动公开信息情况。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val="en-US" w:eastAsia="zh-CN"/>
        </w:rPr>
        <w:t>2023年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val="en-US" w:eastAsia="zh-CN"/>
        </w:rPr>
        <w:t>临淄区科技局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主动公开政府信息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val="en-US" w:eastAsia="zh-CN"/>
        </w:rPr>
        <w:t>99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条，其中业务工作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val="en-US" w:eastAsia="zh-CN"/>
        </w:rPr>
        <w:t>63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条、机构职能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条、财政信息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条、管理和服务公开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条、政务公开保障机制1条、主动公开基本目录1条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其他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条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" w:eastAsia="仿宋_GB2312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val="en-US" w:eastAsia="zh-CN"/>
        </w:rPr>
        <w:t>（二）依申请公开情况。2023年，区科技局收到政府信息公开申请0件。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val="en-US" w:eastAsia="zh-CN"/>
        </w:rPr>
        <w:t>（三）政府信息管理情况。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日常工作中,建立健全了信息公开收集、审查、处理机制。所有公开信息由局办公室主动收集,各业务科室按要求上报。二是局办公室落实专人负责政府信息公开工作,根据政府信息公开审查机制,按照“先审查,后公开”“一事一审”原则及保密审查的要求,凡是需公开的政府信息,由局办公室登记审查,经分管领导或主要领导审核签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val="en-US" w:eastAsia="zh-CN"/>
        </w:rPr>
        <w:t>政府信息公开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平台建设情况。按照上级有关要求,结合单位实际,调整优化政府信息公开平台栏目设置。按时编制更新信息公开指南和信息公开目录。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（五）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val="en-US" w:eastAsia="zh-CN"/>
        </w:rPr>
        <w:t>政府信息公开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监督保障情况。一是调整完善了局政务公开工作领导小组,充实了工作力量,明确了各科室责任分工,强化了组织保障。二是制定 2023 年政务公开培训计划，全年开展专题培训 1 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二、主动公开政府信息情况</w:t>
      </w:r>
    </w:p>
    <w:tbl>
      <w:tblPr>
        <w:tblStyle w:val="3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94"/>
        <w:gridCol w:w="1985"/>
        <w:gridCol w:w="2030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8931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第二十条  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269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本年制发数量</w:t>
            </w:r>
          </w:p>
        </w:tc>
        <w:tc>
          <w:tcPr>
            <w:tcW w:w="20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本年废止件数</w:t>
            </w:r>
          </w:p>
        </w:tc>
        <w:tc>
          <w:tcPr>
            <w:tcW w:w="222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269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规章</w:t>
            </w:r>
          </w:p>
        </w:tc>
        <w:tc>
          <w:tcPr>
            <w:tcW w:w="198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0</w:t>
            </w:r>
          </w:p>
        </w:tc>
        <w:tc>
          <w:tcPr>
            <w:tcW w:w="20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0</w:t>
            </w:r>
          </w:p>
        </w:tc>
        <w:tc>
          <w:tcPr>
            <w:tcW w:w="222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269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行政规范性文件</w:t>
            </w:r>
          </w:p>
        </w:tc>
        <w:tc>
          <w:tcPr>
            <w:tcW w:w="198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0</w:t>
            </w:r>
          </w:p>
        </w:tc>
        <w:tc>
          <w:tcPr>
            <w:tcW w:w="222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931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第二十条  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269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6237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69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6237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8931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第二十条  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269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6237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6237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6237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8931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第二十条  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6237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6237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三、收到和处理政府信息公开申请情况</w:t>
      </w:r>
    </w:p>
    <w:tbl>
      <w:tblPr>
        <w:tblStyle w:val="3"/>
        <w:tblW w:w="91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936"/>
        <w:gridCol w:w="2474"/>
        <w:gridCol w:w="723"/>
        <w:gridCol w:w="724"/>
        <w:gridCol w:w="724"/>
        <w:gridCol w:w="724"/>
        <w:gridCol w:w="725"/>
        <w:gridCol w:w="725"/>
        <w:gridCol w:w="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06" w:type="dxa"/>
            <w:gridSpan w:val="3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  <w:shd w:val="clear" w:color="auto" w:fill="FFFFFF"/>
              </w:rPr>
              <w:t>（本列数据的勾稽关系为：第一项加第二项之和，等于第三项加第四项之和）</w:t>
            </w:r>
          </w:p>
        </w:tc>
        <w:tc>
          <w:tcPr>
            <w:tcW w:w="5073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shd w:val="clear" w:color="auto" w:fill="FFFFFF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shd w:val="clear" w:color="auto" w:fill="FFFFFF"/>
              </w:rPr>
              <w:t>自然人</w:t>
            </w:r>
          </w:p>
        </w:tc>
        <w:tc>
          <w:tcPr>
            <w:tcW w:w="3622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shd w:val="clear" w:color="auto" w:fill="FFFFFF"/>
              </w:rPr>
              <w:t>法人或其他组织</w:t>
            </w:r>
          </w:p>
        </w:tc>
        <w:tc>
          <w:tcPr>
            <w:tcW w:w="728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shd w:val="clear" w:color="auto" w:fill="FFFFFF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7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shd w:val="clear" w:color="auto" w:fill="FFFFFF"/>
              </w:rPr>
              <w:t>商业企业</w:t>
            </w:r>
          </w:p>
        </w:tc>
        <w:tc>
          <w:tcPr>
            <w:tcW w:w="7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shd w:val="clear" w:color="auto" w:fill="FFFFFF"/>
              </w:rPr>
              <w:t>科研机构</w:t>
            </w:r>
          </w:p>
        </w:tc>
        <w:tc>
          <w:tcPr>
            <w:tcW w:w="7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shd w:val="clear" w:color="auto" w:fill="FFFFFF"/>
              </w:rPr>
              <w:t>社会公益组织</w:t>
            </w:r>
          </w:p>
        </w:tc>
        <w:tc>
          <w:tcPr>
            <w:tcW w:w="7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shd w:val="clear" w:color="auto" w:fill="FFFFFF"/>
              </w:rPr>
              <w:t>法律服务机构</w:t>
            </w:r>
          </w:p>
        </w:tc>
        <w:tc>
          <w:tcPr>
            <w:tcW w:w="7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shd w:val="clear" w:color="auto" w:fill="FFFFFF"/>
              </w:rPr>
              <w:t>其他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106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shd w:val="clear" w:color="auto" w:fill="FFFFFF"/>
              </w:rPr>
              <w:t>一、本年新收政府信息公开申请数量</w:t>
            </w:r>
          </w:p>
        </w:tc>
        <w:tc>
          <w:tcPr>
            <w:tcW w:w="72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106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shd w:val="clear" w:color="auto" w:fill="FFFFFF"/>
              </w:rPr>
              <w:t>二、上年结转政府信息公开申请数量</w:t>
            </w:r>
          </w:p>
        </w:tc>
        <w:tc>
          <w:tcPr>
            <w:tcW w:w="72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96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shd w:val="clear" w:color="auto" w:fill="FFFFFF"/>
              </w:rPr>
              <w:t>三、本年度办理结果</w:t>
            </w:r>
          </w:p>
        </w:tc>
        <w:tc>
          <w:tcPr>
            <w:tcW w:w="341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shd w:val="clear" w:color="auto" w:fill="FFFFFF"/>
              </w:rPr>
              <w:t>（一）予以公开</w:t>
            </w:r>
          </w:p>
        </w:tc>
        <w:tc>
          <w:tcPr>
            <w:tcW w:w="72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1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shd w:val="clear" w:color="auto" w:fill="FFFFFF"/>
              </w:rPr>
              <w:t>（二）部分公开</w:t>
            </w:r>
          </w:p>
        </w:tc>
        <w:tc>
          <w:tcPr>
            <w:tcW w:w="72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shd w:val="clear" w:color="auto" w:fill="FFFFFF"/>
              </w:rPr>
              <w:t>（三）不予公开</w:t>
            </w:r>
          </w:p>
        </w:tc>
        <w:tc>
          <w:tcPr>
            <w:tcW w:w="247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1.属于国家秘密</w:t>
            </w:r>
          </w:p>
        </w:tc>
        <w:tc>
          <w:tcPr>
            <w:tcW w:w="72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2.其他法律行政法规禁止公开</w:t>
            </w:r>
          </w:p>
        </w:tc>
        <w:tc>
          <w:tcPr>
            <w:tcW w:w="72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3.危及“三安全一稳定”</w:t>
            </w:r>
          </w:p>
        </w:tc>
        <w:tc>
          <w:tcPr>
            <w:tcW w:w="72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4.保护第三方合法权益</w:t>
            </w:r>
          </w:p>
        </w:tc>
        <w:tc>
          <w:tcPr>
            <w:tcW w:w="72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5.属于三类内部事务信息</w:t>
            </w:r>
          </w:p>
        </w:tc>
        <w:tc>
          <w:tcPr>
            <w:tcW w:w="72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6.属于四类过程性信息</w:t>
            </w:r>
          </w:p>
        </w:tc>
        <w:tc>
          <w:tcPr>
            <w:tcW w:w="72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7.属于行政执法案卷</w:t>
            </w:r>
          </w:p>
        </w:tc>
        <w:tc>
          <w:tcPr>
            <w:tcW w:w="72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8.属于行政查询事项</w:t>
            </w:r>
          </w:p>
        </w:tc>
        <w:tc>
          <w:tcPr>
            <w:tcW w:w="72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shd w:val="clear" w:color="auto" w:fill="FFFFFF"/>
              </w:rPr>
              <w:t>（四）无法提供</w:t>
            </w:r>
          </w:p>
        </w:tc>
        <w:tc>
          <w:tcPr>
            <w:tcW w:w="247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1.本机关不掌握相关政府信息</w:t>
            </w:r>
          </w:p>
        </w:tc>
        <w:tc>
          <w:tcPr>
            <w:tcW w:w="72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2. 没有现成信息需要另行制作</w:t>
            </w:r>
          </w:p>
        </w:tc>
        <w:tc>
          <w:tcPr>
            <w:tcW w:w="72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3.补正后申请内容仍不明确</w:t>
            </w:r>
          </w:p>
        </w:tc>
        <w:tc>
          <w:tcPr>
            <w:tcW w:w="72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shd w:val="clear" w:color="auto" w:fill="FFFFFF"/>
              </w:rPr>
              <w:t>（五）不予处理</w:t>
            </w:r>
          </w:p>
        </w:tc>
        <w:tc>
          <w:tcPr>
            <w:tcW w:w="247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1.信访举报投诉类申请</w:t>
            </w:r>
          </w:p>
        </w:tc>
        <w:tc>
          <w:tcPr>
            <w:tcW w:w="72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2.重复申请</w:t>
            </w:r>
          </w:p>
        </w:tc>
        <w:tc>
          <w:tcPr>
            <w:tcW w:w="72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3.要求提供公开出版物</w:t>
            </w:r>
          </w:p>
        </w:tc>
        <w:tc>
          <w:tcPr>
            <w:tcW w:w="72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4.无正当理由大量反复申请</w:t>
            </w:r>
          </w:p>
        </w:tc>
        <w:tc>
          <w:tcPr>
            <w:tcW w:w="72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5.要求行政机关确认或重新出具已获取信息</w:t>
            </w:r>
          </w:p>
        </w:tc>
        <w:tc>
          <w:tcPr>
            <w:tcW w:w="72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shd w:val="clear" w:color="auto" w:fill="FFFFFF"/>
              </w:rPr>
              <w:t>（六）其他处理</w:t>
            </w:r>
          </w:p>
        </w:tc>
        <w:tc>
          <w:tcPr>
            <w:tcW w:w="247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1.申请人无正当理由逾期不补正、行政机关不再处理其政府信息公开申请</w:t>
            </w:r>
          </w:p>
        </w:tc>
        <w:tc>
          <w:tcPr>
            <w:tcW w:w="72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2.申请人逾期未按收费通知要求缴纳费用、行政机关不再处理其政府信息公开申请</w:t>
            </w:r>
          </w:p>
        </w:tc>
        <w:tc>
          <w:tcPr>
            <w:tcW w:w="72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 </w:t>
            </w:r>
          </w:p>
        </w:tc>
        <w:tc>
          <w:tcPr>
            <w:tcW w:w="247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3.其他</w:t>
            </w:r>
          </w:p>
        </w:tc>
        <w:tc>
          <w:tcPr>
            <w:tcW w:w="72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1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shd w:val="clear" w:color="auto" w:fill="FFFFFF"/>
              </w:rPr>
              <w:t>（七）总计</w:t>
            </w:r>
          </w:p>
        </w:tc>
        <w:tc>
          <w:tcPr>
            <w:tcW w:w="72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106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shd w:val="clear" w:color="auto" w:fill="FFFFFF"/>
              </w:rPr>
              <w:t>四、结转下年度继续办理</w:t>
            </w:r>
          </w:p>
        </w:tc>
        <w:tc>
          <w:tcPr>
            <w:tcW w:w="72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7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3"/>
        <w:tblW w:w="969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3"/>
        <w:gridCol w:w="653"/>
        <w:gridCol w:w="653"/>
        <w:gridCol w:w="653"/>
        <w:gridCol w:w="654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326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行政复议</w:t>
            </w:r>
          </w:p>
        </w:tc>
        <w:tc>
          <w:tcPr>
            <w:tcW w:w="642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65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结果维持</w:t>
            </w:r>
          </w:p>
        </w:tc>
        <w:tc>
          <w:tcPr>
            <w:tcW w:w="65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结果纠正</w:t>
            </w:r>
          </w:p>
        </w:tc>
        <w:tc>
          <w:tcPr>
            <w:tcW w:w="65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其他结果</w:t>
            </w:r>
          </w:p>
        </w:tc>
        <w:tc>
          <w:tcPr>
            <w:tcW w:w="65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尚未审结</w:t>
            </w:r>
          </w:p>
        </w:tc>
        <w:tc>
          <w:tcPr>
            <w:tcW w:w="6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总计</w:t>
            </w:r>
          </w:p>
        </w:tc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未经复议直接起诉</w:t>
            </w:r>
          </w:p>
        </w:tc>
        <w:tc>
          <w:tcPr>
            <w:tcW w:w="321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结果维持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结果纠正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其他结果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尚未审结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总计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结果维持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结果纠正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其他结果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尚未审结</w:t>
            </w:r>
          </w:p>
        </w:tc>
        <w:tc>
          <w:tcPr>
            <w:tcW w:w="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存在问题。2023年，我局按照政府信息公开条例在政务信息公开方面做了一些工作，取得了一定成效，但与信息公开工作要求还存在一定差距，主要有：一是要进一步加大政策解读力度，扩大解读范围。三是重点领域信息公开的要求需提高，广度需拓宽，深度需加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改进措施。一是加强领导，加大政务信息更新力度，落实工作目标，做到信息生成与发布保持同步。二是加强对本部门制定政策和规范性文件的解读或答疑，尽可能采用图文、列表等多种形式，多渠道公开，便于公众了解。三是拓展主动公开信息内容的广度和深度，进一步推进重点领域信息公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1.依申请公开信政府信息处理费收费情况。本年度无收取信息处理费情况。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2.建议提案办理情况。2023年，区科技局共承办人大代表建议0件；承办政协提案2件，办复率100%。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年度工作要点落实情况。召开政务公开工作领导小组会议传达学习《2023年淄博市政务公开工作方案》精神，研究贯彻落实意见，制定《临淄区科学技术局关于信息调研工作的实施意见》，配发政务公开工作任务台账，明确任务分工、工作要求、公开时限等，逐项分解落实到位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1"/>
        <w:jc w:val="both"/>
        <w:textAlignment w:val="baseline"/>
        <w:rPr>
          <w:rFonts w:hint="eastAsia" w:ascii="仿宋_GB2312" w:hAnsi="宋体" w:eastAsia="仿宋_GB2312" w:cs="宋体"/>
          <w:snapToGrid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宋体" w:eastAsia="仿宋_GB2312" w:cs="宋体"/>
          <w:snapToGrid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4.政务公开工作创新情况。加强政府网站内容建设，定期梳理公开事项，确保应公开尽公开。通过开展部门内部政务公开培训和集中宣传等活动，进一步提高局政府信息公开工作规范化，确保</w:t>
      </w:r>
      <w:bookmarkStart w:id="0" w:name="_GoBack"/>
      <w:bookmarkEnd w:id="0"/>
      <w:r>
        <w:rPr>
          <w:rFonts w:hint="eastAsia" w:ascii="仿宋_GB2312" w:hAnsi="宋体" w:eastAsia="仿宋_GB2312" w:cs="宋体"/>
          <w:snapToGrid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新要求得到有效落实。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410ACC"/>
    <w:multiLevelType w:val="singleLevel"/>
    <w:tmpl w:val="44410AC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hNDFkZTI0ODI3ZGRiY2U4ZGUyMmVlOGYzN2MzODYifQ=="/>
  </w:docVars>
  <w:rsids>
    <w:rsidRoot w:val="00000000"/>
    <w:rsid w:val="08223EF6"/>
    <w:rsid w:val="1A801E8D"/>
    <w:rsid w:val="1C6F2F51"/>
    <w:rsid w:val="229D5007"/>
    <w:rsid w:val="2A994305"/>
    <w:rsid w:val="2C24416F"/>
    <w:rsid w:val="37A31FE9"/>
    <w:rsid w:val="3BBD1C25"/>
    <w:rsid w:val="41951033"/>
    <w:rsid w:val="4E2F507A"/>
    <w:rsid w:val="4EC40E21"/>
    <w:rsid w:val="55255399"/>
    <w:rsid w:val="575B4F5F"/>
    <w:rsid w:val="57CFD500"/>
    <w:rsid w:val="5F2427D2"/>
    <w:rsid w:val="735E0DB8"/>
    <w:rsid w:val="761F4269"/>
    <w:rsid w:val="77FEA7F7"/>
    <w:rsid w:val="7D02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2024-01-09T22:57:00Z</dcterms:created>
  <dc:creator>Administrator</dc:creator>
  <cp:lastModifiedBy>呀呼呀</cp:lastModifiedBy>
  <cp:lastPrinted>2024-01-18T17:13:00Z</cp:lastPrinted>
  <dcterms:modified xsi:type="dcterms:W3CDTF">2024-01-23T01:25:20Z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0E45DFE8A91D4A89878D4A5386B5B67A_13</vt:lpwstr>
  </property>
</Properties>
</file>