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b/>
          <w:bCs/>
          <w:color w:val="FF0000"/>
          <w:sz w:val="48"/>
          <w:szCs w:val="56"/>
        </w:rPr>
      </w:pPr>
      <w:r>
        <w:rPr>
          <w:sz w:val="48"/>
        </w:rPr>
        <mc:AlternateContent>
          <mc:Choice Requires="wps">
            <w:drawing>
              <wp:anchor distT="0" distB="0" distL="114300" distR="114300" simplePos="0" relativeHeight="251661312" behindDoc="0" locked="0" layoutInCell="1" allowOverlap="1">
                <wp:simplePos x="0" y="0"/>
                <wp:positionH relativeFrom="column">
                  <wp:posOffset>-356235</wp:posOffset>
                </wp:positionH>
                <wp:positionV relativeFrom="paragraph">
                  <wp:posOffset>31750</wp:posOffset>
                </wp:positionV>
                <wp:extent cx="4913630" cy="5582285"/>
                <wp:effectExtent l="0" t="0" r="1270" b="18415"/>
                <wp:wrapNone/>
                <wp:docPr id="2" name="文本框 3"/>
                <wp:cNvGraphicFramePr/>
                <a:graphic xmlns:a="http://schemas.openxmlformats.org/drawingml/2006/main">
                  <a:graphicData uri="http://schemas.microsoft.com/office/word/2010/wordprocessingShape">
                    <wps:wsp>
                      <wps:cNvSpPr txBox="1"/>
                      <wps:spPr>
                        <a:xfrm>
                          <a:off x="0" y="0"/>
                          <a:ext cx="4913630" cy="5582285"/>
                        </a:xfrm>
                        <a:prstGeom prst="rect">
                          <a:avLst/>
                        </a:prstGeom>
                        <a:solidFill>
                          <a:srgbClr val="FFFFFF"/>
                        </a:solidFill>
                        <a:ln>
                          <a:noFill/>
                        </a:ln>
                      </wps:spPr>
                      <wps:txbx>
                        <w:txbxContent>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淄博市临淄区民政局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淄博市临淄区人民法院</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淄博市临淄区发展和改革局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淄博市临淄区司法局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淄博市临淄区财政局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淄博市临淄区自然资源局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淄博市临淄区住房和城乡建设局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淄博市临淄区交通运输局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淄博市临淄区卫生健康局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淄博市临淄区教育和体育局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国家税务总局淄博市临淄区税务局</w:t>
                            </w:r>
                          </w:p>
                          <w:p>
                            <w:pPr>
                              <w:spacing w:line="700" w:lineRule="exact"/>
                              <w:jc w:val="distribute"/>
                              <w:rPr>
                                <w:rFonts w:ascii="方正小标宋简体" w:eastAsia="方正小标宋简体"/>
                                <w:b/>
                                <w:bCs/>
                                <w:color w:val="FF0000"/>
                                <w:sz w:val="44"/>
                                <w:szCs w:val="44"/>
                              </w:rPr>
                            </w:pPr>
                            <w:r>
                              <w:rPr>
                                <w:rFonts w:hint="eastAsia" w:ascii="方正小标宋简体" w:hAnsi="仿宋" w:eastAsia="方正小标宋简体" w:cs="仿宋"/>
                                <w:b/>
                                <w:bCs/>
                                <w:color w:val="FF0000"/>
                                <w:sz w:val="44"/>
                                <w:szCs w:val="44"/>
                              </w:rPr>
                              <w:t>临淄区综合行政执法局</w:t>
                            </w:r>
                          </w:p>
                          <w:p>
                            <w:pPr>
                              <w:rPr>
                                <w:sz w:val="44"/>
                                <w:szCs w:val="44"/>
                              </w:rPr>
                            </w:pPr>
                          </w:p>
                        </w:txbxContent>
                      </wps:txbx>
                      <wps:bodyPr upright="1"/>
                    </wps:wsp>
                  </a:graphicData>
                </a:graphic>
              </wp:anchor>
            </w:drawing>
          </mc:Choice>
          <mc:Fallback>
            <w:pict>
              <v:shape id="文本框 3" o:spid="_x0000_s1026" o:spt="202" type="#_x0000_t202" style="position:absolute;left:0pt;margin-left:-28.05pt;margin-top:2.5pt;height:439.55pt;width:386.9pt;z-index:251661312;mso-width-relative:page;mso-height-relative:page;" fillcolor="#FFFFFF" filled="t" stroked="f" coordsize="21600,21600" o:gfxdata="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jbMJTXAAAACQEAAA8AAAAAAAAAAQAgAAAAIgAAAGRycy9kb3ducmV2Lnht&#10;bFBLAQIUABQAAAAIAIdO4kDZaboFwQEAAHgDAAAOAAAAAAAAAAEAIAAAACYBAABkcnMvZTJvRG9j&#10;LnhtbFBLBQYAAAAABgAGAFkBAABZBQAAAAA=&#10;">
                <v:fill on="t" focussize="0,0"/>
                <v:stroke on="f"/>
                <v:imagedata o:title=""/>
                <o:lock v:ext="edit" aspectratio="f"/>
                <v:textbox>
                  <w:txbxContent>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淄博市临淄区民政局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淄博市临淄区人民法院</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淄博市临淄区发展和改革局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淄博市临淄区司法局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淄博市临淄区财政局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淄博市临淄区自然资源局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淄博市临淄区住房和城乡建设局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淄博市临淄区交通运输局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淄博市临淄区卫生健康局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淄博市临淄区教育和体育局</w:t>
                      </w:r>
                    </w:p>
                    <w:p>
                      <w:pPr>
                        <w:spacing w:line="700" w:lineRule="exact"/>
                        <w:jc w:val="distribute"/>
                        <w:rPr>
                          <w:rFonts w:ascii="方正小标宋简体" w:hAnsi="仿宋" w:eastAsia="方正小标宋简体" w:cs="仿宋"/>
                          <w:b/>
                          <w:bCs/>
                          <w:color w:val="FF0000"/>
                          <w:sz w:val="44"/>
                          <w:szCs w:val="44"/>
                        </w:rPr>
                      </w:pPr>
                      <w:r>
                        <w:rPr>
                          <w:rFonts w:hint="eastAsia" w:ascii="方正小标宋简体" w:hAnsi="仿宋" w:eastAsia="方正小标宋简体" w:cs="仿宋"/>
                          <w:b/>
                          <w:bCs/>
                          <w:color w:val="FF0000"/>
                          <w:sz w:val="44"/>
                          <w:szCs w:val="44"/>
                        </w:rPr>
                        <w:t>国家税务总局淄博市临淄区税务局</w:t>
                      </w:r>
                    </w:p>
                    <w:p>
                      <w:pPr>
                        <w:spacing w:line="700" w:lineRule="exact"/>
                        <w:jc w:val="distribute"/>
                        <w:rPr>
                          <w:rFonts w:ascii="方正小标宋简体" w:eastAsia="方正小标宋简体"/>
                          <w:b/>
                          <w:bCs/>
                          <w:color w:val="FF0000"/>
                          <w:sz w:val="44"/>
                          <w:szCs w:val="44"/>
                        </w:rPr>
                      </w:pPr>
                      <w:r>
                        <w:rPr>
                          <w:rFonts w:hint="eastAsia" w:ascii="方正小标宋简体" w:hAnsi="仿宋" w:eastAsia="方正小标宋简体" w:cs="仿宋"/>
                          <w:b/>
                          <w:bCs/>
                          <w:color w:val="FF0000"/>
                          <w:sz w:val="44"/>
                          <w:szCs w:val="44"/>
                        </w:rPr>
                        <w:t>临淄区综合行政执法局</w:t>
                      </w:r>
                    </w:p>
                    <w:p>
                      <w:pPr>
                        <w:rPr>
                          <w:sz w:val="44"/>
                          <w:szCs w:val="44"/>
                        </w:rPr>
                      </w:pPr>
                    </w:p>
                  </w:txbxContent>
                </v:textbox>
              </v:shape>
            </w:pict>
          </mc:Fallback>
        </mc:AlternateContent>
      </w:r>
    </w:p>
    <w:p>
      <w:pPr>
        <w:jc w:val="distribute"/>
        <w:rPr>
          <w:b/>
          <w:bCs/>
          <w:color w:val="FF0000"/>
          <w:sz w:val="48"/>
          <w:szCs w:val="56"/>
        </w:rPr>
      </w:pPr>
    </w:p>
    <w:p>
      <w:pPr>
        <w:jc w:val="distribute"/>
        <w:rPr>
          <w:b/>
          <w:bCs/>
          <w:color w:val="FF0000"/>
          <w:sz w:val="48"/>
          <w:szCs w:val="56"/>
        </w:rPr>
      </w:pPr>
    </w:p>
    <w:p>
      <w:pPr>
        <w:jc w:val="center"/>
        <w:rPr>
          <w:sz w:val="28"/>
          <w:szCs w:val="36"/>
        </w:rPr>
      </w:pPr>
    </w:p>
    <w:p>
      <w:pPr>
        <w:jc w:val="center"/>
        <w:rPr>
          <w:sz w:val="28"/>
          <w:szCs w:val="36"/>
        </w:rPr>
      </w:pPr>
      <w:r>
        <w:rPr>
          <w:sz w:val="28"/>
        </w:rPr>
        <mc:AlternateContent>
          <mc:Choice Requires="wps">
            <w:drawing>
              <wp:anchor distT="0" distB="0" distL="114300" distR="114300" simplePos="0" relativeHeight="251662336" behindDoc="0" locked="0" layoutInCell="1" allowOverlap="1">
                <wp:simplePos x="0" y="0"/>
                <wp:positionH relativeFrom="column">
                  <wp:posOffset>4557395</wp:posOffset>
                </wp:positionH>
                <wp:positionV relativeFrom="paragraph">
                  <wp:posOffset>180340</wp:posOffset>
                </wp:positionV>
                <wp:extent cx="1632585" cy="1536700"/>
                <wp:effectExtent l="0" t="0" r="5715" b="6350"/>
                <wp:wrapNone/>
                <wp:docPr id="3" name="文本框 4"/>
                <wp:cNvGraphicFramePr/>
                <a:graphic xmlns:a="http://schemas.openxmlformats.org/drawingml/2006/main">
                  <a:graphicData uri="http://schemas.microsoft.com/office/word/2010/wordprocessingShape">
                    <wps:wsp>
                      <wps:cNvSpPr txBox="1"/>
                      <wps:spPr>
                        <a:xfrm>
                          <a:off x="0" y="0"/>
                          <a:ext cx="1632585" cy="1536700"/>
                        </a:xfrm>
                        <a:prstGeom prst="rect">
                          <a:avLst/>
                        </a:prstGeom>
                        <a:solidFill>
                          <a:srgbClr val="FFFFFF"/>
                        </a:solidFill>
                        <a:ln>
                          <a:noFill/>
                        </a:ln>
                      </wps:spPr>
                      <wps:txbx>
                        <w:txbxContent>
                          <w:p>
                            <w:pPr>
                              <w:rPr>
                                <w:b/>
                                <w:bCs/>
                                <w:color w:val="FF0000"/>
                                <w:sz w:val="72"/>
                                <w:szCs w:val="144"/>
                              </w:rPr>
                            </w:pPr>
                          </w:p>
                          <w:p>
                            <w:pPr>
                              <w:rPr>
                                <w:rFonts w:ascii="宋体" w:hAnsi="宋体" w:cs="宋体"/>
                                <w:b/>
                                <w:bCs/>
                                <w:color w:val="FF0000"/>
                                <w:w w:val="80"/>
                                <w:sz w:val="72"/>
                                <w:szCs w:val="144"/>
                              </w:rPr>
                            </w:pPr>
                            <w:r>
                              <w:rPr>
                                <w:rFonts w:hint="eastAsia" w:ascii="宋体" w:hAnsi="宋体" w:cs="宋体"/>
                                <w:b/>
                                <w:bCs/>
                                <w:color w:val="FF0000"/>
                                <w:w w:val="80"/>
                                <w:sz w:val="96"/>
                                <w:szCs w:val="160"/>
                              </w:rPr>
                              <w:t>文件</w:t>
                            </w:r>
                          </w:p>
                        </w:txbxContent>
                      </wps:txbx>
                      <wps:bodyPr upright="1"/>
                    </wps:wsp>
                  </a:graphicData>
                </a:graphic>
              </wp:anchor>
            </w:drawing>
          </mc:Choice>
          <mc:Fallback>
            <w:pict>
              <v:shape id="文本框 4" o:spid="_x0000_s1026" o:spt="202" type="#_x0000_t202" style="position:absolute;left:0pt;margin-left:358.85pt;margin-top:14.2pt;height:121pt;width:128.55pt;z-index:251662336;mso-width-relative:page;mso-height-relative:page;" fillcolor="#FFFFFF" filled="t" stroked="f" coordsize="21600,21600" o:gfxdata="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GERwzXAAAACgEAAA8AAAAAAAAAAQAgAAAAIgAAAGRycy9kb3ducmV2&#10;LnhtbFBLAQIUABQAAAAIAIdO4kCejgpOxAEAAHgDAAAOAAAAAAAAAAEAIAAAACYBAABkcnMvZTJv&#10;RG9jLnhtbFBLBQYAAAAABgAGAFkBAABcBQAAAAA=&#10;">
                <v:fill on="t" focussize="0,0"/>
                <v:stroke on="f"/>
                <v:imagedata o:title=""/>
                <o:lock v:ext="edit" aspectratio="f"/>
                <v:textbox>
                  <w:txbxContent>
                    <w:p>
                      <w:pPr>
                        <w:rPr>
                          <w:b/>
                          <w:bCs/>
                          <w:color w:val="FF0000"/>
                          <w:sz w:val="72"/>
                          <w:szCs w:val="144"/>
                        </w:rPr>
                      </w:pPr>
                    </w:p>
                    <w:p>
                      <w:pPr>
                        <w:rPr>
                          <w:rFonts w:ascii="宋体" w:hAnsi="宋体" w:cs="宋体"/>
                          <w:b/>
                          <w:bCs/>
                          <w:color w:val="FF0000"/>
                          <w:w w:val="80"/>
                          <w:sz w:val="72"/>
                          <w:szCs w:val="144"/>
                        </w:rPr>
                      </w:pPr>
                      <w:r>
                        <w:rPr>
                          <w:rFonts w:hint="eastAsia" w:ascii="宋体" w:hAnsi="宋体" w:cs="宋体"/>
                          <w:b/>
                          <w:bCs/>
                          <w:color w:val="FF0000"/>
                          <w:w w:val="80"/>
                          <w:sz w:val="96"/>
                          <w:szCs w:val="160"/>
                        </w:rPr>
                        <w:t>文件</w:t>
                      </w:r>
                    </w:p>
                  </w:txbxContent>
                </v:textbox>
              </v:shape>
            </w:pict>
          </mc:Fallback>
        </mc:AlternateContent>
      </w:r>
    </w:p>
    <w:p>
      <w:pPr>
        <w:jc w:val="center"/>
        <w:rPr>
          <w:sz w:val="28"/>
          <w:szCs w:val="36"/>
        </w:rPr>
      </w:pPr>
    </w:p>
    <w:p>
      <w:pPr>
        <w:jc w:val="center"/>
        <w:rPr>
          <w:sz w:val="28"/>
          <w:szCs w:val="36"/>
        </w:rPr>
      </w:pPr>
    </w:p>
    <w:p>
      <w:pPr>
        <w:jc w:val="center"/>
        <w:rPr>
          <w:sz w:val="28"/>
          <w:szCs w:val="36"/>
        </w:rPr>
      </w:pPr>
    </w:p>
    <w:p>
      <w:pPr>
        <w:jc w:val="center"/>
        <w:rPr>
          <w:sz w:val="28"/>
          <w:szCs w:val="36"/>
        </w:rPr>
      </w:pPr>
    </w:p>
    <w:p>
      <w:pPr>
        <w:jc w:val="center"/>
        <w:rPr>
          <w:sz w:val="28"/>
          <w:szCs w:val="36"/>
        </w:rPr>
      </w:pPr>
    </w:p>
    <w:p>
      <w:pPr>
        <w:jc w:val="center"/>
        <w:rPr>
          <w:sz w:val="28"/>
          <w:szCs w:val="36"/>
        </w:rPr>
      </w:pPr>
    </w:p>
    <w:p>
      <w:pPr>
        <w:jc w:val="center"/>
        <w:rPr>
          <w:sz w:val="28"/>
          <w:szCs w:val="36"/>
        </w:rPr>
      </w:pPr>
    </w:p>
    <w:p>
      <w:pPr>
        <w:ind w:firstLine="2520" w:firstLineChars="900"/>
        <w:rPr>
          <w:sz w:val="28"/>
          <w:szCs w:val="36"/>
        </w:rPr>
      </w:pPr>
    </w:p>
    <w:p>
      <w:pPr>
        <w:jc w:val="center"/>
        <w:rPr>
          <w:sz w:val="28"/>
          <w:szCs w:val="36"/>
        </w:rPr>
      </w:pPr>
    </w:p>
    <w:p>
      <w:pPr>
        <w:jc w:val="center"/>
        <w:rPr>
          <w:sz w:val="28"/>
          <w:szCs w:val="36"/>
        </w:rPr>
      </w:pPr>
    </w:p>
    <w:p>
      <w:pPr>
        <w:ind w:firstLine="2560" w:firstLineChars="800"/>
        <w:rPr>
          <w:rFonts w:ascii="仿宋" w:hAnsi="仿宋" w:eastAsia="仿宋" w:cs="仿宋"/>
          <w:sz w:val="32"/>
          <w:szCs w:val="40"/>
        </w:rPr>
      </w:pPr>
      <w:r>
        <w:rPr>
          <w:rFonts w:hint="eastAsia" w:ascii="仿宋" w:hAnsi="仿宋" w:eastAsia="仿宋" w:cs="仿宋"/>
          <w:sz w:val="32"/>
          <w:szCs w:val="40"/>
        </w:rPr>
        <w:t>临民字〔2020〕70号</w:t>
      </w:r>
    </w:p>
    <w:p>
      <w:pPr>
        <w:rPr>
          <w:b/>
          <w:bCs/>
          <w:color w:val="FF0000"/>
        </w:rPr>
      </w:pPr>
      <w:r>
        <mc:AlternateContent>
          <mc:Choice Requires="wps">
            <w:drawing>
              <wp:anchor distT="0" distB="0" distL="114300" distR="114300" simplePos="0" relativeHeight="251660288" behindDoc="0" locked="0" layoutInCell="1" allowOverlap="1">
                <wp:simplePos x="0" y="0"/>
                <wp:positionH relativeFrom="column">
                  <wp:posOffset>-172720</wp:posOffset>
                </wp:positionH>
                <wp:positionV relativeFrom="paragraph">
                  <wp:posOffset>165100</wp:posOffset>
                </wp:positionV>
                <wp:extent cx="5638800" cy="19050"/>
                <wp:effectExtent l="0" t="4445" r="0" b="5080"/>
                <wp:wrapNone/>
                <wp:docPr id="1" name="直线 5"/>
                <wp:cNvGraphicFramePr/>
                <a:graphic xmlns:a="http://schemas.openxmlformats.org/drawingml/2006/main">
                  <a:graphicData uri="http://schemas.microsoft.com/office/word/2010/wordprocessingShape">
                    <wps:wsp>
                      <wps:cNvCnPr/>
                      <wps:spPr>
                        <a:xfrm flipV="1">
                          <a:off x="0" y="0"/>
                          <a:ext cx="5638800" cy="19050"/>
                        </a:xfrm>
                        <a:prstGeom prst="line">
                          <a:avLst/>
                        </a:prstGeom>
                        <a:ln w="6350" cap="flat" cmpd="sng">
                          <a:solidFill>
                            <a:srgbClr val="ED7D31"/>
                          </a:solidFill>
                          <a:prstDash val="solid"/>
                          <a:headEnd type="none" w="med" len="med"/>
                          <a:tailEnd type="none" w="med" len="med"/>
                        </a:ln>
                      </wps:spPr>
                      <wps:bodyPr upright="1"/>
                    </wps:wsp>
                  </a:graphicData>
                </a:graphic>
              </wp:anchor>
            </w:drawing>
          </mc:Choice>
          <mc:Fallback>
            <w:pict>
              <v:line id="直线 5" o:spid="_x0000_s1026" o:spt="20" style="position:absolute;left:0pt;flip:y;margin-left:-13.6pt;margin-top:13pt;height:1.5pt;width:444pt;z-index:251660288;mso-width-relative:page;mso-height-relative:page;" filled="f" stroked="t" coordsize="21600,21600" o:gfxdata="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2ip81gAAAAkBAAAPAAAAAAAAAAEAIAAAACIAAABkcnMvZG93bnJldi54bWxQSwEC&#10;FAAUAAAACACHTuJA3dgx9/YBAADpAwAADgAAAAAAAAABACAAAAAlAQAAZHJzL2Uyb0RvYy54bWxQ&#10;SwUGAAAAAAYABgBZAQAAjQUAAAAA&#10;">
                <v:fill on="f" focussize="0,0"/>
                <v:stroke weight="0.5pt" color="#ED7D31" joinstyle="round"/>
                <v:imagedata o:title=""/>
                <o:lock v:ext="edit" aspectratio="f"/>
              </v:line>
            </w:pict>
          </mc:Fallback>
        </mc:AlternateContent>
      </w:r>
    </w:p>
    <w:p>
      <w:pPr>
        <w:rPr>
          <w:sz w:val="32"/>
          <w:szCs w:val="40"/>
        </w:rPr>
      </w:pPr>
    </w:p>
    <w:p>
      <w:pPr>
        <w:spacing w:line="560" w:lineRule="exact"/>
        <w:jc w:val="center"/>
        <w:rPr>
          <w:rFonts w:ascii="方正小标宋简体" w:hAnsi="黑体" w:eastAsia="方正小标宋简体" w:cs="黑体"/>
          <w:b/>
          <w:bCs/>
          <w:sz w:val="44"/>
          <w:szCs w:val="44"/>
        </w:rPr>
      </w:pPr>
      <w:r>
        <w:rPr>
          <w:rFonts w:hint="eastAsia" w:ascii="方正小标宋简体" w:hAnsi="黑体" w:eastAsia="方正小标宋简体" w:cs="黑体"/>
          <w:b/>
          <w:bCs/>
          <w:sz w:val="44"/>
          <w:szCs w:val="44"/>
        </w:rPr>
        <w:t>关于发布临淄区</w:t>
      </w:r>
    </w:p>
    <w:p>
      <w:pPr>
        <w:spacing w:line="560" w:lineRule="exact"/>
        <w:jc w:val="center"/>
        <w:rPr>
          <w:rFonts w:ascii="方正小标宋简体" w:hAnsi="黑体" w:eastAsia="方正小标宋简体" w:cs="黑体"/>
          <w:b/>
          <w:bCs/>
          <w:sz w:val="44"/>
          <w:szCs w:val="44"/>
        </w:rPr>
      </w:pPr>
      <w:r>
        <w:rPr>
          <w:rFonts w:hint="eastAsia" w:ascii="方正小标宋简体" w:hAnsi="黑体" w:eastAsia="方正小标宋简体" w:cs="黑体"/>
          <w:b/>
          <w:bCs/>
          <w:sz w:val="44"/>
          <w:szCs w:val="44"/>
        </w:rPr>
        <w:t>基本养老公共服务清单的通知</w:t>
      </w:r>
    </w:p>
    <w:p>
      <w:pPr>
        <w:jc w:val="left"/>
        <w:rPr>
          <w:sz w:val="28"/>
          <w:szCs w:val="28"/>
        </w:rPr>
      </w:pPr>
    </w:p>
    <w:p>
      <w:pPr>
        <w:jc w:val="left"/>
        <w:rPr>
          <w:rFonts w:ascii="仿宋" w:hAnsi="仿宋" w:eastAsia="仿宋" w:cs="仿宋"/>
          <w:sz w:val="32"/>
          <w:szCs w:val="32"/>
        </w:rPr>
      </w:pPr>
      <w:r>
        <w:rPr>
          <w:rFonts w:hint="eastAsia" w:ascii="仿宋" w:hAnsi="仿宋" w:eastAsia="仿宋" w:cs="仿宋"/>
          <w:sz w:val="32"/>
          <w:szCs w:val="32"/>
        </w:rPr>
        <w:t>各镇、街道:</w:t>
      </w:r>
    </w:p>
    <w:p>
      <w:pPr>
        <w:rPr>
          <w:rFonts w:ascii="仿宋" w:hAnsi="仿宋" w:eastAsia="仿宋" w:cs="仿宋"/>
          <w:sz w:val="32"/>
          <w:szCs w:val="32"/>
        </w:rPr>
      </w:pPr>
      <w:r>
        <w:rPr>
          <w:rFonts w:hint="eastAsia" w:ascii="仿宋" w:hAnsi="仿宋" w:eastAsia="仿宋" w:cs="仿宋"/>
          <w:sz w:val="32"/>
          <w:szCs w:val="32"/>
        </w:rPr>
        <w:t xml:space="preserve">    根据《山东省人民政府办公厅关于推进养老服务发展的实施意见》(鲁政办发〔2019〕31号)、市民政局等12部门《关于发布淄博市基本养老公共服务清单的通知》（淄民〔2020〕91号）文件精神，结合我区现有政策规定及基本养老公共服务工作开展实际，现制定《临淄区基本养老公共服务清单》，以予以发布，并就基本养老公共服务清单制度落实提出如下要求:</w:t>
      </w:r>
    </w:p>
    <w:p>
      <w:pPr>
        <w:pStyle w:val="4"/>
        <w:shd w:val="clear" w:color="auto" w:fill="FFFFFF"/>
        <w:spacing w:before="0" w:beforeAutospacing="0" w:after="0" w:afterAutospacing="0"/>
        <w:rPr>
          <w:rFonts w:ascii="仿宋" w:hAnsi="仿宋" w:eastAsia="仿宋" w:cs="仿宋"/>
          <w:kern w:val="2"/>
          <w:sz w:val="32"/>
          <w:szCs w:val="32"/>
        </w:rPr>
      </w:pPr>
      <w:r>
        <w:rPr>
          <w:rFonts w:hint="eastAsia" w:ascii="仿宋" w:hAnsi="仿宋" w:eastAsia="仿宋" w:cs="仿宋"/>
          <w:kern w:val="2"/>
          <w:sz w:val="32"/>
          <w:szCs w:val="32"/>
        </w:rPr>
        <w:t>　　</w:t>
      </w:r>
      <w:r>
        <w:rPr>
          <w:rFonts w:hint="eastAsia" w:ascii="楷体" w:hAnsi="楷体" w:eastAsia="楷体" w:cs="仿宋"/>
          <w:kern w:val="2"/>
          <w:sz w:val="32"/>
          <w:szCs w:val="32"/>
        </w:rPr>
        <w:t>一、建立基本养老公共服务清单完善调整机制。</w:t>
      </w:r>
      <w:r>
        <w:rPr>
          <w:rFonts w:hint="eastAsia" w:ascii="仿宋" w:hAnsi="仿宋" w:eastAsia="仿宋" w:cs="仿宋"/>
          <w:kern w:val="2"/>
          <w:sz w:val="32"/>
          <w:szCs w:val="32"/>
        </w:rPr>
        <w:t>各镇、街道应结合区级基本养老服务清单及本镇、街道老年人服务需求、服务开展及服务反馈等情况，对基本养老服务清单服务项目、服务标准等进行调整完善，并予以公开发布，不断提升基本养老公共服务水平。</w:t>
      </w:r>
    </w:p>
    <w:p>
      <w:pPr>
        <w:pStyle w:val="4"/>
        <w:shd w:val="clear" w:color="auto" w:fill="FFFFFF"/>
        <w:spacing w:before="0" w:beforeAutospacing="0" w:after="0" w:afterAutospacing="0"/>
        <w:rPr>
          <w:rFonts w:ascii="仿宋" w:hAnsi="仿宋" w:eastAsia="仿宋" w:cs="仿宋"/>
          <w:kern w:val="2"/>
          <w:sz w:val="32"/>
          <w:szCs w:val="32"/>
        </w:rPr>
      </w:pPr>
      <w:r>
        <w:rPr>
          <w:rFonts w:hint="eastAsia" w:ascii="仿宋" w:hAnsi="仿宋" w:eastAsia="仿宋" w:cs="仿宋"/>
          <w:kern w:val="2"/>
          <w:sz w:val="32"/>
          <w:szCs w:val="32"/>
        </w:rPr>
        <w:t>　　</w:t>
      </w:r>
      <w:r>
        <w:rPr>
          <w:rFonts w:hint="eastAsia" w:ascii="楷体" w:hAnsi="楷体" w:eastAsia="楷体" w:cs="仿宋"/>
          <w:kern w:val="2"/>
          <w:sz w:val="32"/>
          <w:szCs w:val="32"/>
        </w:rPr>
        <w:t>二、推动基本养老公共服务清单服务项目落实。</w:t>
      </w:r>
      <w:r>
        <w:rPr>
          <w:rFonts w:hint="eastAsia" w:ascii="仿宋" w:hAnsi="仿宋" w:eastAsia="仿宋" w:cs="仿宋"/>
          <w:kern w:val="2"/>
          <w:sz w:val="32"/>
          <w:szCs w:val="32"/>
        </w:rPr>
        <w:t>各镇、街道、各单位及各部门要加强服务清单落实力度，优化服务流程，细化支出审批，提高服务效率，加强效能监管，确保清单服务项目落实到位，切实提高我区基本养老公共服务供给水平，不断提升老年人的获得感和幸福感。</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附件</w:t>
      </w:r>
      <w:r>
        <w:rPr>
          <w:rFonts w:ascii="仿宋" w:hAnsi="仿宋" w:eastAsia="仿宋" w:cs="仿宋"/>
          <w:sz w:val="32"/>
          <w:szCs w:val="32"/>
        </w:rPr>
        <w:t xml:space="preserve">: </w:t>
      </w:r>
      <w:r>
        <w:rPr>
          <w:rFonts w:hint="eastAsia" w:ascii="仿宋" w:hAnsi="仿宋" w:eastAsia="仿宋" w:cs="仿宋"/>
          <w:sz w:val="32"/>
          <w:szCs w:val="32"/>
        </w:rPr>
        <w:t xml:space="preserve">临淄区基本养老公共服务清单 </w:t>
      </w:r>
    </w:p>
    <w:p>
      <w:pPr>
        <w:ind w:firstLine="360" w:firstLineChars="100"/>
        <w:jc w:val="left"/>
        <w:rPr>
          <w:sz w:val="36"/>
          <w:szCs w:val="36"/>
        </w:rPr>
      </w:pPr>
    </w:p>
    <w:p>
      <w:pPr>
        <w:ind w:firstLine="360" w:firstLineChars="100"/>
        <w:jc w:val="left"/>
        <w:rPr>
          <w:sz w:val="36"/>
          <w:szCs w:val="36"/>
        </w:rPr>
      </w:pPr>
      <w:r>
        <w:rPr>
          <w:rFonts w:hint="eastAsia"/>
          <w:sz w:val="36"/>
          <w:szCs w:val="36"/>
        </w:rPr>
        <w:t xml:space="preserve"> </w:t>
      </w:r>
    </w:p>
    <w:p>
      <w:pPr>
        <w:ind w:firstLine="360" w:firstLineChars="100"/>
        <w:jc w:val="left"/>
        <w:rPr>
          <w:sz w:val="36"/>
          <w:szCs w:val="36"/>
        </w:rPr>
      </w:pPr>
    </w:p>
    <w:p>
      <w:pPr>
        <w:ind w:firstLine="360" w:firstLineChars="100"/>
        <w:jc w:val="left"/>
        <w:rPr>
          <w:sz w:val="36"/>
          <w:szCs w:val="36"/>
        </w:rPr>
      </w:pPr>
    </w:p>
    <w:p>
      <w:pPr>
        <w:ind w:firstLine="320" w:firstLineChars="100"/>
        <w:jc w:val="left"/>
        <w:rPr>
          <w:rFonts w:ascii="仿宋" w:hAnsi="仿宋" w:eastAsia="仿宋"/>
          <w:sz w:val="32"/>
          <w:szCs w:val="32"/>
        </w:rPr>
      </w:pPr>
    </w:p>
    <w:p>
      <w:pPr>
        <w:ind w:firstLine="320" w:firstLineChars="100"/>
        <w:jc w:val="left"/>
        <w:rPr>
          <w:rFonts w:ascii="仿宋" w:hAnsi="仿宋" w:eastAsia="仿宋"/>
          <w:sz w:val="32"/>
          <w:szCs w:val="32"/>
        </w:rPr>
      </w:pPr>
      <w:r>
        <w:rPr>
          <w:rFonts w:hint="eastAsia" w:ascii="仿宋" w:hAnsi="仿宋" w:eastAsia="仿宋"/>
          <w:sz w:val="32"/>
          <w:szCs w:val="32"/>
        </w:rPr>
        <w:t>（此页无正文）</w:t>
      </w:r>
    </w:p>
    <w:p>
      <w:pPr>
        <w:jc w:val="left"/>
        <w:rPr>
          <w:rFonts w:ascii="仿宋" w:hAnsi="仿宋" w:eastAsia="仿宋" w:cs="仿宋"/>
          <w:w w:val="80"/>
          <w:sz w:val="32"/>
          <w:szCs w:val="32"/>
        </w:rPr>
      </w:pPr>
    </w:p>
    <w:p>
      <w:pPr>
        <w:jc w:val="left"/>
        <w:rPr>
          <w:rFonts w:ascii="仿宋" w:hAnsi="仿宋" w:eastAsia="仿宋" w:cs="仿宋"/>
          <w:w w:val="80"/>
          <w:sz w:val="32"/>
          <w:szCs w:val="32"/>
        </w:rPr>
      </w:pPr>
    </w:p>
    <w:p>
      <w:pPr>
        <w:spacing w:line="560" w:lineRule="exact"/>
        <w:jc w:val="left"/>
        <w:rPr>
          <w:rFonts w:ascii="仿宋" w:hAnsi="仿宋" w:eastAsia="仿宋" w:cs="仿宋"/>
          <w:w w:val="80"/>
          <w:sz w:val="32"/>
          <w:szCs w:val="32"/>
        </w:rPr>
      </w:pPr>
      <w:r>
        <w:rPr>
          <w:rFonts w:hint="eastAsia" w:ascii="仿宋" w:hAnsi="仿宋" w:eastAsia="仿宋" w:cs="仿宋"/>
          <w:w w:val="80"/>
          <w:sz w:val="32"/>
          <w:szCs w:val="32"/>
        </w:rPr>
        <w:t>淄博市临淄区民政局                      淄博市临淄区人民法院</w:t>
      </w:r>
    </w:p>
    <w:p>
      <w:pPr>
        <w:spacing w:line="560" w:lineRule="exact"/>
        <w:ind w:firstLine="320" w:firstLineChars="100"/>
        <w:jc w:val="left"/>
        <w:rPr>
          <w:rFonts w:ascii="仿宋" w:hAnsi="仿宋" w:eastAsia="仿宋" w:cs="仿宋"/>
          <w:sz w:val="32"/>
          <w:szCs w:val="32"/>
        </w:rPr>
      </w:pPr>
    </w:p>
    <w:p>
      <w:pPr>
        <w:spacing w:line="560" w:lineRule="exact"/>
        <w:ind w:firstLine="320" w:firstLineChars="100"/>
        <w:jc w:val="left"/>
        <w:rPr>
          <w:rFonts w:ascii="仿宋" w:hAnsi="仿宋" w:eastAsia="仿宋" w:cs="仿宋"/>
          <w:sz w:val="32"/>
          <w:szCs w:val="32"/>
        </w:rPr>
      </w:pPr>
    </w:p>
    <w:p>
      <w:pPr>
        <w:spacing w:line="560" w:lineRule="exact"/>
        <w:jc w:val="left"/>
        <w:rPr>
          <w:rFonts w:ascii="仿宋" w:hAnsi="仿宋" w:eastAsia="仿宋" w:cs="仿宋"/>
          <w:w w:val="80"/>
          <w:sz w:val="32"/>
          <w:szCs w:val="32"/>
        </w:rPr>
      </w:pPr>
      <w:r>
        <w:rPr>
          <w:rFonts w:hint="eastAsia" w:ascii="仿宋" w:hAnsi="仿宋" w:eastAsia="仿宋" w:cs="仿宋"/>
          <w:w w:val="80"/>
          <w:sz w:val="32"/>
          <w:szCs w:val="32"/>
        </w:rPr>
        <w:t>淄博市临淄区发展和改革局                 淄博市临淄区司法局</w:t>
      </w:r>
    </w:p>
    <w:p>
      <w:pPr>
        <w:spacing w:line="560" w:lineRule="exact"/>
        <w:ind w:firstLine="320" w:firstLineChars="100"/>
        <w:jc w:val="left"/>
        <w:rPr>
          <w:rFonts w:ascii="仿宋" w:hAnsi="仿宋" w:eastAsia="仿宋" w:cs="仿宋"/>
          <w:sz w:val="32"/>
          <w:szCs w:val="32"/>
        </w:rPr>
      </w:pPr>
    </w:p>
    <w:p>
      <w:pPr>
        <w:spacing w:line="560" w:lineRule="exact"/>
        <w:ind w:firstLine="320" w:firstLineChars="100"/>
        <w:jc w:val="left"/>
        <w:rPr>
          <w:rFonts w:ascii="仿宋" w:hAnsi="仿宋" w:eastAsia="仿宋" w:cs="仿宋"/>
          <w:sz w:val="32"/>
          <w:szCs w:val="32"/>
        </w:rPr>
      </w:pPr>
      <w:r>
        <w:rPr>
          <w:rFonts w:hint="eastAsia" w:ascii="仿宋" w:hAnsi="仿宋" w:eastAsia="仿宋" w:cs="仿宋"/>
          <w:sz w:val="32"/>
          <w:szCs w:val="32"/>
        </w:rPr>
        <w:t xml:space="preserve"> </w:t>
      </w:r>
    </w:p>
    <w:p>
      <w:pPr>
        <w:spacing w:line="560" w:lineRule="exact"/>
        <w:jc w:val="left"/>
        <w:rPr>
          <w:rFonts w:ascii="仿宋" w:hAnsi="仿宋" w:eastAsia="仿宋" w:cs="仿宋"/>
          <w:w w:val="80"/>
          <w:sz w:val="32"/>
          <w:szCs w:val="32"/>
        </w:rPr>
      </w:pPr>
      <w:r>
        <w:rPr>
          <w:rFonts w:hint="eastAsia" w:ascii="仿宋" w:hAnsi="仿宋" w:eastAsia="仿宋" w:cs="仿宋"/>
          <w:w w:val="80"/>
          <w:sz w:val="32"/>
          <w:szCs w:val="32"/>
        </w:rPr>
        <w:t>淄博市临淄区财政局                       淄博市临淄区自然资源局</w:t>
      </w:r>
    </w:p>
    <w:p>
      <w:pPr>
        <w:spacing w:line="560" w:lineRule="exact"/>
        <w:jc w:val="left"/>
        <w:rPr>
          <w:rFonts w:ascii="仿宋" w:hAnsi="仿宋" w:eastAsia="仿宋" w:cs="仿宋"/>
          <w:w w:val="80"/>
          <w:sz w:val="32"/>
          <w:szCs w:val="32"/>
        </w:rPr>
      </w:pPr>
    </w:p>
    <w:p>
      <w:pPr>
        <w:spacing w:line="560" w:lineRule="exact"/>
        <w:jc w:val="left"/>
        <w:rPr>
          <w:rFonts w:ascii="仿宋" w:hAnsi="仿宋" w:eastAsia="仿宋" w:cs="仿宋"/>
          <w:sz w:val="32"/>
          <w:szCs w:val="32"/>
        </w:rPr>
      </w:pPr>
    </w:p>
    <w:p>
      <w:pPr>
        <w:spacing w:line="560" w:lineRule="exact"/>
        <w:jc w:val="left"/>
        <w:rPr>
          <w:rFonts w:ascii="仿宋" w:hAnsi="仿宋" w:eastAsia="仿宋" w:cs="仿宋"/>
          <w:sz w:val="32"/>
          <w:szCs w:val="32"/>
        </w:rPr>
      </w:pPr>
      <w:r>
        <w:rPr>
          <w:rFonts w:hint="eastAsia" w:ascii="仿宋" w:hAnsi="仿宋" w:eastAsia="仿宋" w:cs="仿宋"/>
          <w:w w:val="80"/>
          <w:sz w:val="32"/>
          <w:szCs w:val="32"/>
        </w:rPr>
        <w:t xml:space="preserve">淄博市临淄区住房和城乡建设局  </w:t>
      </w:r>
      <w:r>
        <w:rPr>
          <w:rFonts w:hint="eastAsia" w:ascii="仿宋" w:hAnsi="仿宋" w:eastAsia="仿宋" w:cs="仿宋"/>
          <w:sz w:val="32"/>
          <w:szCs w:val="32"/>
        </w:rPr>
        <w:t xml:space="preserve">        </w:t>
      </w:r>
      <w:r>
        <w:rPr>
          <w:rFonts w:hint="eastAsia" w:ascii="仿宋" w:hAnsi="仿宋" w:eastAsia="仿宋" w:cs="仿宋"/>
          <w:w w:val="75"/>
          <w:sz w:val="32"/>
          <w:szCs w:val="32"/>
        </w:rPr>
        <w:t>淄博市临淄区交通运输局</w:t>
      </w:r>
    </w:p>
    <w:p>
      <w:pPr>
        <w:spacing w:line="560" w:lineRule="exact"/>
        <w:ind w:firstLine="320" w:firstLineChars="100"/>
        <w:jc w:val="left"/>
        <w:rPr>
          <w:rFonts w:ascii="仿宋" w:hAnsi="仿宋" w:eastAsia="仿宋" w:cs="仿宋"/>
          <w:sz w:val="32"/>
          <w:szCs w:val="32"/>
        </w:rPr>
      </w:pPr>
    </w:p>
    <w:p>
      <w:pPr>
        <w:spacing w:line="560" w:lineRule="exact"/>
        <w:jc w:val="left"/>
        <w:rPr>
          <w:rFonts w:ascii="仿宋" w:hAnsi="仿宋" w:eastAsia="仿宋" w:cs="仿宋"/>
          <w:w w:val="80"/>
          <w:sz w:val="32"/>
          <w:szCs w:val="32"/>
        </w:rPr>
      </w:pPr>
    </w:p>
    <w:p>
      <w:pPr>
        <w:spacing w:line="560" w:lineRule="exact"/>
        <w:jc w:val="left"/>
        <w:rPr>
          <w:rFonts w:ascii="仿宋" w:hAnsi="仿宋" w:eastAsia="仿宋" w:cs="仿宋"/>
          <w:w w:val="80"/>
          <w:sz w:val="32"/>
          <w:szCs w:val="32"/>
        </w:rPr>
      </w:pPr>
      <w:r>
        <w:rPr>
          <w:rFonts w:hint="eastAsia" w:ascii="仿宋" w:hAnsi="仿宋" w:eastAsia="仿宋" w:cs="仿宋"/>
          <w:w w:val="80"/>
          <w:sz w:val="32"/>
          <w:szCs w:val="32"/>
        </w:rPr>
        <w:t>淄博市临淄区卫生健康局                  淄博市临淄区教育和体育局</w:t>
      </w:r>
    </w:p>
    <w:p>
      <w:pPr>
        <w:spacing w:line="560" w:lineRule="exact"/>
        <w:ind w:firstLine="320" w:firstLineChars="100"/>
        <w:jc w:val="left"/>
        <w:rPr>
          <w:rFonts w:ascii="仿宋" w:hAnsi="仿宋" w:eastAsia="仿宋" w:cs="仿宋"/>
          <w:sz w:val="32"/>
          <w:szCs w:val="32"/>
        </w:rPr>
      </w:pPr>
    </w:p>
    <w:p>
      <w:pPr>
        <w:spacing w:line="560" w:lineRule="exact"/>
        <w:ind w:firstLine="320" w:firstLineChars="100"/>
        <w:jc w:val="left"/>
        <w:rPr>
          <w:rFonts w:ascii="仿宋" w:hAnsi="仿宋" w:eastAsia="仿宋" w:cs="仿宋"/>
          <w:sz w:val="32"/>
          <w:szCs w:val="32"/>
        </w:rPr>
      </w:pPr>
    </w:p>
    <w:p>
      <w:pPr>
        <w:spacing w:line="560" w:lineRule="exact"/>
        <w:jc w:val="left"/>
        <w:rPr>
          <w:rFonts w:ascii="仿宋" w:hAnsi="仿宋" w:eastAsia="仿宋" w:cs="仿宋"/>
          <w:w w:val="75"/>
          <w:sz w:val="32"/>
          <w:szCs w:val="32"/>
        </w:rPr>
      </w:pPr>
      <w:r>
        <w:rPr>
          <w:rFonts w:hint="eastAsia" w:ascii="仿宋" w:hAnsi="仿宋" w:eastAsia="仿宋" w:cs="仿宋"/>
          <w:w w:val="75"/>
          <w:sz w:val="32"/>
          <w:szCs w:val="32"/>
        </w:rPr>
        <w:t>国家税务总局淄博市临淄区税务局</w:t>
      </w:r>
      <w:r>
        <w:rPr>
          <w:rFonts w:hint="eastAsia" w:ascii="仿宋" w:hAnsi="仿宋" w:eastAsia="仿宋" w:cs="仿宋"/>
          <w:w w:val="80"/>
          <w:sz w:val="32"/>
          <w:szCs w:val="32"/>
        </w:rPr>
        <w:t xml:space="preserve">           </w:t>
      </w:r>
      <w:r>
        <w:rPr>
          <w:rFonts w:hint="eastAsia" w:ascii="仿宋" w:hAnsi="仿宋" w:eastAsia="仿宋" w:cs="仿宋"/>
          <w:w w:val="90"/>
          <w:sz w:val="32"/>
          <w:szCs w:val="32"/>
        </w:rPr>
        <w:t>临淄区综合行政执法局</w:t>
      </w:r>
    </w:p>
    <w:p>
      <w:pPr>
        <w:spacing w:line="560" w:lineRule="exact"/>
        <w:ind w:firstLine="320" w:firstLineChars="100"/>
        <w:jc w:val="left"/>
        <w:rPr>
          <w:rFonts w:ascii="仿宋" w:hAnsi="仿宋" w:eastAsia="仿宋" w:cs="仿宋"/>
          <w:sz w:val="32"/>
          <w:szCs w:val="32"/>
        </w:rPr>
      </w:pPr>
    </w:p>
    <w:p>
      <w:pPr>
        <w:spacing w:line="560" w:lineRule="exact"/>
        <w:ind w:firstLine="320" w:firstLineChars="100"/>
        <w:jc w:val="left"/>
        <w:rPr>
          <w:rFonts w:ascii="仿宋" w:hAnsi="仿宋" w:eastAsia="仿宋" w:cs="仿宋"/>
          <w:sz w:val="32"/>
          <w:szCs w:val="32"/>
        </w:rPr>
      </w:pPr>
    </w:p>
    <w:p>
      <w:pPr>
        <w:spacing w:line="560" w:lineRule="exact"/>
        <w:ind w:firstLine="320" w:firstLineChars="100"/>
        <w:jc w:val="left"/>
        <w:rPr>
          <w:sz w:val="32"/>
          <w:szCs w:val="32"/>
        </w:rPr>
      </w:pPr>
      <w:r>
        <w:rPr>
          <w:rFonts w:hint="eastAsia" w:ascii="仿宋" w:hAnsi="仿宋" w:eastAsia="仿宋" w:cs="仿宋"/>
          <w:sz w:val="32"/>
          <w:szCs w:val="32"/>
        </w:rPr>
        <w:t xml:space="preserve">                                  2020年</w:t>
      </w:r>
      <w:r>
        <w:rPr>
          <w:rFonts w:hint="eastAsia" w:ascii="仿宋" w:hAnsi="仿宋" w:eastAsia="仿宋" w:cs="仿宋"/>
          <w:sz w:val="32"/>
          <w:szCs w:val="32"/>
          <w:lang w:val="en-US" w:eastAsia="zh-CN"/>
        </w:rPr>
        <w:t>6</w:t>
      </w:r>
      <w:r>
        <w:rPr>
          <w:rFonts w:hint="eastAsia" w:ascii="仿宋" w:hAnsi="仿宋" w:eastAsia="仿宋" w:cs="仿宋"/>
          <w:sz w:val="32"/>
          <w:szCs w:val="32"/>
        </w:rPr>
        <w:t>月</w:t>
      </w:r>
      <w:r>
        <w:rPr>
          <w:rFonts w:hint="eastAsia" w:ascii="仿宋" w:hAnsi="仿宋" w:eastAsia="仿宋" w:cs="仿宋"/>
          <w:sz w:val="32"/>
          <w:szCs w:val="32"/>
          <w:lang w:val="en-US" w:eastAsia="zh-CN"/>
        </w:rPr>
        <w:t>23</w:t>
      </w:r>
      <w:bookmarkStart w:id="0" w:name="_GoBack"/>
      <w:bookmarkEnd w:id="0"/>
      <w:r>
        <w:rPr>
          <w:rFonts w:hint="eastAsia" w:ascii="仿宋" w:hAnsi="仿宋" w:eastAsia="仿宋" w:cs="仿宋"/>
          <w:sz w:val="32"/>
          <w:szCs w:val="32"/>
        </w:rPr>
        <w:t>日</w:t>
      </w:r>
    </w:p>
    <w:p>
      <w:pPr>
        <w:widowControl/>
        <w:ind w:firstLine="420" w:firstLineChars="200"/>
        <w:jc w:val="left"/>
        <w:sectPr>
          <w:pgSz w:w="11906" w:h="16838"/>
          <w:pgMar w:top="1440" w:right="1800" w:bottom="1440" w:left="1800" w:header="851" w:footer="992" w:gutter="0"/>
          <w:cols w:space="425"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w:t>
      </w:r>
    </w:p>
    <w:p>
      <w:pPr>
        <w:jc w:val="center"/>
        <w:rPr>
          <w:rFonts w:ascii="方正小标宋简体" w:hAnsi="方正小标宋_GBK" w:eastAsia="方正小标宋简体" w:cs="方正小标宋_GBK"/>
          <w:color w:val="000000"/>
          <w:kern w:val="0"/>
          <w:sz w:val="44"/>
          <w:szCs w:val="44"/>
        </w:rPr>
      </w:pPr>
      <w:r>
        <w:rPr>
          <w:rFonts w:hint="eastAsia" w:ascii="方正小标宋简体" w:hAnsi="方正小标宋_GBK" w:eastAsia="方正小标宋简体" w:cs="方正小标宋_GBK"/>
          <w:color w:val="000000"/>
          <w:kern w:val="0"/>
          <w:sz w:val="44"/>
          <w:szCs w:val="44"/>
        </w:rPr>
        <w:t>临淄区基本养老公共服务清单</w:t>
      </w:r>
    </w:p>
    <w:tbl>
      <w:tblPr>
        <w:tblStyle w:val="5"/>
        <w:tblW w:w="14375" w:type="dxa"/>
        <w:tblInd w:w="-256" w:type="dxa"/>
        <w:tblLayout w:type="fixed"/>
        <w:tblCellMar>
          <w:top w:w="0" w:type="dxa"/>
          <w:left w:w="0" w:type="dxa"/>
          <w:bottom w:w="0" w:type="dxa"/>
          <w:right w:w="0" w:type="dxa"/>
        </w:tblCellMar>
      </w:tblPr>
      <w:tblGrid>
        <w:gridCol w:w="735"/>
        <w:gridCol w:w="926"/>
        <w:gridCol w:w="1035"/>
        <w:gridCol w:w="1751"/>
        <w:gridCol w:w="4399"/>
        <w:gridCol w:w="2168"/>
        <w:gridCol w:w="3361"/>
      </w:tblGrid>
      <w:tr>
        <w:tblPrEx>
          <w:tblCellMar>
            <w:top w:w="0" w:type="dxa"/>
            <w:left w:w="0" w:type="dxa"/>
            <w:bottom w:w="0" w:type="dxa"/>
            <w:right w:w="0" w:type="dxa"/>
          </w:tblCellMar>
        </w:tblPrEx>
        <w:trPr>
          <w:trHeight w:val="720" w:hRule="atLeast"/>
          <w:tblHeader/>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类别</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服务项目</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服务对象</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服务内容及标准</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责任主体</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政策依据</w:t>
            </w:r>
          </w:p>
        </w:tc>
      </w:tr>
      <w:tr>
        <w:tblPrEx>
          <w:tblCellMar>
            <w:top w:w="0" w:type="dxa"/>
            <w:left w:w="0" w:type="dxa"/>
            <w:bottom w:w="0" w:type="dxa"/>
            <w:right w:w="0" w:type="dxa"/>
          </w:tblCellMar>
        </w:tblPrEx>
        <w:trPr>
          <w:trHeight w:val="1950"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r>
              <w:rPr>
                <w:rFonts w:ascii="仿宋_GB2312" w:hAnsi="Calibri Light" w:eastAsia="仿宋_GB2312"/>
                <w:sz w:val="24"/>
              </w:rPr>
              <w:t>1</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特困老年人兜底保障</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特困老年人供养标准</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无劳动能力、无生活来源、无法定赡养抚养义务人，或其法定赡养抚养义务人无履行义务能力的60岁以上老年人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特困人员救助供养标准分为基本生活标准和照料护理标准，根据特困人员基本生活需求和照料护理需求合理确定。</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区民政局、区财政局，各镇、街道</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《山东省社会救助办法》、《淄博市人民政府关于贯彻落实鲁政发〔</w:t>
            </w:r>
            <w:r>
              <w:rPr>
                <w:rFonts w:ascii="仿宋_GB2312" w:hAnsi="仿宋_GB2312" w:eastAsia="仿宋_GB2312" w:cs="仿宋_GB2312"/>
                <w:color w:val="000000"/>
                <w:kern w:val="0"/>
                <w:sz w:val="24"/>
              </w:rPr>
              <w:t>2016</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26</w:t>
            </w:r>
            <w:r>
              <w:rPr>
                <w:rFonts w:hint="eastAsia" w:ascii="仿宋_GB2312" w:hAnsi="仿宋_GB2312" w:eastAsia="仿宋_GB2312" w:cs="仿宋_GB2312"/>
                <w:color w:val="000000"/>
                <w:kern w:val="0"/>
                <w:sz w:val="24"/>
              </w:rPr>
              <w:t>号文件进一步</w:t>
            </w:r>
            <w:r>
              <w:rPr>
                <w:rFonts w:ascii="仿宋_GB2312" w:hAnsi="仿宋_GB2312" w:eastAsia="仿宋_GB2312" w:cs="仿宋_GB2312"/>
                <w:color w:val="000000"/>
                <w:kern w:val="0"/>
                <w:sz w:val="24"/>
              </w:rPr>
              <w:t xml:space="preserve"> </w:t>
            </w:r>
          </w:p>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健全特困人员救助供养制度的实施意见》（淄政发〔</w:t>
            </w:r>
            <w:r>
              <w:rPr>
                <w:rFonts w:ascii="仿宋_GB2312" w:hAnsi="仿宋_GB2312" w:eastAsia="仿宋_GB2312" w:cs="仿宋_GB2312"/>
                <w:color w:val="000000"/>
                <w:kern w:val="0"/>
                <w:sz w:val="24"/>
              </w:rPr>
              <w:t>2017</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20</w:t>
            </w:r>
            <w:r>
              <w:rPr>
                <w:rFonts w:hint="eastAsia" w:ascii="仿宋_GB2312" w:hAnsi="仿宋_GB2312" w:eastAsia="仿宋_GB2312" w:cs="仿宋_GB2312"/>
                <w:color w:val="000000"/>
                <w:kern w:val="0"/>
                <w:sz w:val="24"/>
              </w:rPr>
              <w:t>号）、《临淄区人民政府关于进一步健全特困人员救助供养制度的实施意见》（临政发[2018]3号</w:t>
            </w:r>
          </w:p>
        </w:tc>
      </w:tr>
      <w:tr>
        <w:tblPrEx>
          <w:tblCellMar>
            <w:top w:w="0" w:type="dxa"/>
            <w:left w:w="0" w:type="dxa"/>
            <w:bottom w:w="0" w:type="dxa"/>
            <w:right w:w="0" w:type="dxa"/>
          </w:tblCellMar>
        </w:tblPrEx>
        <w:trPr>
          <w:trHeight w:val="192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ascii="仿宋_GB2312" w:hAnsi="Calibri Light" w:eastAsia="仿宋_GB2312"/>
                <w:sz w:val="24"/>
              </w:rPr>
              <w:t>3</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困难老年人养老服务</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经济困难老年人补贴</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华文宋体" w:eastAsia="仿宋_GB2312" w:cs="仿宋_GB2312"/>
                <w:color w:val="000000"/>
                <w:kern w:val="0"/>
                <w:sz w:val="24"/>
              </w:rPr>
              <w:t>6</w:t>
            </w:r>
            <w:r>
              <w:rPr>
                <w:rFonts w:ascii="仿宋_GB2312" w:hAnsi="华文宋体" w:eastAsia="仿宋_GB2312" w:cs="黑体"/>
                <w:sz w:val="24"/>
              </w:rPr>
              <w:t>0-9</w:t>
            </w:r>
            <w:r>
              <w:rPr>
                <w:rFonts w:ascii="仿宋_GB2312" w:hAnsi="黑体" w:eastAsia="仿宋_GB2312" w:cs="黑体"/>
                <w:sz w:val="24"/>
              </w:rPr>
              <w:t>9</w:t>
            </w:r>
            <w:r>
              <w:rPr>
                <w:rFonts w:hint="eastAsia" w:ascii="仿宋_GB2312" w:hAnsi="仿宋_GB2312" w:eastAsia="仿宋_GB2312" w:cs="仿宋_GB2312"/>
                <w:color w:val="000000"/>
                <w:kern w:val="0"/>
                <w:sz w:val="24"/>
              </w:rPr>
              <w:t>周岁低保老年人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对</w:t>
            </w:r>
            <w:r>
              <w:rPr>
                <w:rFonts w:ascii="仿宋_GB2312" w:hAnsi="黑体" w:eastAsia="仿宋_GB2312" w:cs="黑体"/>
                <w:sz w:val="24"/>
              </w:rPr>
              <w:t>60-79</w:t>
            </w:r>
            <w:r>
              <w:rPr>
                <w:rFonts w:hint="eastAsia" w:ascii="仿宋_GB2312" w:hAnsi="黑体" w:eastAsia="仿宋_GB2312" w:cs="黑体"/>
                <w:sz w:val="24"/>
              </w:rPr>
              <w:t>岁、</w:t>
            </w:r>
            <w:r>
              <w:rPr>
                <w:rFonts w:ascii="仿宋_GB2312" w:hAnsi="黑体" w:eastAsia="仿宋_GB2312" w:cs="黑体"/>
                <w:sz w:val="24"/>
              </w:rPr>
              <w:t>80-89</w:t>
            </w:r>
            <w:r>
              <w:rPr>
                <w:rFonts w:hint="eastAsia" w:ascii="仿宋_GB2312" w:hAnsi="黑体" w:eastAsia="仿宋_GB2312" w:cs="黑体"/>
                <w:sz w:val="24"/>
              </w:rPr>
              <w:t>岁、</w:t>
            </w:r>
            <w:r>
              <w:rPr>
                <w:rFonts w:ascii="仿宋_GB2312" w:hAnsi="黑体" w:eastAsia="仿宋_GB2312" w:cs="黑体"/>
                <w:sz w:val="24"/>
              </w:rPr>
              <w:t>90-99</w:t>
            </w:r>
            <w:r>
              <w:rPr>
                <w:rFonts w:hint="eastAsia" w:ascii="仿宋_GB2312" w:hAnsi="黑体" w:eastAsia="仿宋_GB2312" w:cs="黑体"/>
                <w:sz w:val="24"/>
              </w:rPr>
              <w:t>周岁低保老年人每人每月分别补助</w:t>
            </w:r>
            <w:r>
              <w:rPr>
                <w:rFonts w:ascii="仿宋_GB2312" w:hAnsi="黑体" w:eastAsia="仿宋_GB2312" w:cs="黑体"/>
                <w:sz w:val="24"/>
              </w:rPr>
              <w:t>80</w:t>
            </w:r>
            <w:r>
              <w:rPr>
                <w:rFonts w:hint="eastAsia" w:ascii="仿宋_GB2312" w:hAnsi="黑体" w:eastAsia="仿宋_GB2312" w:cs="黑体"/>
                <w:sz w:val="24"/>
              </w:rPr>
              <w:t>元、</w:t>
            </w:r>
            <w:r>
              <w:rPr>
                <w:rFonts w:ascii="仿宋_GB2312" w:hAnsi="黑体" w:eastAsia="仿宋_GB2312" w:cs="黑体"/>
                <w:sz w:val="24"/>
              </w:rPr>
              <w:t>100</w:t>
            </w:r>
            <w:r>
              <w:rPr>
                <w:rFonts w:hint="eastAsia" w:ascii="仿宋_GB2312" w:hAnsi="黑体" w:eastAsia="仿宋_GB2312" w:cs="黑体"/>
                <w:sz w:val="24"/>
              </w:rPr>
              <w:t>元、</w:t>
            </w:r>
            <w:r>
              <w:rPr>
                <w:rFonts w:ascii="仿宋_GB2312" w:hAnsi="黑体" w:eastAsia="仿宋_GB2312" w:cs="黑体"/>
                <w:sz w:val="24"/>
              </w:rPr>
              <w:t>200</w:t>
            </w:r>
            <w:r>
              <w:rPr>
                <w:rFonts w:hint="eastAsia" w:ascii="仿宋_GB2312" w:hAnsi="黑体" w:eastAsia="仿宋_GB2312" w:cs="黑体"/>
                <w:sz w:val="24"/>
              </w:rPr>
              <w:t>元；在此基础上，对生活长期不能自理、能力等级为</w:t>
            </w:r>
            <w:r>
              <w:rPr>
                <w:rFonts w:ascii="仿宋_GB2312" w:hAnsi="黑体" w:eastAsia="仿宋_GB2312" w:cs="黑体"/>
                <w:sz w:val="24"/>
              </w:rPr>
              <w:t>2-3</w:t>
            </w:r>
            <w:r>
              <w:rPr>
                <w:rFonts w:hint="eastAsia" w:ascii="仿宋_GB2312" w:hAnsi="黑体" w:eastAsia="仿宋_GB2312" w:cs="黑体"/>
                <w:sz w:val="24"/>
              </w:rPr>
              <w:t>的低保老年人，每人每月增发</w:t>
            </w:r>
            <w:r>
              <w:rPr>
                <w:rFonts w:ascii="仿宋_GB2312" w:hAnsi="黑体" w:eastAsia="仿宋_GB2312" w:cs="黑体"/>
                <w:sz w:val="24"/>
              </w:rPr>
              <w:t>80</w:t>
            </w:r>
            <w:r>
              <w:rPr>
                <w:rFonts w:hint="eastAsia" w:ascii="仿宋_GB2312" w:hAnsi="黑体" w:eastAsia="仿宋_GB2312" w:cs="黑体"/>
                <w:sz w:val="24"/>
              </w:rPr>
              <w:t>元。</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《淄博市民政局</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淄博市财政局关于转发</w:t>
            </w:r>
            <w:r>
              <w:rPr>
                <w:rFonts w:ascii="仿宋_GB2312" w:hAnsi="仿宋_GB2312" w:eastAsia="仿宋_GB2312" w:cs="仿宋_GB2312"/>
                <w:color w:val="000000"/>
                <w:kern w:val="0"/>
                <w:sz w:val="24"/>
              </w:rPr>
              <w:t>&lt;</w:t>
            </w:r>
            <w:r>
              <w:rPr>
                <w:rFonts w:hint="eastAsia" w:ascii="仿宋_GB2312" w:hAnsi="仿宋_GB2312" w:eastAsia="仿宋_GB2312" w:cs="仿宋_GB2312"/>
                <w:color w:val="000000"/>
                <w:kern w:val="0"/>
                <w:sz w:val="24"/>
              </w:rPr>
              <w:t>关于完善经济困难老年人补贴制度的通知</w:t>
            </w:r>
            <w:r>
              <w:rPr>
                <w:rFonts w:ascii="仿宋_GB2312" w:hAnsi="仿宋_GB2312" w:eastAsia="仿宋_GB2312" w:cs="仿宋_GB2312"/>
                <w:color w:val="000000"/>
                <w:kern w:val="0"/>
                <w:sz w:val="24"/>
              </w:rPr>
              <w:t>&gt;</w:t>
            </w:r>
            <w:r>
              <w:rPr>
                <w:rFonts w:hint="eastAsia" w:ascii="仿宋_GB2312" w:hAnsi="仿宋_GB2312" w:eastAsia="仿宋_GB2312" w:cs="仿宋_GB2312"/>
                <w:color w:val="000000"/>
                <w:kern w:val="0"/>
                <w:sz w:val="24"/>
              </w:rPr>
              <w:t>的通知》</w:t>
            </w:r>
            <w:r>
              <w:rPr>
                <w:rFonts w:ascii="仿宋_GB2312" w:hAnsi="仿宋_GB2312" w:eastAsia="仿宋_GB2312" w:cs="仿宋_GB2312"/>
                <w:color w:val="000000"/>
                <w:kern w:val="0"/>
                <w:sz w:val="24"/>
              </w:rPr>
              <w:t>(</w:t>
            </w:r>
            <w:r>
              <w:rPr>
                <w:rFonts w:hint="eastAsia" w:ascii="仿宋_GB2312" w:hAnsi="仿宋_GB2312" w:eastAsia="仿宋_GB2312" w:cs="仿宋_GB2312"/>
                <w:color w:val="000000"/>
                <w:kern w:val="0"/>
                <w:sz w:val="24"/>
              </w:rPr>
              <w:t>淄民</w:t>
            </w:r>
            <w:r>
              <w:rPr>
                <w:rFonts w:hint="eastAsia" w:ascii="仿宋_GB2312" w:hAnsi="黑体" w:eastAsia="仿宋_GB2312" w:cs="黑体"/>
                <w:sz w:val="24"/>
              </w:rPr>
              <w:t>〔</w:t>
            </w:r>
            <w:r>
              <w:rPr>
                <w:rFonts w:ascii="仿宋_GB2312" w:hAnsi="黑体" w:eastAsia="仿宋_GB2312" w:cs="黑体"/>
                <w:sz w:val="24"/>
              </w:rPr>
              <w:t>2018</w:t>
            </w:r>
            <w:r>
              <w:rPr>
                <w:rFonts w:hint="eastAsia" w:ascii="仿宋_GB2312" w:hAnsi="黑体" w:eastAsia="仿宋_GB2312" w:cs="黑体"/>
                <w:sz w:val="24"/>
              </w:rPr>
              <w:t>〕</w:t>
            </w:r>
            <w:r>
              <w:rPr>
                <w:rFonts w:ascii="仿宋_GB2312" w:hAnsi="黑体" w:eastAsia="仿宋_GB2312" w:cs="黑体"/>
                <w:sz w:val="24"/>
              </w:rPr>
              <w:t>136</w:t>
            </w:r>
            <w:r>
              <w:rPr>
                <w:rFonts w:hint="eastAsia" w:ascii="仿宋_GB2312" w:hAnsi="黑体" w:eastAsia="仿宋_GB2312" w:cs="黑体"/>
                <w:sz w:val="24"/>
              </w:rPr>
              <w:t>号</w:t>
            </w:r>
            <w:r>
              <w:rPr>
                <w:rFonts w:ascii="仿宋_GB2312" w:hAnsi="黑体" w:eastAsia="仿宋_GB2312" w:cs="黑体"/>
                <w:sz w:val="24"/>
              </w:rPr>
              <w:t>)</w:t>
            </w:r>
          </w:p>
        </w:tc>
      </w:tr>
      <w:tr>
        <w:tblPrEx>
          <w:tblCellMar>
            <w:top w:w="0" w:type="dxa"/>
            <w:left w:w="0" w:type="dxa"/>
            <w:bottom w:w="0" w:type="dxa"/>
            <w:right w:w="0" w:type="dxa"/>
          </w:tblCellMar>
        </w:tblPrEx>
        <w:trPr>
          <w:trHeight w:val="103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r>
              <w:rPr>
                <w:rFonts w:ascii="仿宋_GB2312" w:hAnsi="Calibri Light" w:eastAsia="仿宋_GB2312"/>
                <w:sz w:val="24"/>
              </w:rPr>
              <w:t>4</w:t>
            </w:r>
          </w:p>
        </w:tc>
        <w:tc>
          <w:tcPr>
            <w:tcW w:w="92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困难家庭失能老年人居家服务</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FF"/>
                <w:sz w:val="24"/>
              </w:rPr>
            </w:pPr>
            <w:r>
              <w:rPr>
                <w:rFonts w:hint="eastAsia" w:ascii="仿宋_GB2312" w:hAnsi="仿宋_GB2312" w:eastAsia="仿宋_GB2312" w:cs="仿宋_GB2312"/>
                <w:kern w:val="0"/>
                <w:sz w:val="24"/>
              </w:rPr>
              <w:t>为困难家庭失能老年人购买居家养老服务</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FF"/>
                <w:sz w:val="24"/>
              </w:rPr>
            </w:pPr>
            <w:r>
              <w:rPr>
                <w:rFonts w:hint="eastAsia" w:ascii="仿宋_GB2312" w:hAnsi="仿宋_GB2312" w:eastAsia="仿宋_GB2312" w:cs="仿宋_GB2312"/>
                <w:sz w:val="24"/>
              </w:rPr>
              <w:t>特殊困难家庭人员中失能老年人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城市低保家庭、特困供养对象中的重度失能人员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60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900</w:t>
            </w:r>
            <w:r>
              <w:rPr>
                <w:rFonts w:hint="eastAsia" w:ascii="仿宋_GB2312" w:hAnsi="仿宋_GB2312" w:eastAsia="仿宋_GB2312" w:cs="仿宋_GB2312"/>
                <w:sz w:val="24"/>
              </w:rPr>
              <w:t>元</w:t>
            </w:r>
            <w:r>
              <w:rPr>
                <w:rFonts w:ascii="仿宋_GB2312" w:hAnsi="仿宋_GB2312" w:eastAsia="仿宋_GB2312" w:cs="仿宋_GB2312"/>
                <w:sz w:val="24"/>
              </w:rPr>
              <w:t>;</w:t>
            </w:r>
            <w:r>
              <w:rPr>
                <w:rFonts w:hint="eastAsia" w:ascii="仿宋_GB2312" w:hAnsi="仿宋_GB2312" w:eastAsia="仿宋_GB2312" w:cs="仿宋_GB2312"/>
                <w:sz w:val="24"/>
              </w:rPr>
              <w:t>城市低保家庭、特困供养对象中的中度失能人员以及城市低保边缘家庭中的重度失能人员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45</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675</w:t>
            </w:r>
            <w:r>
              <w:rPr>
                <w:rFonts w:hint="eastAsia" w:ascii="仿宋_GB2312" w:hAnsi="仿宋_GB2312" w:eastAsia="仿宋_GB2312" w:cs="仿宋_GB2312"/>
                <w:sz w:val="24"/>
              </w:rPr>
              <w:t>元</w:t>
            </w:r>
            <w:r>
              <w:rPr>
                <w:rFonts w:ascii="仿宋_GB2312" w:hAnsi="仿宋_GB2312" w:eastAsia="仿宋_GB2312" w:cs="仿宋_GB2312"/>
                <w:sz w:val="24"/>
              </w:rPr>
              <w:t>;</w:t>
            </w:r>
            <w:r>
              <w:rPr>
                <w:rFonts w:hint="eastAsia" w:ascii="仿宋_GB2312" w:hAnsi="仿宋_GB2312" w:eastAsia="仿宋_GB2312" w:cs="仿宋_GB2312"/>
                <w:sz w:val="24"/>
              </w:rPr>
              <w:t>城市低保家庭、特困供养对象中的轻度失能人员以及城市低保边缘家庭中的中度失能人员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30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450</w:t>
            </w:r>
            <w:r>
              <w:rPr>
                <w:rFonts w:hint="eastAsia" w:ascii="仿宋_GB2312" w:hAnsi="仿宋_GB2312" w:eastAsia="仿宋_GB2312" w:cs="仿宋_GB2312"/>
                <w:sz w:val="24"/>
              </w:rPr>
              <w:t>元</w:t>
            </w:r>
            <w:r>
              <w:rPr>
                <w:rFonts w:ascii="仿宋_GB2312" w:hAnsi="仿宋_GB2312" w:eastAsia="仿宋_GB2312" w:cs="仿宋_GB2312"/>
                <w:sz w:val="24"/>
              </w:rPr>
              <w:t xml:space="preserve">; </w:t>
            </w:r>
            <w:r>
              <w:rPr>
                <w:rFonts w:hint="eastAsia" w:ascii="仿宋_GB2312" w:hAnsi="仿宋_GB2312" w:eastAsia="仿宋_GB2312" w:cs="仿宋_GB2312"/>
                <w:sz w:val="24"/>
              </w:rPr>
              <w:t>因伤因病持续支出型困难家庭中的重度失能人员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30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450</w:t>
            </w:r>
            <w:r>
              <w:rPr>
                <w:rFonts w:hint="eastAsia" w:ascii="仿宋_GB2312" w:hAnsi="仿宋_GB2312" w:eastAsia="仿宋_GB2312" w:cs="仿宋_GB2312"/>
                <w:sz w:val="24"/>
              </w:rPr>
              <w:t>元。</w:t>
            </w:r>
          </w:p>
          <w:p>
            <w:pPr>
              <w:widowControl/>
              <w:spacing w:line="28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农村低保家庭、建档立卡贫困家庭、即时帮扶人口、特困供养对象中的重度失能人员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60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600</w:t>
            </w:r>
            <w:r>
              <w:rPr>
                <w:rFonts w:hint="eastAsia" w:ascii="仿宋_GB2312" w:hAnsi="仿宋_GB2312" w:eastAsia="仿宋_GB2312" w:cs="仿宋_GB2312"/>
                <w:sz w:val="24"/>
              </w:rPr>
              <w:t>元</w:t>
            </w:r>
            <w:r>
              <w:rPr>
                <w:rFonts w:ascii="仿宋_GB2312" w:hAnsi="仿宋_GB2312" w:eastAsia="仿宋_GB2312" w:cs="仿宋_GB2312"/>
                <w:sz w:val="24"/>
              </w:rPr>
              <w:t>;</w:t>
            </w:r>
            <w:r>
              <w:rPr>
                <w:rFonts w:hint="eastAsia" w:ascii="仿宋_GB2312" w:hAnsi="仿宋_GB2312" w:eastAsia="仿宋_GB2312" w:cs="仿宋_GB2312"/>
                <w:sz w:val="24"/>
              </w:rPr>
              <w:t>农村低保家庭、建档立卡贫困家庭、即时帮扶人口、特困供养对象中的中度失能人员以及农村低保边缘家庭中的重度失</w:t>
            </w:r>
            <w:r>
              <w:rPr>
                <w:rFonts w:ascii="仿宋_GB2312" w:hAnsi="仿宋_GB2312" w:eastAsia="仿宋_GB2312" w:cs="仿宋_GB2312"/>
                <w:sz w:val="24"/>
              </w:rPr>
              <w:t xml:space="preserve"> </w:t>
            </w:r>
            <w:r>
              <w:rPr>
                <w:rFonts w:hint="eastAsia" w:ascii="仿宋_GB2312" w:hAnsi="仿宋_GB2312" w:eastAsia="仿宋_GB2312" w:cs="仿宋_GB2312"/>
                <w:sz w:val="24"/>
              </w:rPr>
              <w:t>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45</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450</w:t>
            </w:r>
            <w:r>
              <w:rPr>
                <w:rFonts w:hint="eastAsia" w:ascii="仿宋_GB2312" w:hAnsi="仿宋_GB2312" w:eastAsia="仿宋_GB2312" w:cs="仿宋_GB2312"/>
                <w:sz w:val="24"/>
              </w:rPr>
              <w:t>元</w:t>
            </w:r>
            <w:r>
              <w:rPr>
                <w:rFonts w:ascii="仿宋_GB2312" w:hAnsi="仿宋_GB2312" w:eastAsia="仿宋_GB2312" w:cs="仿宋_GB2312"/>
                <w:sz w:val="24"/>
              </w:rPr>
              <w:t>;</w:t>
            </w:r>
            <w:r>
              <w:rPr>
                <w:rFonts w:hint="eastAsia" w:ascii="仿宋_GB2312" w:hAnsi="仿宋_GB2312" w:eastAsia="仿宋_GB2312" w:cs="仿宋_GB2312"/>
                <w:sz w:val="24"/>
              </w:rPr>
              <w:t>农村低保家庭、建档立卡贫困家庭、即时帮扶人口、特困供养对象中的轻</w:t>
            </w:r>
            <w:r>
              <w:rPr>
                <w:rFonts w:ascii="仿宋_GB2312" w:hAnsi="仿宋_GB2312" w:eastAsia="仿宋_GB2312" w:cs="仿宋_GB2312"/>
                <w:sz w:val="24"/>
              </w:rPr>
              <w:t xml:space="preserve"> </w:t>
            </w:r>
            <w:r>
              <w:rPr>
                <w:rFonts w:hint="eastAsia" w:ascii="仿宋_GB2312" w:hAnsi="仿宋_GB2312" w:eastAsia="仿宋_GB2312" w:cs="仿宋_GB2312"/>
                <w:sz w:val="24"/>
              </w:rPr>
              <w:t>度失能人员以及农村低保边缘家庭中的中度失能人员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30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300</w:t>
            </w:r>
            <w:r>
              <w:rPr>
                <w:rFonts w:hint="eastAsia" w:ascii="仿宋_GB2312" w:hAnsi="仿宋_GB2312" w:eastAsia="仿宋_GB2312" w:cs="仿宋_GB2312"/>
                <w:sz w:val="24"/>
              </w:rPr>
              <w:t>元</w:t>
            </w:r>
            <w:r>
              <w:rPr>
                <w:rFonts w:ascii="仿宋_GB2312" w:hAnsi="仿宋_GB2312" w:eastAsia="仿宋_GB2312" w:cs="仿宋_GB2312"/>
                <w:sz w:val="24"/>
              </w:rPr>
              <w:t>;</w:t>
            </w:r>
            <w:r>
              <w:rPr>
                <w:rFonts w:hint="eastAsia" w:ascii="仿宋_GB2312" w:hAnsi="仿宋_GB2312" w:eastAsia="仿宋_GB2312" w:cs="仿宋_GB2312"/>
                <w:sz w:val="24"/>
              </w:rPr>
              <w:t>因病因伤持续支出型困</w:t>
            </w:r>
            <w:r>
              <w:rPr>
                <w:rFonts w:ascii="仿宋_GB2312" w:hAnsi="仿宋_GB2312" w:eastAsia="仿宋_GB2312" w:cs="仿宋_GB2312"/>
                <w:sz w:val="24"/>
              </w:rPr>
              <w:t xml:space="preserve"> </w:t>
            </w:r>
            <w:r>
              <w:rPr>
                <w:rFonts w:hint="eastAsia" w:ascii="仿宋_GB2312" w:hAnsi="仿宋_GB2312" w:eastAsia="仿宋_GB2312" w:cs="仿宋_GB2312"/>
                <w:sz w:val="24"/>
              </w:rPr>
              <w:t>难家庭中的重度失能人员</w:t>
            </w:r>
            <w:r>
              <w:rPr>
                <w:rFonts w:ascii="仿宋_GB2312" w:hAnsi="仿宋_GB2312" w:eastAsia="仿宋_GB2312" w:cs="仿宋_GB2312"/>
                <w:sz w:val="24"/>
              </w:rPr>
              <w:t>,</w:t>
            </w:r>
            <w:r>
              <w:rPr>
                <w:rFonts w:hint="eastAsia" w:ascii="仿宋_GB2312" w:hAnsi="仿宋_GB2312" w:eastAsia="仿宋_GB2312" w:cs="仿宋_GB2312"/>
                <w:sz w:val="24"/>
              </w:rPr>
              <w:t>每人每月照料护理时间为</w:t>
            </w:r>
            <w:r>
              <w:rPr>
                <w:rFonts w:ascii="仿宋_GB2312" w:hAnsi="仿宋_GB2312" w:eastAsia="仿宋_GB2312" w:cs="仿宋_GB2312"/>
                <w:sz w:val="24"/>
              </w:rPr>
              <w:t>30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w:t>
            </w:r>
            <w:r>
              <w:rPr>
                <w:rFonts w:ascii="仿宋_GB2312" w:hAnsi="仿宋_GB2312" w:eastAsia="仿宋_GB2312" w:cs="仿宋_GB2312"/>
                <w:sz w:val="24"/>
              </w:rPr>
              <w:t xml:space="preserve"> </w:t>
            </w:r>
            <w:r>
              <w:rPr>
                <w:rFonts w:hint="eastAsia" w:ascii="仿宋_GB2312" w:hAnsi="仿宋_GB2312" w:eastAsia="仿宋_GB2312" w:cs="仿宋_GB2312"/>
                <w:sz w:val="24"/>
              </w:rPr>
              <w:t>准为</w:t>
            </w:r>
            <w:r>
              <w:rPr>
                <w:rFonts w:ascii="仿宋_GB2312" w:hAnsi="仿宋_GB2312" w:eastAsia="仿宋_GB2312" w:cs="仿宋_GB2312"/>
                <w:sz w:val="24"/>
              </w:rPr>
              <w:t>300</w:t>
            </w:r>
            <w:r>
              <w:rPr>
                <w:rFonts w:hint="eastAsia" w:ascii="仿宋_GB2312" w:hAnsi="仿宋_GB2312" w:eastAsia="仿宋_GB2312" w:cs="仿宋_GB2312"/>
                <w:sz w:val="24"/>
              </w:rPr>
              <w:t>元。</w:t>
            </w:r>
          </w:p>
          <w:p>
            <w:pPr>
              <w:widowControl/>
              <w:spacing w:line="280" w:lineRule="exact"/>
              <w:jc w:val="left"/>
              <w:textAlignment w:val="center"/>
              <w:rPr>
                <w:rFonts w:ascii="仿宋_GB2312" w:hAnsi="仿宋_GB2312" w:eastAsia="仿宋_GB2312" w:cs="仿宋_GB2312"/>
                <w:color w:val="0000FF"/>
                <w:sz w:val="24"/>
              </w:rPr>
            </w:pPr>
            <w:r>
              <w:rPr>
                <w:rFonts w:ascii="仿宋_GB2312" w:hAnsi="仿宋_GB2312" w:eastAsia="仿宋_GB2312" w:cs="仿宋_GB2312"/>
                <w:sz w:val="24"/>
              </w:rPr>
              <w:t>3.</w:t>
            </w:r>
            <w:r>
              <w:rPr>
                <w:rFonts w:hint="eastAsia" w:ascii="仿宋_GB2312" w:hAnsi="仿宋_GB2312" w:eastAsia="仿宋_GB2312" w:cs="仿宋_GB2312"/>
                <w:sz w:val="24"/>
              </w:rPr>
              <w:t>城乡特困供养对象中的全自理人员照料护理每人每月</w:t>
            </w:r>
            <w:r>
              <w:rPr>
                <w:rFonts w:ascii="仿宋_GB2312" w:hAnsi="仿宋_GB2312" w:eastAsia="仿宋_GB2312" w:cs="仿宋_GB2312"/>
                <w:sz w:val="24"/>
              </w:rPr>
              <w:t>10</w:t>
            </w:r>
            <w:r>
              <w:rPr>
                <w:rFonts w:hint="eastAsia" w:ascii="仿宋_GB2312" w:hAnsi="仿宋_GB2312" w:eastAsia="仿宋_GB2312" w:cs="仿宋_GB2312"/>
                <w:sz w:val="24"/>
              </w:rPr>
              <w:t>小时</w:t>
            </w:r>
            <w:r>
              <w:rPr>
                <w:rFonts w:ascii="仿宋_GB2312" w:hAnsi="仿宋_GB2312" w:eastAsia="仿宋_GB2312" w:cs="仿宋_GB2312"/>
                <w:sz w:val="24"/>
              </w:rPr>
              <w:t>,</w:t>
            </w:r>
            <w:r>
              <w:rPr>
                <w:rFonts w:hint="eastAsia" w:ascii="仿宋_GB2312" w:hAnsi="仿宋_GB2312" w:eastAsia="仿宋_GB2312" w:cs="仿宋_GB2312"/>
                <w:sz w:val="24"/>
              </w:rPr>
              <w:t>标准为</w:t>
            </w:r>
            <w:r>
              <w:rPr>
                <w:rFonts w:ascii="仿宋_GB2312" w:hAnsi="仿宋_GB2312" w:eastAsia="仿宋_GB2312" w:cs="仿宋_GB2312"/>
                <w:sz w:val="24"/>
              </w:rPr>
              <w:t>100</w:t>
            </w:r>
            <w:r>
              <w:rPr>
                <w:rFonts w:hint="eastAsia" w:ascii="仿宋_GB2312" w:hAnsi="仿宋_GB2312" w:eastAsia="仿宋_GB2312" w:cs="仿宋_GB2312"/>
                <w:sz w:val="24"/>
              </w:rPr>
              <w:t>元。</w:t>
            </w:r>
            <w:r>
              <w:rPr>
                <w:rFonts w:ascii="仿宋_GB2312" w:hAnsi="仿宋_GB2312" w:eastAsia="仿宋_GB2312" w:cs="仿宋_GB2312"/>
                <w:color w:val="0000FF"/>
                <w:sz w:val="24"/>
              </w:rPr>
              <w:t xml:space="preserve"> </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FF"/>
                <w:sz w:val="24"/>
              </w:rPr>
            </w:pPr>
            <w:r>
              <w:rPr>
                <w:rFonts w:hint="eastAsia" w:ascii="仿宋_GB2312" w:hAnsi="仿宋_GB2312" w:eastAsia="仿宋_GB2312" w:cs="仿宋_GB2312"/>
                <w:kern w:val="0"/>
                <w:sz w:val="24"/>
              </w:rPr>
              <w:t>区民政局、区财政局，各镇、街道</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《山东省养老服务条例》、《山东省人民政府办公厅关于推进养老服务发展的实施意见》（鲁政办发〔</w:t>
            </w:r>
            <w:r>
              <w:rPr>
                <w:rFonts w:ascii="仿宋_GB2312" w:hAnsi="黑体" w:eastAsia="仿宋_GB2312" w:cs="黑体"/>
                <w:sz w:val="24"/>
              </w:rPr>
              <w:t>2019</w:t>
            </w:r>
            <w:r>
              <w:rPr>
                <w:rFonts w:hint="eastAsia" w:ascii="仿宋_GB2312" w:hAnsi="黑体" w:eastAsia="仿宋_GB2312" w:cs="黑体"/>
                <w:sz w:val="24"/>
              </w:rPr>
              <w:t>〕</w:t>
            </w:r>
            <w:r>
              <w:rPr>
                <w:rFonts w:ascii="仿宋_GB2312" w:hAnsi="黑体" w:eastAsia="仿宋_GB2312" w:cs="黑体"/>
                <w:sz w:val="24"/>
              </w:rPr>
              <w:t>31</w:t>
            </w:r>
            <w:r>
              <w:rPr>
                <w:rFonts w:hint="eastAsia" w:ascii="仿宋_GB2312" w:hAnsi="仿宋_GB2312" w:eastAsia="仿宋_GB2312" w:cs="仿宋_GB2312"/>
                <w:kern w:val="0"/>
                <w:sz w:val="24"/>
              </w:rPr>
              <w:t>号）、《淄博市人民政府办公室关于进一步加强对特殊困难家庭人员救助的意见》（淄政办字〔</w:t>
            </w:r>
            <w:r>
              <w:rPr>
                <w:rFonts w:ascii="仿宋_GB2312" w:hAnsi="仿宋_GB2312" w:eastAsia="仿宋_GB2312" w:cs="仿宋_GB2312"/>
                <w:kern w:val="0"/>
                <w:sz w:val="24"/>
              </w:rPr>
              <w:t>2020</w:t>
            </w:r>
            <w:r>
              <w:rPr>
                <w:rFonts w:hint="eastAsia" w:ascii="仿宋_GB2312" w:hAnsi="仿宋_GB2312" w:eastAsia="仿宋_GB2312" w:cs="仿宋_GB2312"/>
                <w:kern w:val="0"/>
                <w:sz w:val="24"/>
              </w:rPr>
              <w:t>〕</w:t>
            </w:r>
            <w:r>
              <w:rPr>
                <w:rFonts w:ascii="仿宋_GB2312" w:hAnsi="仿宋_GB2312" w:eastAsia="仿宋_GB2312" w:cs="仿宋_GB2312"/>
                <w:kern w:val="0"/>
                <w:sz w:val="24"/>
              </w:rPr>
              <w:t>21</w:t>
            </w:r>
          </w:p>
          <w:p>
            <w:pPr>
              <w:widowControl/>
              <w:spacing w:line="280" w:lineRule="exact"/>
              <w:textAlignment w:val="center"/>
              <w:rPr>
                <w:rFonts w:ascii="仿宋_GB2312" w:hAnsi="仿宋_GB2312" w:eastAsia="仿宋_GB2312" w:cs="仿宋_GB2312"/>
                <w:color w:val="0000FF"/>
                <w:sz w:val="24"/>
              </w:rPr>
            </w:pPr>
            <w:r>
              <w:rPr>
                <w:rFonts w:hint="eastAsia" w:ascii="仿宋_GB2312" w:hAnsi="仿宋_GB2312" w:eastAsia="仿宋_GB2312" w:cs="仿宋_GB2312"/>
                <w:kern w:val="0"/>
                <w:sz w:val="24"/>
              </w:rPr>
              <w:t>号）</w:t>
            </w:r>
          </w:p>
        </w:tc>
      </w:tr>
      <w:tr>
        <w:tblPrEx>
          <w:tblCellMar>
            <w:top w:w="0" w:type="dxa"/>
            <w:left w:w="0" w:type="dxa"/>
            <w:bottom w:w="0" w:type="dxa"/>
            <w:right w:w="0" w:type="dxa"/>
          </w:tblCellMar>
        </w:tblPrEx>
        <w:trPr>
          <w:trHeight w:val="1870"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ascii="仿宋_GB2312" w:hAnsi="Calibri Light" w:eastAsia="仿宋_GB2312"/>
                <w:sz w:val="24"/>
              </w:rPr>
              <w:t>5</w:t>
            </w:r>
          </w:p>
        </w:tc>
        <w:tc>
          <w:tcPr>
            <w:tcW w:w="926"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为特殊困难老年人家庭实施适老化改造</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分散特困、城乡低保等特殊群体中的失能老年人家庭</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按照《无障碍设计规范》，经评估后给予最急需的适老化改造。</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区民政局、区财政局，各镇、街道</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《山东省养老服务条例》、《山东省人民政府办公厅关于推进养老服务发展的实施意见》（鲁政办发</w:t>
            </w:r>
            <w:r>
              <w:rPr>
                <w:rFonts w:hint="eastAsia" w:ascii="仿宋_GB2312" w:hAnsi="黑体" w:eastAsia="仿宋_GB2312" w:cs="黑体"/>
                <w:sz w:val="24"/>
              </w:rPr>
              <w:t>〔</w:t>
            </w:r>
            <w:r>
              <w:rPr>
                <w:rFonts w:ascii="仿宋_GB2312" w:hAnsi="黑体" w:eastAsia="仿宋_GB2312" w:cs="黑体"/>
                <w:sz w:val="24"/>
              </w:rPr>
              <w:t>2019</w:t>
            </w:r>
            <w:r>
              <w:rPr>
                <w:rFonts w:hint="eastAsia" w:ascii="仿宋_GB2312" w:hAnsi="黑体" w:eastAsia="仿宋_GB2312" w:cs="黑体"/>
                <w:sz w:val="24"/>
              </w:rPr>
              <w:t>〕</w:t>
            </w:r>
            <w:r>
              <w:rPr>
                <w:rFonts w:ascii="仿宋_GB2312" w:hAnsi="黑体" w:eastAsia="仿宋_GB2312" w:cs="黑体"/>
                <w:sz w:val="24"/>
              </w:rPr>
              <w:t>31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2450"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r>
              <w:rPr>
                <w:rFonts w:ascii="仿宋_GB2312" w:hAnsi="Calibri Light" w:eastAsia="仿宋_GB2312"/>
                <w:sz w:val="24"/>
              </w:rPr>
              <w:t>6</w:t>
            </w:r>
          </w:p>
        </w:tc>
        <w:tc>
          <w:tcPr>
            <w:tcW w:w="92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特殊家庭老年人巡访关爱</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独居、空巢、农村留守、计划生育扶持等特殊家庭老年人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依托村（居）志愿服务队，定期组织巡访工作，防范和化解意外风险。</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区民政局，各镇、街道</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《山东省养老服务条例》、《山东省人民政府办公厅关于推进养老服务发展的实施意见》（鲁政办发</w:t>
            </w:r>
            <w:r>
              <w:rPr>
                <w:rFonts w:hint="eastAsia" w:ascii="仿宋_GB2312" w:hAnsi="黑体" w:eastAsia="仿宋_GB2312" w:cs="黑体"/>
                <w:sz w:val="24"/>
              </w:rPr>
              <w:t>〔</w:t>
            </w:r>
            <w:r>
              <w:rPr>
                <w:rFonts w:ascii="仿宋_GB2312" w:hAnsi="黑体" w:eastAsia="仿宋_GB2312" w:cs="黑体"/>
                <w:sz w:val="24"/>
              </w:rPr>
              <w:t>2019</w:t>
            </w:r>
            <w:r>
              <w:rPr>
                <w:rFonts w:hint="eastAsia" w:ascii="仿宋_GB2312" w:hAnsi="黑体" w:eastAsia="仿宋_GB2312" w:cs="黑体"/>
                <w:sz w:val="24"/>
              </w:rPr>
              <w:t>〕</w:t>
            </w:r>
            <w:r>
              <w:rPr>
                <w:rFonts w:ascii="仿宋_GB2312" w:hAnsi="黑体" w:eastAsia="仿宋_GB2312" w:cs="黑体"/>
                <w:sz w:val="24"/>
              </w:rPr>
              <w:t>31</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）、市民政局等</w:t>
            </w:r>
            <w:r>
              <w:rPr>
                <w:rFonts w:ascii="仿宋_GB2312" w:hAnsi="仿宋_GB2312" w:eastAsia="仿宋_GB2312" w:cs="仿宋_GB2312"/>
                <w:color w:val="000000"/>
                <w:kern w:val="0"/>
                <w:sz w:val="24"/>
              </w:rPr>
              <w:t>9</w:t>
            </w:r>
            <w:r>
              <w:rPr>
                <w:rFonts w:hint="eastAsia" w:ascii="仿宋_GB2312" w:hAnsi="仿宋_GB2312" w:eastAsia="仿宋_GB2312" w:cs="仿宋_GB2312"/>
                <w:color w:val="000000"/>
                <w:kern w:val="0"/>
                <w:sz w:val="24"/>
              </w:rPr>
              <w:t>部门《转发鲁民</w:t>
            </w:r>
            <w:r>
              <w:rPr>
                <w:rFonts w:hint="eastAsia" w:ascii="仿宋_GB2312" w:hAnsi="黑体" w:eastAsia="仿宋_GB2312" w:cs="黑体"/>
                <w:sz w:val="24"/>
              </w:rPr>
              <w:t>〔</w:t>
            </w:r>
            <w:r>
              <w:rPr>
                <w:rFonts w:ascii="仿宋_GB2312" w:hAnsi="黑体" w:eastAsia="仿宋_GB2312" w:cs="黑体"/>
                <w:sz w:val="24"/>
              </w:rPr>
              <w:t>2018</w:t>
            </w:r>
            <w:r>
              <w:rPr>
                <w:rFonts w:hint="eastAsia" w:ascii="仿宋_GB2312" w:hAnsi="黑体" w:eastAsia="仿宋_GB2312" w:cs="黑体"/>
                <w:sz w:val="24"/>
              </w:rPr>
              <w:t>〕</w:t>
            </w:r>
            <w:r>
              <w:rPr>
                <w:rFonts w:ascii="仿宋_GB2312" w:hAnsi="仿宋_GB2312" w:eastAsia="仿宋_GB2312" w:cs="仿宋_GB2312"/>
                <w:color w:val="000000"/>
                <w:kern w:val="0"/>
                <w:sz w:val="24"/>
              </w:rPr>
              <w:t>37</w:t>
            </w:r>
            <w:r>
              <w:rPr>
                <w:rFonts w:hint="eastAsia" w:ascii="仿宋_GB2312" w:hAnsi="仿宋_GB2312" w:eastAsia="仿宋_GB2312" w:cs="仿宋_GB2312"/>
                <w:color w:val="000000"/>
                <w:kern w:val="0"/>
                <w:sz w:val="24"/>
              </w:rPr>
              <w:t>号文件进一步做好农村留守老年人关爱服务工作的通知》（淄民</w:t>
            </w:r>
            <w:r>
              <w:rPr>
                <w:rFonts w:hint="eastAsia" w:ascii="仿宋_GB2312" w:hAnsi="黑体" w:eastAsia="仿宋_GB2312" w:cs="黑体"/>
                <w:sz w:val="24"/>
              </w:rPr>
              <w:t>〔</w:t>
            </w:r>
            <w:r>
              <w:rPr>
                <w:rFonts w:ascii="仿宋_GB2312" w:hAnsi="黑体" w:eastAsia="仿宋_GB2312" w:cs="黑体"/>
                <w:sz w:val="24"/>
              </w:rPr>
              <w:t>2018</w:t>
            </w:r>
            <w:r>
              <w:rPr>
                <w:rFonts w:hint="eastAsia" w:ascii="仿宋_GB2312" w:hAnsi="黑体" w:eastAsia="仿宋_GB2312" w:cs="黑体"/>
                <w:sz w:val="24"/>
              </w:rPr>
              <w:t>〕</w:t>
            </w:r>
            <w:r>
              <w:rPr>
                <w:rFonts w:ascii="仿宋_GB2312" w:hAnsi="黑体" w:eastAsia="仿宋_GB2312" w:cs="黑体"/>
                <w:sz w:val="24"/>
              </w:rPr>
              <w:t>56</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）、临淄区民政局《关于进一步做好农村留守老年人关爱服务工作的实施方案》（临民字〔2018〕169 号）</w:t>
            </w:r>
          </w:p>
        </w:tc>
      </w:tr>
      <w:tr>
        <w:tblPrEx>
          <w:tblCellMar>
            <w:top w:w="0" w:type="dxa"/>
            <w:left w:w="0" w:type="dxa"/>
            <w:bottom w:w="0" w:type="dxa"/>
            <w:right w:w="0" w:type="dxa"/>
          </w:tblCellMar>
        </w:tblPrEx>
        <w:trPr>
          <w:trHeight w:val="154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r>
              <w:rPr>
                <w:rFonts w:ascii="仿宋_GB2312" w:hAnsi="Calibri Light" w:eastAsia="仿宋_GB2312"/>
                <w:sz w:val="24"/>
              </w:rPr>
              <w:t>7</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普惠型老年人服务和优待项目</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百岁老人长寿补贴</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黑体" w:eastAsia="仿宋_GB2312" w:cs="黑体"/>
                <w:sz w:val="24"/>
              </w:rPr>
              <w:t>100</w:t>
            </w:r>
            <w:r>
              <w:rPr>
                <w:rFonts w:hint="eastAsia" w:ascii="仿宋_GB2312" w:hAnsi="黑体" w:eastAsia="仿宋_GB2312" w:cs="黑体"/>
                <w:sz w:val="24"/>
              </w:rPr>
              <w:t>周</w:t>
            </w:r>
            <w:r>
              <w:rPr>
                <w:rFonts w:hint="eastAsia" w:ascii="仿宋_GB2312" w:hAnsi="仿宋_GB2312" w:eastAsia="仿宋_GB2312" w:cs="仿宋_GB2312"/>
                <w:color w:val="000000"/>
                <w:kern w:val="0"/>
                <w:sz w:val="24"/>
              </w:rPr>
              <w:t>岁及以上老年人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每人每月区级150元，省市级每人每月</w:t>
            </w:r>
            <w:r>
              <w:rPr>
                <w:rFonts w:ascii="仿宋_GB2312" w:hAnsi="仿宋_GB2312" w:eastAsia="仿宋_GB2312" w:cs="仿宋_GB2312"/>
                <w:color w:val="000000"/>
                <w:kern w:val="0"/>
                <w:sz w:val="24"/>
              </w:rPr>
              <w:t>320</w:t>
            </w:r>
            <w:r>
              <w:rPr>
                <w:rFonts w:hint="eastAsia" w:ascii="仿宋_GB2312" w:hAnsi="仿宋_GB2312" w:eastAsia="仿宋_GB2312" w:cs="仿宋_GB2312"/>
                <w:color w:val="000000"/>
                <w:kern w:val="0"/>
                <w:sz w:val="24"/>
              </w:rPr>
              <w:t>元。</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区卫健局、区财政局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《淄博市人民政府关于印发淄博市优待老年人规定的通知》（淄政发〔</w:t>
            </w:r>
            <w:r>
              <w:rPr>
                <w:rFonts w:ascii="仿宋_GB2312" w:hAnsi="仿宋_GB2312" w:eastAsia="仿宋_GB2312" w:cs="仿宋_GB2312"/>
                <w:color w:val="000000"/>
                <w:kern w:val="0"/>
                <w:sz w:val="24"/>
              </w:rPr>
              <w:t>2013</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9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华文宋体" w:eastAsia="仿宋_GB2312"/>
                <w:sz w:val="24"/>
              </w:rPr>
            </w:pPr>
            <w:r>
              <w:rPr>
                <w:rFonts w:ascii="仿宋_GB2312" w:hAnsi="华文宋体" w:eastAsia="仿宋_GB2312"/>
                <w:sz w:val="24"/>
              </w:rPr>
              <w:t>8</w:t>
            </w: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kern w:val="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老年人高龄津贴（区级）</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黑体" w:eastAsia="仿宋_GB2312" w:cs="黑体"/>
                <w:sz w:val="24"/>
              </w:rPr>
            </w:pPr>
            <w:r>
              <w:rPr>
                <w:rFonts w:ascii="仿宋_GB2312" w:hAnsi="仿宋_GB2312" w:eastAsia="仿宋_GB2312" w:cs="仿宋_GB2312"/>
                <w:color w:val="000000"/>
                <w:kern w:val="0"/>
                <w:sz w:val="24"/>
              </w:rPr>
              <w:t>90-99</w:t>
            </w:r>
            <w:r>
              <w:rPr>
                <w:rFonts w:hint="eastAsia" w:ascii="仿宋_GB2312" w:hAnsi="仿宋_GB2312" w:eastAsia="仿宋_GB2312" w:cs="仿宋_GB2312"/>
                <w:color w:val="000000"/>
                <w:kern w:val="0"/>
                <w:sz w:val="24"/>
              </w:rPr>
              <w:t>周岁老年人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80-89每人每月30元，90-99每人每月90元，100岁以上150元/月</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区卫健局、区财政局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《淄博市人民政府关于印发淄博市优待老年人规定的通知》（淄政发〔</w:t>
            </w:r>
            <w:r>
              <w:rPr>
                <w:rFonts w:ascii="仿宋_GB2312" w:hAnsi="仿宋_GB2312" w:eastAsia="仿宋_GB2312" w:cs="仿宋_GB2312"/>
                <w:color w:val="000000"/>
                <w:kern w:val="0"/>
                <w:sz w:val="24"/>
              </w:rPr>
              <w:t>2013</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215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华文宋体" w:eastAsia="仿宋_GB2312"/>
                <w:sz w:val="24"/>
              </w:rPr>
            </w:pPr>
            <w:r>
              <w:rPr>
                <w:rFonts w:ascii="仿宋_GB2312" w:hAnsi="华文宋体" w:eastAsia="仿宋_GB2312"/>
                <w:sz w:val="24"/>
              </w:rPr>
              <w:t>9</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普惠型老年人服务和优待项目</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老年人健康管理</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黑体" w:eastAsia="仿宋_GB2312" w:cs="黑体"/>
                <w:sz w:val="24"/>
              </w:rPr>
              <w:t>65</w:t>
            </w:r>
            <w:r>
              <w:rPr>
                <w:rFonts w:hint="eastAsia" w:ascii="仿宋_GB2312" w:hAnsi="仿宋_GB2312" w:eastAsia="仿宋_GB2312" w:cs="仿宋_GB2312"/>
                <w:color w:val="000000"/>
                <w:kern w:val="0"/>
                <w:sz w:val="24"/>
              </w:rPr>
              <w:t>周岁及以上老年人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每年提供一次免费健康管理服务，建立健康档案，包括生活方式和健康状况评估、体格检查、辅助检查、健康指导等。</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区卫健局，区妇保院，区中医医院，各中心卫生院、卫生院</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《山东省老年人权益保障条例》、</w:t>
            </w:r>
            <w:r>
              <w:rPr>
                <w:rFonts w:hint="eastAsia" w:ascii="仿宋_GB2312" w:hAnsi="黑体" w:eastAsia="仿宋_GB2312" w:cs="黑体"/>
                <w:sz w:val="24"/>
              </w:rPr>
              <w:t>《国家基本公共卫生服务规范（山东</w:t>
            </w:r>
            <w:r>
              <w:rPr>
                <w:rFonts w:ascii="仿宋_GB2312" w:hAnsi="黑体" w:eastAsia="仿宋_GB2312" w:cs="黑体"/>
                <w:sz w:val="24"/>
              </w:rPr>
              <w:t>2017</w:t>
            </w:r>
            <w:r>
              <w:rPr>
                <w:rFonts w:hint="eastAsia" w:ascii="仿宋_GB2312" w:hAnsi="黑体" w:eastAsia="仿宋_GB2312" w:cs="黑体"/>
                <w:sz w:val="24"/>
              </w:rPr>
              <w:t>年版）》（鲁卫基层字〔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7</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《淄博市人民政府关于印发淄博市优待老年人规定的通知》（淄政发〔</w:t>
            </w:r>
            <w:r>
              <w:rPr>
                <w:rFonts w:ascii="仿宋_GB2312" w:hAnsi="仿宋_GB2312" w:eastAsia="仿宋_GB2312" w:cs="仿宋_GB2312"/>
                <w:color w:val="000000"/>
                <w:kern w:val="0"/>
                <w:sz w:val="24"/>
              </w:rPr>
              <w:t>2013</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4280"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华文宋体" w:eastAsia="仿宋_GB2312" w:cs="仿宋_GB2312"/>
                <w:color w:val="000000"/>
                <w:sz w:val="24"/>
              </w:rPr>
            </w:pPr>
            <w:r>
              <w:rPr>
                <w:rFonts w:ascii="仿宋_GB2312" w:hAnsi="华文宋体" w:eastAsia="仿宋_GB2312"/>
                <w:sz w:val="24"/>
              </w:rPr>
              <w:t>10</w:t>
            </w: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老年人文体休闲优待</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ascii="仿宋_GB2312" w:hAnsi="黑体" w:eastAsia="仿宋_GB2312" w:cs="黑体"/>
                <w:sz w:val="24"/>
              </w:rPr>
              <w:t>60</w:t>
            </w:r>
            <w:r>
              <w:rPr>
                <w:rFonts w:hint="eastAsia" w:ascii="仿宋_GB2312" w:hAnsi="黑体" w:eastAsia="仿宋_GB2312" w:cs="黑体"/>
                <w:sz w:val="24"/>
              </w:rPr>
              <w:t>周</w:t>
            </w:r>
            <w:r>
              <w:rPr>
                <w:rFonts w:hint="eastAsia" w:ascii="仿宋_GB2312" w:hAnsi="仿宋_GB2312" w:eastAsia="仿宋_GB2312" w:cs="仿宋_GB2312"/>
                <w:color w:val="000000"/>
                <w:kern w:val="0"/>
                <w:sz w:val="24"/>
              </w:rPr>
              <w:t>岁以上老年人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w w:val="90"/>
                <w:kern w:val="0"/>
                <w:sz w:val="24"/>
              </w:rPr>
            </w:pPr>
            <w:r>
              <w:rPr>
                <w:rFonts w:ascii="仿宋_GB2312" w:hAnsi="仿宋_GB2312" w:eastAsia="仿宋_GB2312" w:cs="仿宋_GB2312"/>
                <w:color w:val="000000"/>
                <w:w w:val="90"/>
                <w:kern w:val="0"/>
                <w:sz w:val="24"/>
              </w:rPr>
              <w:t>1.</w:t>
            </w:r>
            <w:r>
              <w:rPr>
                <w:rFonts w:hint="eastAsia" w:ascii="仿宋_GB2312" w:hAnsi="仿宋_GB2312" w:eastAsia="仿宋_GB2312" w:cs="仿宋_GB2312"/>
                <w:color w:val="000000"/>
                <w:w w:val="90"/>
                <w:kern w:val="0"/>
                <w:sz w:val="24"/>
              </w:rPr>
              <w:t>收费公园对老年人免门票费。</w:t>
            </w:r>
          </w:p>
          <w:p>
            <w:pPr>
              <w:widowControl/>
              <w:spacing w:line="280" w:lineRule="exact"/>
              <w:jc w:val="left"/>
              <w:textAlignment w:val="center"/>
              <w:rPr>
                <w:rFonts w:ascii="仿宋_GB2312" w:hAnsi="仿宋_GB2312" w:eastAsia="仿宋_GB2312" w:cs="仿宋_GB2312"/>
                <w:color w:val="000000"/>
                <w:w w:val="90"/>
                <w:kern w:val="0"/>
                <w:sz w:val="24"/>
              </w:rPr>
            </w:pPr>
            <w:r>
              <w:rPr>
                <w:rFonts w:ascii="仿宋_GB2312" w:hAnsi="仿宋_GB2312" w:eastAsia="仿宋_GB2312" w:cs="仿宋_GB2312"/>
                <w:color w:val="000000"/>
                <w:w w:val="90"/>
                <w:kern w:val="0"/>
                <w:sz w:val="24"/>
              </w:rPr>
              <w:t>2.</w:t>
            </w:r>
            <w:r>
              <w:rPr>
                <w:rFonts w:hint="eastAsia" w:ascii="仿宋_GB2312" w:hAnsi="仿宋_GB2312" w:eastAsia="仿宋_GB2312" w:cs="仿宋_GB2312"/>
                <w:color w:val="000000"/>
                <w:w w:val="90"/>
                <w:kern w:val="0"/>
                <w:sz w:val="24"/>
              </w:rPr>
              <w:t>政府兴办和支持的旅游景点对老年人免门票费；社会力量兴办的旅游景点对</w:t>
            </w:r>
            <w:r>
              <w:rPr>
                <w:rFonts w:ascii="仿宋_GB2312" w:hAnsi="仿宋_GB2312" w:eastAsia="仿宋_GB2312" w:cs="仿宋_GB2312"/>
                <w:color w:val="000000"/>
                <w:w w:val="90"/>
                <w:kern w:val="0"/>
                <w:sz w:val="24"/>
              </w:rPr>
              <w:t>60-69</w:t>
            </w:r>
            <w:r>
              <w:rPr>
                <w:rFonts w:hint="eastAsia" w:ascii="仿宋_GB2312" w:hAnsi="仿宋_GB2312" w:eastAsia="仿宋_GB2312" w:cs="仿宋_GB2312"/>
                <w:color w:val="000000"/>
                <w:w w:val="90"/>
                <w:kern w:val="0"/>
                <w:sz w:val="24"/>
              </w:rPr>
              <w:t>周岁老年人实行门票半价，</w:t>
            </w:r>
            <w:r>
              <w:rPr>
                <w:rFonts w:ascii="仿宋_GB2312" w:hAnsi="仿宋_GB2312" w:eastAsia="仿宋_GB2312" w:cs="仿宋_GB2312"/>
                <w:color w:val="000000"/>
                <w:w w:val="90"/>
                <w:kern w:val="0"/>
                <w:sz w:val="24"/>
              </w:rPr>
              <w:t>70</w:t>
            </w:r>
            <w:r>
              <w:rPr>
                <w:rFonts w:hint="eastAsia" w:ascii="仿宋_GB2312" w:hAnsi="仿宋_GB2312" w:eastAsia="仿宋_GB2312" w:cs="仿宋_GB2312"/>
                <w:color w:val="000000"/>
                <w:w w:val="90"/>
                <w:kern w:val="0"/>
                <w:sz w:val="24"/>
              </w:rPr>
              <w:t>周岁以上老年人免门票费；提倡社会力量兴办的旅游景点对</w:t>
            </w:r>
            <w:r>
              <w:rPr>
                <w:rFonts w:ascii="仿宋_GB2312" w:hAnsi="仿宋_GB2312" w:eastAsia="仿宋_GB2312" w:cs="仿宋_GB2312"/>
                <w:color w:val="000000"/>
                <w:w w:val="90"/>
                <w:kern w:val="0"/>
                <w:sz w:val="24"/>
              </w:rPr>
              <w:t>65</w:t>
            </w:r>
            <w:r>
              <w:rPr>
                <w:rFonts w:hint="eastAsia" w:ascii="仿宋_GB2312" w:hAnsi="仿宋_GB2312" w:eastAsia="仿宋_GB2312" w:cs="仿宋_GB2312"/>
                <w:color w:val="000000"/>
                <w:w w:val="90"/>
                <w:kern w:val="0"/>
                <w:sz w:val="24"/>
              </w:rPr>
              <w:t>周岁以上老年人免门票费。</w:t>
            </w:r>
          </w:p>
          <w:p>
            <w:pPr>
              <w:widowControl/>
              <w:spacing w:line="280" w:lineRule="exact"/>
              <w:jc w:val="left"/>
              <w:textAlignment w:val="center"/>
              <w:rPr>
                <w:rFonts w:ascii="仿宋_GB2312" w:hAnsi="仿宋_GB2312" w:eastAsia="仿宋_GB2312" w:cs="仿宋_GB2312"/>
                <w:color w:val="000000"/>
                <w:w w:val="90"/>
                <w:kern w:val="0"/>
                <w:sz w:val="24"/>
              </w:rPr>
            </w:pPr>
            <w:r>
              <w:rPr>
                <w:rFonts w:ascii="仿宋_GB2312" w:hAnsi="仿宋_GB2312" w:eastAsia="仿宋_GB2312" w:cs="仿宋_GB2312"/>
                <w:color w:val="000000"/>
                <w:w w:val="90"/>
                <w:kern w:val="0"/>
                <w:sz w:val="24"/>
              </w:rPr>
              <w:t>3.</w:t>
            </w:r>
            <w:r>
              <w:rPr>
                <w:rFonts w:hint="eastAsia" w:ascii="仿宋_GB2312" w:hAnsi="仿宋_GB2312" w:eastAsia="仿宋_GB2312" w:cs="仿宋_GB2312"/>
                <w:color w:val="000000"/>
                <w:w w:val="90"/>
                <w:kern w:val="0"/>
                <w:sz w:val="24"/>
              </w:rPr>
              <w:t>政府兴办和支持的博物馆、文化馆、图书馆、美术馆、科技馆、展览馆、纪念馆等文化场所，对老年人免门票费；社会力量兴办的，凡收取门票的，对</w:t>
            </w:r>
            <w:r>
              <w:rPr>
                <w:rFonts w:ascii="仿宋_GB2312" w:hAnsi="仿宋_GB2312" w:eastAsia="仿宋_GB2312" w:cs="仿宋_GB2312"/>
                <w:color w:val="000000"/>
                <w:w w:val="90"/>
                <w:kern w:val="0"/>
                <w:sz w:val="24"/>
              </w:rPr>
              <w:t>60</w:t>
            </w:r>
            <w:r>
              <w:rPr>
                <w:rFonts w:hint="eastAsia" w:ascii="仿宋_GB2312" w:hAnsi="仿宋_GB2312" w:eastAsia="仿宋_GB2312" w:cs="仿宋_GB2312"/>
                <w:color w:val="000000"/>
                <w:w w:val="90"/>
                <w:kern w:val="0"/>
                <w:sz w:val="24"/>
              </w:rPr>
              <w:t>-</w:t>
            </w:r>
            <w:r>
              <w:rPr>
                <w:rFonts w:ascii="仿宋_GB2312" w:hAnsi="仿宋_GB2312" w:eastAsia="仿宋_GB2312" w:cs="仿宋_GB2312"/>
                <w:color w:val="000000"/>
                <w:w w:val="90"/>
                <w:kern w:val="0"/>
                <w:sz w:val="24"/>
              </w:rPr>
              <w:t>64</w:t>
            </w:r>
            <w:r>
              <w:rPr>
                <w:rFonts w:hint="eastAsia" w:ascii="仿宋_GB2312" w:hAnsi="仿宋_GB2312" w:eastAsia="仿宋_GB2312" w:cs="仿宋_GB2312"/>
                <w:color w:val="000000"/>
                <w:w w:val="90"/>
                <w:kern w:val="0"/>
                <w:sz w:val="24"/>
              </w:rPr>
              <w:t>周岁老年人实行门票费半价优惠；</w:t>
            </w:r>
            <w:r>
              <w:rPr>
                <w:rFonts w:ascii="仿宋_GB2312" w:hAnsi="仿宋_GB2312" w:eastAsia="仿宋_GB2312" w:cs="仿宋_GB2312"/>
                <w:color w:val="000000"/>
                <w:w w:val="90"/>
                <w:kern w:val="0"/>
                <w:sz w:val="24"/>
              </w:rPr>
              <w:t>65</w:t>
            </w:r>
            <w:r>
              <w:rPr>
                <w:rFonts w:hint="eastAsia" w:ascii="仿宋_GB2312" w:hAnsi="仿宋_GB2312" w:eastAsia="仿宋_GB2312" w:cs="仿宋_GB2312"/>
                <w:color w:val="000000"/>
                <w:w w:val="90"/>
                <w:kern w:val="0"/>
                <w:sz w:val="24"/>
              </w:rPr>
              <w:t>周岁以上老年人免门票费。</w:t>
            </w:r>
          </w:p>
          <w:p>
            <w:pPr>
              <w:widowControl/>
              <w:spacing w:line="280" w:lineRule="exact"/>
              <w:jc w:val="left"/>
              <w:textAlignment w:val="center"/>
              <w:rPr>
                <w:rFonts w:ascii="仿宋_GB2312" w:hAnsi="仿宋_GB2312" w:eastAsia="仿宋_GB2312" w:cs="仿宋_GB2312"/>
                <w:color w:val="000000"/>
                <w:sz w:val="24"/>
              </w:rPr>
            </w:pPr>
            <w:r>
              <w:rPr>
                <w:rFonts w:ascii="仿宋_GB2312" w:hAnsi="仿宋_GB2312" w:eastAsia="仿宋_GB2312" w:cs="仿宋_GB2312"/>
                <w:color w:val="000000"/>
                <w:w w:val="90"/>
                <w:kern w:val="0"/>
                <w:sz w:val="24"/>
              </w:rPr>
              <w:t>4.</w:t>
            </w:r>
            <w:r>
              <w:rPr>
                <w:rFonts w:hint="eastAsia" w:ascii="仿宋_GB2312" w:hAnsi="仿宋_GB2312" w:eastAsia="仿宋_GB2312" w:cs="仿宋_GB2312"/>
                <w:color w:val="000000"/>
                <w:w w:val="90"/>
                <w:kern w:val="0"/>
                <w:sz w:val="24"/>
              </w:rPr>
              <w:t>政府兴办和支持的公共体育健身场（馆），除举办正式比赛和商业赛事外，应在所有开放时间对老年人免费。</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区卫健局、区发展改革局、区文化旅游局、区教体局、区城管执法局等</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《山东省老年人权益保障条例》</w:t>
            </w:r>
            <w:r>
              <w:rPr>
                <w:rFonts w:hint="eastAsia" w:ascii="仿宋_GB2312" w:hAnsi="黑体" w:eastAsia="仿宋_GB2312" w:cs="黑体"/>
                <w:sz w:val="24"/>
              </w:rPr>
              <w:t>、</w:t>
            </w:r>
            <w:r>
              <w:rPr>
                <w:rFonts w:hint="eastAsia" w:ascii="仿宋_GB2312" w:hAnsi="仿宋_GB2312" w:eastAsia="仿宋_GB2312" w:cs="仿宋_GB2312"/>
                <w:color w:val="000000"/>
                <w:kern w:val="0"/>
                <w:sz w:val="24"/>
              </w:rPr>
              <w:t>《淄博市人民政府关于印发淄博市优待老年人规定的通知》（淄政发〔</w:t>
            </w:r>
            <w:r>
              <w:rPr>
                <w:rFonts w:ascii="仿宋_GB2312" w:hAnsi="仿宋_GB2312" w:eastAsia="仿宋_GB2312" w:cs="仿宋_GB2312"/>
                <w:color w:val="000000"/>
                <w:kern w:val="0"/>
                <w:sz w:val="24"/>
              </w:rPr>
              <w:t>2013</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1397"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华文宋体" w:eastAsia="仿宋_GB2312" w:cs="仿宋_GB2312"/>
                <w:color w:val="000000"/>
                <w:sz w:val="24"/>
              </w:rPr>
            </w:pPr>
            <w:r>
              <w:rPr>
                <w:rFonts w:ascii="仿宋_GB2312" w:hAnsi="华文宋体" w:eastAsia="仿宋_GB2312"/>
                <w:sz w:val="24"/>
              </w:rPr>
              <w:t>11</w:t>
            </w: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老年人生活服务优待</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黑体" w:eastAsia="仿宋_GB2312" w:cs="黑体"/>
                <w:sz w:val="24"/>
              </w:rPr>
              <w:t>65</w:t>
            </w:r>
            <w:r>
              <w:rPr>
                <w:rFonts w:hint="eastAsia" w:ascii="仿宋_GB2312" w:hAnsi="黑体" w:eastAsia="仿宋_GB2312" w:cs="黑体"/>
                <w:sz w:val="24"/>
              </w:rPr>
              <w:t>周</w:t>
            </w:r>
            <w:r>
              <w:rPr>
                <w:rFonts w:hint="eastAsia" w:ascii="仿宋_GB2312" w:hAnsi="仿宋_GB2312" w:eastAsia="仿宋_GB2312" w:cs="仿宋_GB2312"/>
                <w:color w:val="000000"/>
                <w:kern w:val="0"/>
                <w:sz w:val="24"/>
              </w:rPr>
              <w:t>岁以上老年人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年满</w:t>
            </w:r>
            <w:r>
              <w:rPr>
                <w:rFonts w:ascii="仿宋_GB2312" w:hAnsi="仿宋_GB2312" w:eastAsia="仿宋_GB2312" w:cs="仿宋_GB2312"/>
                <w:color w:val="000000"/>
                <w:sz w:val="24"/>
              </w:rPr>
              <w:t>65</w:t>
            </w:r>
            <w:r>
              <w:rPr>
                <w:rFonts w:hint="eastAsia" w:ascii="仿宋_GB2312" w:hAnsi="仿宋_GB2312" w:eastAsia="仿宋_GB2312" w:cs="仿宋_GB2312"/>
                <w:color w:val="000000"/>
                <w:sz w:val="24"/>
              </w:rPr>
              <w:t>周岁以上的老年人，可在城市内免费乘坐城区公交以及城乡公交。</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区卫健局、区交通运输局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《山东省老年人权益保障条例》</w:t>
            </w:r>
            <w:r>
              <w:rPr>
                <w:rFonts w:hint="eastAsia" w:ascii="仿宋_GB2312" w:hAnsi="黑体" w:eastAsia="仿宋_GB2312" w:cs="黑体"/>
                <w:sz w:val="24"/>
              </w:rPr>
              <w:t>、</w:t>
            </w:r>
            <w:r>
              <w:rPr>
                <w:rFonts w:hint="eastAsia" w:ascii="仿宋_GB2312" w:hAnsi="仿宋_GB2312" w:eastAsia="仿宋_GB2312" w:cs="仿宋_GB2312"/>
                <w:color w:val="000000"/>
                <w:kern w:val="0"/>
                <w:sz w:val="24"/>
              </w:rPr>
              <w:t>《淄博市人民政府关于印发淄博市优待老年人规定的通知》（淄政发〔</w:t>
            </w:r>
            <w:r>
              <w:rPr>
                <w:rFonts w:ascii="仿宋_GB2312" w:hAnsi="仿宋_GB2312" w:eastAsia="仿宋_GB2312" w:cs="仿宋_GB2312"/>
                <w:color w:val="000000"/>
                <w:kern w:val="0"/>
                <w:sz w:val="24"/>
              </w:rPr>
              <w:t>2013</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313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华文宋体" w:eastAsia="仿宋_GB2312" w:cs="仿宋_GB2312"/>
                <w:color w:val="000000"/>
                <w:sz w:val="24"/>
              </w:rPr>
            </w:pPr>
            <w:r>
              <w:rPr>
                <w:rFonts w:ascii="仿宋_GB2312" w:hAnsi="华文宋体" w:eastAsia="仿宋_GB2312"/>
                <w:sz w:val="24"/>
              </w:rPr>
              <w:t>12</w:t>
            </w: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老年人法律援助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黑体" w:eastAsia="仿宋_GB2312" w:cs="黑体"/>
                <w:sz w:val="24"/>
              </w:rPr>
              <w:t>60</w:t>
            </w:r>
            <w:r>
              <w:rPr>
                <w:rFonts w:hint="eastAsia" w:ascii="仿宋_GB2312" w:hAnsi="黑体" w:eastAsia="仿宋_GB2312" w:cs="黑体"/>
                <w:sz w:val="24"/>
              </w:rPr>
              <w:t>周</w:t>
            </w:r>
            <w:r>
              <w:rPr>
                <w:rFonts w:hint="eastAsia" w:ascii="仿宋_GB2312" w:hAnsi="仿宋_GB2312" w:eastAsia="仿宋_GB2312" w:cs="仿宋_GB2312"/>
                <w:color w:val="000000"/>
                <w:kern w:val="0"/>
                <w:sz w:val="24"/>
              </w:rPr>
              <w:t>岁以上老年人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对纳入最低生活保障对象的老年人、优抚老年人、无固定收入的贫困老年人和</w:t>
            </w:r>
            <w:r>
              <w:rPr>
                <w:rFonts w:ascii="仿宋_GB2312" w:hAnsi="仿宋_GB2312" w:eastAsia="仿宋_GB2312" w:cs="仿宋_GB2312"/>
                <w:color w:val="000000"/>
                <w:kern w:val="0"/>
                <w:sz w:val="24"/>
              </w:rPr>
              <w:t>80</w:t>
            </w:r>
            <w:r>
              <w:rPr>
                <w:rFonts w:hint="eastAsia" w:ascii="仿宋_GB2312" w:hAnsi="仿宋_GB2312" w:eastAsia="仿宋_GB2312" w:cs="仿宋_GB2312"/>
                <w:color w:val="000000"/>
                <w:kern w:val="0"/>
                <w:sz w:val="24"/>
              </w:rPr>
              <w:t>周岁以上老年人，因赡养、扶养、婚姻、养老保障、医疗保障等自身合法权益受到侵害提起的诉讼，需承担诉讼费的，按有关规定办理缓、减、免。各类律师事务所、基层法律服务所，对老年人因自身合法权益受到侵害需要聘请律师、基层法律工作者提供法律服务的，符合法律援助条件，免收服务费。</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区卫健局、司法局、</w:t>
            </w:r>
            <w:r>
              <w:rPr>
                <w:rFonts w:ascii="仿宋_GB2312" w:hAnsi="仿宋_GB2312" w:eastAsia="仿宋_GB2312" w:cs="仿宋_GB2312"/>
                <w:color w:val="000000"/>
                <w:kern w:val="0"/>
                <w:sz w:val="24"/>
              </w:rPr>
              <w:t>,</w:t>
            </w:r>
            <w:r>
              <w:rPr>
                <w:rFonts w:hint="eastAsia" w:ascii="仿宋_GB2312" w:hAnsi="仿宋_GB2312" w:eastAsia="仿宋_GB2312" w:cs="仿宋_GB2312"/>
                <w:color w:val="000000"/>
                <w:kern w:val="0"/>
                <w:sz w:val="24"/>
              </w:rPr>
              <w:t>区法院</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《山东省老年人权益保障条例》</w:t>
            </w:r>
            <w:r>
              <w:rPr>
                <w:rFonts w:hint="eastAsia" w:ascii="仿宋_GB2312" w:hAnsi="黑体" w:eastAsia="仿宋_GB2312" w:cs="黑体"/>
                <w:sz w:val="24"/>
              </w:rPr>
              <w:t>、</w:t>
            </w:r>
            <w:r>
              <w:rPr>
                <w:rFonts w:hint="eastAsia" w:ascii="仿宋_GB2312" w:hAnsi="仿宋_GB2312" w:eastAsia="仿宋_GB2312" w:cs="仿宋_GB2312"/>
                <w:color w:val="000000"/>
                <w:kern w:val="0"/>
                <w:sz w:val="24"/>
              </w:rPr>
              <w:t>《淄博市人民政府关于印发淄博市优待老年人规定的通知》（淄政发〔</w:t>
            </w:r>
            <w:r>
              <w:rPr>
                <w:rFonts w:ascii="仿宋_GB2312" w:hAnsi="仿宋_GB2312" w:eastAsia="仿宋_GB2312" w:cs="仿宋_GB2312"/>
                <w:color w:val="000000"/>
                <w:kern w:val="0"/>
                <w:sz w:val="24"/>
              </w:rPr>
              <w:t>2013</w:t>
            </w:r>
            <w:r>
              <w:rPr>
                <w:rFonts w:hint="eastAsia" w:ascii="仿宋_GB2312" w:hAnsi="仿宋_GB2312" w:eastAsia="仿宋_GB2312" w:cs="仿宋_GB2312"/>
                <w:color w:val="000000"/>
                <w:kern w:val="0"/>
                <w:sz w:val="24"/>
              </w:rPr>
              <w:t>〕</w:t>
            </w:r>
            <w:r>
              <w:rPr>
                <w:rFonts w:ascii="仿宋_GB2312" w:hAnsi="仿宋_GB2312" w:eastAsia="仿宋_GB2312" w:cs="仿宋_GB2312"/>
                <w:color w:val="000000"/>
                <w:kern w:val="0"/>
                <w:sz w:val="24"/>
              </w:rPr>
              <w:t>21</w:t>
            </w:r>
            <w:r>
              <w:rPr>
                <w:rFonts w:hint="eastAsia" w:ascii="仿宋_GB2312" w:hAnsi="仿宋_GB2312" w:eastAsia="仿宋_GB2312" w:cs="仿宋_GB2312"/>
                <w:color w:val="000000"/>
                <w:kern w:val="0"/>
                <w:sz w:val="24"/>
              </w:rPr>
              <w:t>号）</w:t>
            </w:r>
          </w:p>
        </w:tc>
      </w:tr>
      <w:tr>
        <w:tblPrEx>
          <w:tblCellMar>
            <w:top w:w="0" w:type="dxa"/>
            <w:left w:w="0" w:type="dxa"/>
            <w:bottom w:w="0" w:type="dxa"/>
            <w:right w:w="0" w:type="dxa"/>
          </w:tblCellMar>
        </w:tblPrEx>
        <w:trPr>
          <w:trHeight w:val="162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ascii="仿宋_GB2312" w:hAnsi="Calibri Light" w:eastAsia="仿宋_GB2312"/>
                <w:sz w:val="24"/>
              </w:rPr>
              <w:t>13</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养老服务优惠扶持项目</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养老服务资金安排</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符合条件养老服务项目和机构</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县级以上人民政府应当设立养老服务专项资金，各级留成的福利彩票公益金，按照国家和省规定的比例用于支持发展养老服务。</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《山东省养老服务条例》、《山东省人民政府办公厅关于推进养老服务发展的实施意见》（鲁政办发〔</w:t>
            </w:r>
            <w:r>
              <w:rPr>
                <w:rFonts w:ascii="仿宋_GB2312" w:hAnsi="黑体" w:eastAsia="仿宋_GB2312" w:cs="黑体"/>
                <w:sz w:val="24"/>
              </w:rPr>
              <w:t>2019</w:t>
            </w:r>
            <w:r>
              <w:rPr>
                <w:rFonts w:hint="eastAsia" w:ascii="仿宋_GB2312" w:hAnsi="黑体" w:eastAsia="仿宋_GB2312" w:cs="黑体"/>
                <w:sz w:val="24"/>
              </w:rPr>
              <w:t>〕</w:t>
            </w:r>
            <w:r>
              <w:rPr>
                <w:rFonts w:ascii="仿宋_GB2312" w:hAnsi="黑体" w:eastAsia="仿宋_GB2312" w:cs="黑体"/>
                <w:sz w:val="24"/>
              </w:rPr>
              <w:t>31</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w:t>
            </w:r>
          </w:p>
        </w:tc>
      </w:tr>
      <w:tr>
        <w:tblPrEx>
          <w:tblCellMar>
            <w:top w:w="0" w:type="dxa"/>
            <w:left w:w="0" w:type="dxa"/>
            <w:bottom w:w="0" w:type="dxa"/>
            <w:right w:w="0" w:type="dxa"/>
          </w:tblCellMar>
        </w:tblPrEx>
        <w:trPr>
          <w:trHeight w:val="14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ascii="仿宋_GB2312" w:hAnsi="Calibri Light" w:eastAsia="仿宋_GB2312"/>
                <w:sz w:val="24"/>
              </w:rPr>
              <w:t>14</w:t>
            </w: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楷体_GB2312" w:eastAsia="楷体_GB2312"/>
                <w:kern w:val="0"/>
                <w:sz w:val="24"/>
              </w:rPr>
              <w:t>养老机构</w:t>
            </w:r>
            <w:r>
              <w:rPr>
                <w:rFonts w:hint="eastAsia" w:ascii="楷体_GB2312" w:hAnsi="楷体_GB2312" w:eastAsia="楷体_GB2312"/>
                <w:kern w:val="0"/>
                <w:sz w:val="24"/>
              </w:rPr>
              <w:t>（不含护理型）</w:t>
            </w:r>
            <w:r>
              <w:rPr>
                <w:rFonts w:hint="eastAsia" w:ascii="楷体_GB2312" w:eastAsia="楷体_GB2312"/>
                <w:kern w:val="0"/>
                <w:sz w:val="24"/>
              </w:rPr>
              <w:t>一次性建设补助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仿宋_GB2312" w:eastAsia="仿宋_GB2312"/>
                <w:kern w:val="0"/>
                <w:sz w:val="24"/>
              </w:rPr>
              <w:t>2011</w:t>
            </w:r>
            <w:r>
              <w:rPr>
                <w:rFonts w:hint="eastAsia" w:ascii="仿宋_GB2312" w:hAnsi="仿宋_GB2312" w:eastAsia="仿宋_GB2312"/>
                <w:kern w:val="0"/>
                <w:sz w:val="24"/>
              </w:rPr>
              <w:t>年以来本区行政区域范围内由政府或境内外企事业单位、社会组织、个人，以独资、合资、合作及</w:t>
            </w:r>
            <w:r>
              <w:rPr>
                <w:rFonts w:ascii="仿宋_GB2312" w:hAnsi="仿宋_GB2312" w:eastAsia="仿宋_GB2312"/>
                <w:kern w:val="0"/>
                <w:sz w:val="24"/>
              </w:rPr>
              <w:t>PPP</w:t>
            </w:r>
            <w:r>
              <w:rPr>
                <w:rFonts w:hint="eastAsia" w:ascii="仿宋_GB2312" w:hAnsi="仿宋_GB2312" w:eastAsia="仿宋_GB2312"/>
                <w:kern w:val="0"/>
                <w:sz w:val="24"/>
              </w:rPr>
              <w:t>（公私合营）等方式新建、扩建以及租赁房屋改建的养老机构（不含护理型）建设项目。居家式、产权式、会员制养老机构建设项目不在补助范围。</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kern w:val="0"/>
                <w:sz w:val="24"/>
              </w:rPr>
              <w:t>对审核通过符合条件的养老机构补助标准：新建及利用自有房产建设的，每张床位省、市分别补助</w:t>
            </w:r>
            <w:r>
              <w:rPr>
                <w:rFonts w:ascii="仿宋_GB2312" w:hAnsi="仿宋_GB2312" w:eastAsia="仿宋_GB2312"/>
                <w:kern w:val="0"/>
                <w:sz w:val="24"/>
              </w:rPr>
              <w:t>4500</w:t>
            </w:r>
            <w:r>
              <w:rPr>
                <w:rFonts w:hint="eastAsia" w:ascii="仿宋_GB2312" w:hAnsi="仿宋_GB2312" w:eastAsia="仿宋_GB2312"/>
                <w:kern w:val="0"/>
                <w:sz w:val="24"/>
              </w:rPr>
              <w:t>元、</w:t>
            </w:r>
            <w:r>
              <w:rPr>
                <w:rFonts w:ascii="仿宋_GB2312" w:hAnsi="仿宋_GB2312" w:eastAsia="仿宋_GB2312"/>
                <w:kern w:val="0"/>
                <w:sz w:val="24"/>
              </w:rPr>
              <w:t>2000</w:t>
            </w:r>
            <w:r>
              <w:rPr>
                <w:rFonts w:hint="eastAsia" w:ascii="仿宋_GB2312" w:hAnsi="仿宋_GB2312" w:eastAsia="仿宋_GB2312"/>
                <w:kern w:val="0"/>
                <w:sz w:val="24"/>
              </w:rPr>
              <w:t>元、1000元；租赁用房且租用期</w:t>
            </w:r>
            <w:r>
              <w:rPr>
                <w:rFonts w:ascii="仿宋_GB2312" w:hAnsi="仿宋_GB2312" w:eastAsia="仿宋_GB2312"/>
                <w:kern w:val="0"/>
                <w:sz w:val="24"/>
              </w:rPr>
              <w:t>5</w:t>
            </w:r>
            <w:r>
              <w:rPr>
                <w:rFonts w:hint="eastAsia" w:ascii="仿宋_GB2312" w:hAnsi="仿宋_GB2312" w:eastAsia="仿宋_GB2312"/>
                <w:kern w:val="0"/>
                <w:sz w:val="24"/>
              </w:rPr>
              <w:t>年以上、达到前述条件的养老机构，每张床位省、市、区分别补助</w:t>
            </w:r>
            <w:r>
              <w:rPr>
                <w:rFonts w:ascii="仿宋_GB2312" w:hAnsi="仿宋_GB2312" w:eastAsia="仿宋_GB2312"/>
                <w:kern w:val="0"/>
                <w:sz w:val="24"/>
              </w:rPr>
              <w:t>2000</w:t>
            </w:r>
            <w:r>
              <w:rPr>
                <w:rFonts w:hint="eastAsia" w:ascii="仿宋_GB2312" w:hAnsi="仿宋_GB2312" w:eastAsia="仿宋_GB2312"/>
                <w:kern w:val="0"/>
                <w:sz w:val="24"/>
              </w:rPr>
              <w:t>元、</w:t>
            </w:r>
            <w:r>
              <w:rPr>
                <w:rFonts w:ascii="仿宋_GB2312" w:hAnsi="仿宋_GB2312" w:eastAsia="仿宋_GB2312"/>
                <w:kern w:val="0"/>
                <w:sz w:val="24"/>
              </w:rPr>
              <w:t>1000</w:t>
            </w:r>
            <w:r>
              <w:rPr>
                <w:rFonts w:hint="eastAsia" w:ascii="仿宋_GB2312" w:hAnsi="仿宋_GB2312" w:eastAsia="仿宋_GB2312"/>
                <w:kern w:val="0"/>
                <w:sz w:val="24"/>
              </w:rPr>
              <w:t>元、1000元。</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号）、临淄区人民政府《关于加快社会养老服务体系建设的意见》（临政发[2014]51号）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eastAsia="楷体_GB2312"/>
                <w:kern w:val="0"/>
                <w:sz w:val="24"/>
              </w:rPr>
              <w:t>护理型（医养结合型）养老机构一次性建设补助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ascii="仿宋_GB2312" w:hAnsi="仿宋_GB2312" w:eastAsia="仿宋_GB2312" w:cs="仿宋_GB2312"/>
                <w:color w:val="000000"/>
                <w:sz w:val="24"/>
              </w:rPr>
              <w:t>2015</w:t>
            </w:r>
            <w:r>
              <w:rPr>
                <w:rFonts w:hint="eastAsia" w:ascii="仿宋_GB2312" w:hAnsi="仿宋_GB2312" w:eastAsia="仿宋_GB2312" w:cs="仿宋_GB2312"/>
                <w:color w:val="000000"/>
                <w:sz w:val="24"/>
              </w:rPr>
              <w:t>年以来本区行政区域范围内由政府或境内外企事业单位、社会组织、个人，以独资、合资、合作及</w:t>
            </w:r>
            <w:r>
              <w:rPr>
                <w:rFonts w:ascii="仿宋_GB2312" w:hAnsi="仿宋_GB2312" w:eastAsia="仿宋_GB2312" w:cs="仿宋_GB2312"/>
                <w:color w:val="000000"/>
                <w:sz w:val="24"/>
              </w:rPr>
              <w:t>PPP</w:t>
            </w:r>
            <w:r>
              <w:rPr>
                <w:rFonts w:hint="eastAsia" w:ascii="仿宋_GB2312" w:hAnsi="仿宋_GB2312" w:eastAsia="仿宋_GB2312" w:cs="仿宋_GB2312"/>
                <w:color w:val="000000"/>
                <w:sz w:val="24"/>
              </w:rPr>
              <w:t>（公私合营）等方式新建、扩建以及租赁房屋改建的，重点为半失能、失能老年人提供服务的护理型养老机构、养护院、护理院等建设项目。居家式、产权式、会员制养老机构建设项目不在补助范围。</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kern w:val="0"/>
                <w:sz w:val="24"/>
              </w:rPr>
              <w:t>对审核通过符合条件护理型（医养结合型）养老机构，省、市、区在养老机构（不含护理型）一次性建设补助标准基础上提高</w:t>
            </w:r>
            <w:r>
              <w:rPr>
                <w:rFonts w:ascii="仿宋_GB2312" w:hAnsi="仿宋_GB2312" w:eastAsia="仿宋_GB2312"/>
                <w:kern w:val="0"/>
                <w:sz w:val="24"/>
              </w:rPr>
              <w:t>20%</w:t>
            </w:r>
            <w:r>
              <w:rPr>
                <w:rFonts w:hint="eastAsia" w:ascii="仿宋_GB2312" w:hAnsi="仿宋_GB2312" w:eastAsia="仿宋_GB2312"/>
                <w:kern w:val="0"/>
                <w:sz w:val="24"/>
              </w:rPr>
              <w:t>。</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号）、临淄区人民政府办公室关于加快推进全区养老服务业转型升级的实施意见（临政办字〔2017〕127号）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楷体_GB2312" w:eastAsia="楷体_GB2312"/>
                <w:kern w:val="0"/>
                <w:sz w:val="24"/>
              </w:rPr>
              <w:t>养老机构运营补助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kern w:val="0"/>
                <w:sz w:val="24"/>
              </w:rPr>
              <w:t>本区行政区域范围内已投入运营的社会办或公建（办）民营的养老机构。其中，公建（办）民营的养老机构补助对象为实际运营方。居家式、产权式、会员制养老机构不在补助范围。</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对符合条件的养老机构，根据入住的自理、半自理、完全不能自理的老年人数（含“三无”、五保老年人）进行补贴，补助标准为省级每人每年</w:t>
            </w:r>
            <w:r>
              <w:rPr>
                <w:rFonts w:ascii="仿宋_GB2312" w:hAnsi="仿宋_GB2312" w:eastAsia="仿宋_GB2312" w:cs="仿宋_GB2312"/>
                <w:color w:val="000000"/>
                <w:kern w:val="0"/>
                <w:sz w:val="24"/>
              </w:rPr>
              <w:t>600</w:t>
            </w:r>
            <w:r>
              <w:rPr>
                <w:rFonts w:hint="eastAsia" w:ascii="仿宋_GB2312" w:hAnsi="仿宋_GB2312" w:eastAsia="仿宋_GB2312" w:cs="仿宋_GB2312"/>
                <w:color w:val="000000"/>
                <w:kern w:val="0"/>
                <w:sz w:val="24"/>
              </w:rPr>
              <w:t>元、</w:t>
            </w:r>
            <w:r>
              <w:rPr>
                <w:rFonts w:ascii="仿宋_GB2312" w:hAnsi="仿宋_GB2312" w:eastAsia="仿宋_GB2312" w:cs="仿宋_GB2312"/>
                <w:color w:val="000000"/>
                <w:kern w:val="0"/>
                <w:sz w:val="24"/>
              </w:rPr>
              <w:t>1200</w:t>
            </w:r>
            <w:r>
              <w:rPr>
                <w:rFonts w:hint="eastAsia" w:ascii="仿宋_GB2312" w:hAnsi="仿宋_GB2312" w:eastAsia="仿宋_GB2312" w:cs="仿宋_GB2312"/>
                <w:color w:val="000000"/>
                <w:kern w:val="0"/>
                <w:sz w:val="24"/>
              </w:rPr>
              <w:t>元、</w:t>
            </w:r>
            <w:r>
              <w:rPr>
                <w:rFonts w:ascii="仿宋_GB2312" w:hAnsi="仿宋_GB2312" w:eastAsia="仿宋_GB2312" w:cs="仿宋_GB2312"/>
                <w:color w:val="000000"/>
                <w:kern w:val="0"/>
                <w:sz w:val="24"/>
              </w:rPr>
              <w:t>2400</w:t>
            </w:r>
            <w:r>
              <w:rPr>
                <w:rFonts w:hint="eastAsia" w:ascii="仿宋_GB2312" w:hAnsi="仿宋_GB2312" w:eastAsia="仿宋_GB2312" w:cs="仿宋_GB2312"/>
                <w:color w:val="000000"/>
                <w:kern w:val="0"/>
                <w:sz w:val="24"/>
              </w:rPr>
              <w:t>元，市级每人每年</w:t>
            </w:r>
            <w:r>
              <w:rPr>
                <w:rFonts w:ascii="仿宋_GB2312" w:hAnsi="仿宋_GB2312" w:eastAsia="仿宋_GB2312" w:cs="仿宋_GB2312"/>
                <w:color w:val="000000"/>
                <w:kern w:val="0"/>
                <w:sz w:val="24"/>
              </w:rPr>
              <w:t>300</w:t>
            </w:r>
            <w:r>
              <w:rPr>
                <w:rFonts w:hint="eastAsia" w:ascii="仿宋_GB2312" w:hAnsi="仿宋_GB2312" w:eastAsia="仿宋_GB2312" w:cs="仿宋_GB2312"/>
                <w:color w:val="000000"/>
                <w:kern w:val="0"/>
                <w:sz w:val="24"/>
              </w:rPr>
              <w:t>元、</w:t>
            </w:r>
            <w:r>
              <w:rPr>
                <w:rFonts w:ascii="仿宋_GB2312" w:hAnsi="仿宋_GB2312" w:eastAsia="仿宋_GB2312" w:cs="仿宋_GB2312"/>
                <w:color w:val="000000"/>
                <w:kern w:val="0"/>
                <w:sz w:val="24"/>
              </w:rPr>
              <w:t>500</w:t>
            </w:r>
            <w:r>
              <w:rPr>
                <w:rFonts w:hint="eastAsia" w:ascii="仿宋_GB2312" w:hAnsi="仿宋_GB2312" w:eastAsia="仿宋_GB2312" w:cs="仿宋_GB2312"/>
                <w:color w:val="000000"/>
                <w:kern w:val="0"/>
                <w:sz w:val="24"/>
              </w:rPr>
              <w:t>元、</w:t>
            </w:r>
            <w:r>
              <w:rPr>
                <w:rFonts w:ascii="仿宋_GB2312" w:hAnsi="仿宋_GB2312" w:eastAsia="仿宋_GB2312" w:cs="仿宋_GB2312"/>
                <w:color w:val="000000"/>
                <w:kern w:val="0"/>
                <w:sz w:val="24"/>
              </w:rPr>
              <w:t>1400</w:t>
            </w:r>
            <w:r>
              <w:rPr>
                <w:rFonts w:hint="eastAsia" w:ascii="仿宋_GB2312" w:hAnsi="仿宋_GB2312" w:eastAsia="仿宋_GB2312" w:cs="仿宋_GB2312"/>
                <w:color w:val="000000"/>
                <w:kern w:val="0"/>
                <w:sz w:val="24"/>
              </w:rPr>
              <w:t>元，区级每人每年</w:t>
            </w:r>
            <w:r>
              <w:rPr>
                <w:rFonts w:ascii="仿宋_GB2312" w:hAnsi="仿宋_GB2312" w:eastAsia="仿宋_GB2312" w:cs="仿宋_GB2312"/>
                <w:color w:val="000000"/>
                <w:kern w:val="0"/>
                <w:sz w:val="24"/>
              </w:rPr>
              <w:t>300</w:t>
            </w:r>
            <w:r>
              <w:rPr>
                <w:rFonts w:hint="eastAsia" w:ascii="仿宋_GB2312" w:hAnsi="仿宋_GB2312" w:eastAsia="仿宋_GB2312" w:cs="仿宋_GB2312"/>
                <w:color w:val="000000"/>
                <w:kern w:val="0"/>
                <w:sz w:val="24"/>
              </w:rPr>
              <w:t>元、</w:t>
            </w:r>
            <w:r>
              <w:rPr>
                <w:rFonts w:ascii="仿宋_GB2312" w:hAnsi="仿宋_GB2312" w:eastAsia="仿宋_GB2312" w:cs="仿宋_GB2312"/>
                <w:color w:val="000000"/>
                <w:kern w:val="0"/>
                <w:sz w:val="24"/>
              </w:rPr>
              <w:t>500</w:t>
            </w:r>
            <w:r>
              <w:rPr>
                <w:rFonts w:hint="eastAsia" w:ascii="仿宋_GB2312" w:hAnsi="仿宋_GB2312" w:eastAsia="仿宋_GB2312" w:cs="仿宋_GB2312"/>
                <w:color w:val="000000"/>
                <w:kern w:val="0"/>
                <w:sz w:val="24"/>
              </w:rPr>
              <w:t>元、</w:t>
            </w:r>
            <w:r>
              <w:rPr>
                <w:rFonts w:ascii="仿宋_GB2312" w:hAnsi="仿宋_GB2312" w:eastAsia="仿宋_GB2312" w:cs="仿宋_GB2312"/>
                <w:color w:val="000000"/>
                <w:kern w:val="0"/>
                <w:sz w:val="24"/>
              </w:rPr>
              <w:t>1400</w:t>
            </w:r>
            <w:r>
              <w:rPr>
                <w:rFonts w:hint="eastAsia" w:ascii="仿宋_GB2312" w:hAnsi="仿宋_GB2312" w:eastAsia="仿宋_GB2312" w:cs="仿宋_GB2312"/>
                <w:color w:val="000000"/>
                <w:kern w:val="0"/>
                <w:sz w:val="24"/>
              </w:rPr>
              <w:t>元，连补三年。</w:t>
            </w:r>
          </w:p>
          <w:p>
            <w:pPr>
              <w:widowControl/>
              <w:spacing w:line="280" w:lineRule="exact"/>
              <w:jc w:val="left"/>
              <w:textAlignment w:val="center"/>
              <w:rPr>
                <w:rFonts w:ascii="仿宋_GB2312" w:hAnsi="仿宋_GB2312" w:eastAsia="仿宋_GB2312" w:cs="仿宋_GB2312"/>
                <w:color w:val="000000"/>
                <w:kern w:val="0"/>
                <w:sz w:val="24"/>
              </w:rPr>
            </w:pP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号）、临淄区人民政府办公室关于加快推进全区养老服务业转型升级的实施意见（临政办字〔2017〕127号）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eastAsia="楷体_GB2312"/>
                <w:kern w:val="0"/>
                <w:sz w:val="24"/>
              </w:rPr>
              <w:t>城市社区老年人日间照料中心一次性建设补助和开办补助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本市行政区域范围内由政府或企事业单位、社会组织、个人，按照本地养老设施建设专项规划或社区建设规划等相关规划要求，以独资或合资合作等方式建设的城市社区老年人日间照料中心。</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对建筑面积在3</w:t>
            </w:r>
            <w:r>
              <w:rPr>
                <w:rFonts w:ascii="仿宋_GB2312" w:hAnsi="仿宋_GB2312" w:eastAsia="仿宋_GB2312" w:cs="仿宋_GB2312"/>
                <w:color w:val="000000"/>
                <w:kern w:val="0"/>
                <w:sz w:val="24"/>
              </w:rPr>
              <w:t>00-</w:t>
            </w:r>
            <w:r>
              <w:rPr>
                <w:rFonts w:hint="eastAsia" w:ascii="仿宋_GB2312" w:hAnsi="仿宋_GB2312" w:eastAsia="仿宋_GB2312" w:cs="仿宋_GB2312"/>
                <w:color w:val="000000"/>
                <w:kern w:val="0"/>
                <w:sz w:val="24"/>
              </w:rPr>
              <w:t>750平方米、751平方米-1085平方米、</w:t>
            </w:r>
            <w:r>
              <w:rPr>
                <w:rFonts w:ascii="仿宋_GB2312" w:hAnsi="仿宋_GB2312" w:eastAsia="仿宋_GB2312" w:cs="仿宋_GB2312"/>
                <w:color w:val="000000"/>
                <w:kern w:val="0"/>
                <w:sz w:val="24"/>
              </w:rPr>
              <w:t>1086-1600</w:t>
            </w:r>
            <w:r>
              <w:rPr>
                <w:rFonts w:hint="eastAsia" w:ascii="仿宋_GB2312" w:hAnsi="仿宋_GB2312" w:eastAsia="仿宋_GB2312" w:cs="仿宋_GB2312"/>
                <w:color w:val="000000"/>
                <w:kern w:val="0"/>
                <w:sz w:val="24"/>
              </w:rPr>
              <w:t>平方米、</w:t>
            </w:r>
            <w:r>
              <w:rPr>
                <w:rFonts w:ascii="仿宋_GB2312" w:hAnsi="仿宋_GB2312" w:eastAsia="仿宋_GB2312" w:cs="仿宋_GB2312"/>
                <w:color w:val="000000"/>
                <w:kern w:val="0"/>
                <w:sz w:val="24"/>
              </w:rPr>
              <w:t>1600</w:t>
            </w:r>
            <w:r>
              <w:rPr>
                <w:rFonts w:hint="eastAsia" w:ascii="仿宋_GB2312" w:hAnsi="仿宋_GB2312" w:eastAsia="仿宋_GB2312" w:cs="仿宋_GB2312"/>
                <w:color w:val="000000"/>
                <w:kern w:val="0"/>
                <w:sz w:val="24"/>
              </w:rPr>
              <w:t>平方米以上的城市社区老年人日间照料中心，符合条件的省级分别给予10万元、</w:t>
            </w:r>
            <w:r>
              <w:rPr>
                <w:rFonts w:ascii="仿宋_GB2312" w:hAnsi="仿宋_GB2312" w:eastAsia="仿宋_GB2312" w:cs="仿宋_GB2312"/>
                <w:color w:val="000000"/>
                <w:kern w:val="0"/>
                <w:sz w:val="24"/>
              </w:rPr>
              <w:t>15</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20</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25</w:t>
            </w:r>
            <w:r>
              <w:rPr>
                <w:rFonts w:hint="eastAsia" w:ascii="仿宋_GB2312" w:hAnsi="仿宋_GB2312" w:eastAsia="仿宋_GB2312" w:cs="仿宋_GB2312"/>
                <w:color w:val="000000"/>
                <w:kern w:val="0"/>
                <w:sz w:val="24"/>
              </w:rPr>
              <w:t>万元的一次性建设补助，并按照建设规模分别给予</w:t>
            </w:r>
            <w:r>
              <w:rPr>
                <w:rFonts w:ascii="仿宋_GB2312" w:hAnsi="仿宋_GB2312" w:eastAsia="仿宋_GB2312" w:cs="仿宋_GB2312"/>
                <w:color w:val="000000"/>
                <w:kern w:val="0"/>
                <w:sz w:val="24"/>
              </w:rPr>
              <w:t>3</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4</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5</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6</w:t>
            </w:r>
            <w:r>
              <w:rPr>
                <w:rFonts w:hint="eastAsia" w:ascii="仿宋_GB2312" w:hAnsi="仿宋_GB2312" w:eastAsia="仿宋_GB2312" w:cs="仿宋_GB2312"/>
                <w:color w:val="000000"/>
                <w:kern w:val="0"/>
                <w:sz w:val="24"/>
              </w:rPr>
              <w:t>万元的开办补助。市级分别给予</w:t>
            </w:r>
            <w:r>
              <w:rPr>
                <w:rFonts w:ascii="仿宋_GB2312" w:hAnsi="仿宋_GB2312" w:eastAsia="仿宋_GB2312" w:cs="仿宋_GB2312"/>
                <w:color w:val="000000"/>
                <w:kern w:val="0"/>
                <w:sz w:val="24"/>
              </w:rPr>
              <w:t>5</w:t>
            </w:r>
            <w:r>
              <w:rPr>
                <w:rFonts w:hint="eastAsia" w:ascii="仿宋_GB2312" w:hAnsi="仿宋_GB2312" w:eastAsia="仿宋_GB2312" w:cs="仿宋_GB2312"/>
                <w:color w:val="000000"/>
                <w:kern w:val="0"/>
                <w:sz w:val="24"/>
              </w:rPr>
              <w:t>万元、5万元、</w:t>
            </w:r>
            <w:r>
              <w:rPr>
                <w:rFonts w:ascii="仿宋_GB2312" w:hAnsi="仿宋_GB2312" w:eastAsia="仿宋_GB2312" w:cs="仿宋_GB2312"/>
                <w:color w:val="000000"/>
                <w:kern w:val="0"/>
                <w:sz w:val="24"/>
              </w:rPr>
              <w:t>10</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15</w:t>
            </w:r>
            <w:r>
              <w:rPr>
                <w:rFonts w:hint="eastAsia" w:ascii="仿宋_GB2312" w:hAnsi="仿宋_GB2312" w:eastAsia="仿宋_GB2312" w:cs="仿宋_GB2312"/>
                <w:color w:val="000000"/>
                <w:kern w:val="0"/>
                <w:sz w:val="24"/>
              </w:rPr>
              <w:t>万元的一次性建设补助，并给予</w:t>
            </w:r>
            <w:r>
              <w:rPr>
                <w:rFonts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rPr>
              <w:t>万元的开办补助。区级对于建筑面积在200-300平方米、301-750平方米、751-1085平方米、1086-1600平方米、1600平方米以上的社区老年人日间照料中心分别给予3万、3万、5万、10万、15万元一次性建设补贴。</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号）、临淄区人民政府《关于加快社会养老服务体系建设的意见》（临政发[2014]51号）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eastAsia="楷体_GB2312"/>
                <w:kern w:val="0"/>
                <w:sz w:val="24"/>
              </w:rPr>
              <w:t>农村幸福院一次性建设补助和开办补助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kern w:val="0"/>
                <w:sz w:val="24"/>
              </w:rPr>
              <w:t>本市行政区域范围内依托村民自治和集体经济，在农村中心社区或建制村建设的为老年人提供生活居住、日间照料、休闲娱乐、精神慰藉等服务的互助养老服务设施。</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kern w:val="0"/>
                <w:sz w:val="24"/>
              </w:rPr>
              <w:t>对符合条件的农村幸福院，省、市分别给予一次性建设补助</w:t>
            </w:r>
            <w:r>
              <w:rPr>
                <w:rFonts w:ascii="仿宋_GB2312" w:hAnsi="仿宋_GB2312" w:eastAsia="仿宋_GB2312"/>
                <w:kern w:val="0"/>
                <w:sz w:val="24"/>
              </w:rPr>
              <w:t>3</w:t>
            </w:r>
            <w:r>
              <w:rPr>
                <w:rFonts w:hint="eastAsia" w:ascii="仿宋_GB2312" w:hAnsi="仿宋_GB2312" w:eastAsia="仿宋_GB2312"/>
                <w:kern w:val="0"/>
                <w:sz w:val="24"/>
              </w:rPr>
              <w:t>万元、</w:t>
            </w:r>
            <w:r>
              <w:rPr>
                <w:rFonts w:ascii="仿宋_GB2312" w:hAnsi="仿宋_GB2312" w:eastAsia="仿宋_GB2312"/>
                <w:kern w:val="0"/>
                <w:sz w:val="24"/>
              </w:rPr>
              <w:t>3</w:t>
            </w:r>
            <w:r>
              <w:rPr>
                <w:rFonts w:hint="eastAsia" w:ascii="仿宋_GB2312" w:hAnsi="仿宋_GB2312" w:eastAsia="仿宋_GB2312"/>
                <w:kern w:val="0"/>
                <w:sz w:val="24"/>
              </w:rPr>
              <w:t>万元，开办补助</w:t>
            </w:r>
            <w:r>
              <w:rPr>
                <w:rFonts w:ascii="仿宋_GB2312" w:hAnsi="仿宋_GB2312" w:eastAsia="仿宋_GB2312"/>
                <w:kern w:val="0"/>
                <w:sz w:val="24"/>
              </w:rPr>
              <w:t>3</w:t>
            </w:r>
            <w:r>
              <w:rPr>
                <w:rFonts w:hint="eastAsia" w:ascii="仿宋_GB2312" w:hAnsi="仿宋_GB2312" w:eastAsia="仿宋_GB2312"/>
                <w:kern w:val="0"/>
                <w:sz w:val="24"/>
              </w:rPr>
              <w:t>万元、</w:t>
            </w:r>
            <w:r>
              <w:rPr>
                <w:rFonts w:ascii="仿宋_GB2312" w:hAnsi="仿宋_GB2312" w:eastAsia="仿宋_GB2312"/>
                <w:kern w:val="0"/>
                <w:sz w:val="24"/>
              </w:rPr>
              <w:t>1</w:t>
            </w:r>
            <w:r>
              <w:rPr>
                <w:rFonts w:hint="eastAsia" w:ascii="仿宋_GB2312" w:hAnsi="仿宋_GB2312" w:eastAsia="仿宋_GB2312"/>
                <w:kern w:val="0"/>
                <w:sz w:val="24"/>
              </w:rPr>
              <w:t>万元。区级给予开办补贴3万元/处。</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号）、临淄区人民政府《关于加快社会养老服务体系建设的意见》（临政发[2014]51号）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楷体_GB2312" w:hAnsi="楷体_GB2312" w:eastAsia="楷体_GB2312"/>
                <w:kern w:val="0"/>
                <w:sz w:val="24"/>
              </w:rPr>
              <w:t>本专科</w:t>
            </w:r>
            <w:r>
              <w:rPr>
                <w:rFonts w:hint="eastAsia" w:ascii="楷体_GB2312" w:eastAsia="楷体_GB2312"/>
                <w:kern w:val="0"/>
                <w:sz w:val="24"/>
              </w:rPr>
              <w:t>毕业生入职养老服务</w:t>
            </w:r>
            <w:r>
              <w:rPr>
                <w:rFonts w:hint="eastAsia" w:ascii="楷体_GB2312" w:hAnsi="楷体_GB2312" w:eastAsia="楷体_GB2312"/>
                <w:kern w:val="0"/>
                <w:sz w:val="24"/>
              </w:rPr>
              <w:t>一次性</w:t>
            </w:r>
            <w:r>
              <w:rPr>
                <w:rFonts w:hint="eastAsia" w:ascii="楷体_GB2312" w:eastAsia="楷体_GB2312"/>
                <w:kern w:val="0"/>
                <w:sz w:val="24"/>
              </w:rPr>
              <w:t>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本区行政区域范围内与养老服务机构签订</w:t>
            </w:r>
            <w:r>
              <w:rPr>
                <w:rFonts w:ascii="仿宋_GB2312" w:hAnsi="仿宋_GB2312" w:eastAsia="仿宋_GB2312" w:cs="仿宋_GB2312"/>
                <w:color w:val="000000"/>
                <w:kern w:val="0"/>
                <w:sz w:val="24"/>
              </w:rPr>
              <w:t>5</w:t>
            </w:r>
            <w:r>
              <w:rPr>
                <w:rFonts w:hint="eastAsia" w:ascii="仿宋_GB2312" w:hAnsi="仿宋_GB2312" w:eastAsia="仿宋_GB2312" w:cs="仿宋_GB2312"/>
                <w:color w:val="000000"/>
                <w:kern w:val="0"/>
                <w:sz w:val="24"/>
              </w:rPr>
              <w:t>年以上劳动合同并连续从业满</w:t>
            </w:r>
            <w:r>
              <w:rPr>
                <w:rFonts w:ascii="仿宋_GB2312" w:hAnsi="仿宋_GB2312" w:eastAsia="仿宋_GB2312" w:cs="仿宋_GB2312"/>
                <w:color w:val="000000"/>
                <w:kern w:val="0"/>
                <w:sz w:val="24"/>
              </w:rPr>
              <w:t>3</w:t>
            </w:r>
            <w:r>
              <w:rPr>
                <w:rFonts w:hint="eastAsia" w:ascii="仿宋_GB2312" w:hAnsi="仿宋_GB2312" w:eastAsia="仿宋_GB2312" w:cs="仿宋_GB2312"/>
                <w:color w:val="000000"/>
                <w:kern w:val="0"/>
                <w:sz w:val="24"/>
              </w:rPr>
              <w:t>年以上的本、专科毕业生和技工学院、高级技工学校毕业生。</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对符合条件的入职养老机构的本科、专科毕业生，给予一次性入职补助，省级分别补助每人</w:t>
            </w:r>
            <w:r>
              <w:rPr>
                <w:rFonts w:ascii="仿宋_GB2312" w:hAnsi="仿宋_GB2312" w:eastAsia="仿宋_GB2312" w:cs="仿宋_GB2312"/>
                <w:color w:val="000000"/>
                <w:kern w:val="0"/>
                <w:sz w:val="24"/>
              </w:rPr>
              <w:t>2</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1.5</w:t>
            </w:r>
            <w:r>
              <w:rPr>
                <w:rFonts w:hint="eastAsia" w:ascii="仿宋_GB2312" w:hAnsi="仿宋_GB2312" w:eastAsia="仿宋_GB2312" w:cs="仿宋_GB2312"/>
                <w:color w:val="000000"/>
                <w:kern w:val="0"/>
                <w:sz w:val="24"/>
              </w:rPr>
              <w:t>万元，市区两级分别补助每人</w:t>
            </w:r>
            <w:r>
              <w:rPr>
                <w:rFonts w:ascii="仿宋_GB2312" w:hAnsi="仿宋_GB2312" w:eastAsia="仿宋_GB2312" w:cs="仿宋_GB2312"/>
                <w:color w:val="000000"/>
                <w:kern w:val="0"/>
                <w:sz w:val="24"/>
              </w:rPr>
              <w:t>1.5</w:t>
            </w:r>
            <w:r>
              <w:rPr>
                <w:rFonts w:hint="eastAsia" w:ascii="仿宋_GB2312" w:hAnsi="仿宋_GB2312" w:eastAsia="仿宋_GB2312" w:cs="仿宋_GB2312"/>
                <w:color w:val="000000"/>
                <w:kern w:val="0"/>
                <w:sz w:val="24"/>
              </w:rPr>
              <w:t>万元、</w:t>
            </w:r>
            <w:r>
              <w:rPr>
                <w:rFonts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rPr>
              <w:t>万元。</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号）、临淄区人民政府办公室关于加快推进全区养老服务业转型升级的实施意见（临政办字〔2017〕127号）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楷体_GB2312" w:eastAsia="楷体_GB2312"/>
                <w:kern w:val="0"/>
                <w:sz w:val="24"/>
              </w:rPr>
              <w:t>养老护理员职业资格补助</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宋体" w:eastAsia="仿宋_GB2312"/>
                <w:kern w:val="0"/>
                <w:sz w:val="24"/>
              </w:rPr>
              <w:t>在本区行政区域范围内养老机构护理岗位连续从业</w:t>
            </w:r>
            <w:r>
              <w:rPr>
                <w:rFonts w:ascii="仿宋_GB2312" w:hAnsi="宋体" w:eastAsia="仿宋_GB2312"/>
                <w:kern w:val="0"/>
                <w:sz w:val="24"/>
              </w:rPr>
              <w:t>2</w:t>
            </w:r>
            <w:r>
              <w:rPr>
                <w:rFonts w:hint="eastAsia" w:ascii="仿宋_GB2312" w:hAnsi="宋体" w:eastAsia="仿宋_GB2312"/>
                <w:kern w:val="0"/>
                <w:sz w:val="24"/>
              </w:rPr>
              <w:t>年以上，取得国家养老护理员技师、高级工职业资格证书的人员。</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宋体" w:eastAsia="仿宋_GB2312"/>
                <w:kern w:val="0"/>
                <w:sz w:val="24"/>
              </w:rPr>
              <w:t>对符合条件的取得国家养老护理员技师、高级工职业资格证书的养老机构护理员，给予一次性职业资格补助，省级补助每人</w:t>
            </w:r>
            <w:r>
              <w:rPr>
                <w:rFonts w:ascii="仿宋_GB2312" w:hAnsi="宋体" w:eastAsia="仿宋_GB2312"/>
                <w:kern w:val="0"/>
                <w:sz w:val="24"/>
              </w:rPr>
              <w:t>2000</w:t>
            </w:r>
            <w:r>
              <w:rPr>
                <w:rFonts w:hint="eastAsia" w:ascii="仿宋_GB2312" w:hAnsi="宋体" w:eastAsia="仿宋_GB2312"/>
                <w:kern w:val="0"/>
                <w:sz w:val="24"/>
              </w:rPr>
              <w:t>元、</w:t>
            </w:r>
            <w:r>
              <w:rPr>
                <w:rFonts w:ascii="仿宋_GB2312" w:hAnsi="宋体" w:eastAsia="仿宋_GB2312"/>
                <w:kern w:val="0"/>
                <w:sz w:val="24"/>
              </w:rPr>
              <w:t>1500</w:t>
            </w:r>
            <w:r>
              <w:rPr>
                <w:rFonts w:hint="eastAsia" w:ascii="仿宋_GB2312" w:hAnsi="宋体" w:eastAsia="仿宋_GB2312"/>
                <w:kern w:val="0"/>
                <w:sz w:val="24"/>
              </w:rPr>
              <w:t>元，市级补助每人</w:t>
            </w:r>
            <w:r>
              <w:rPr>
                <w:rFonts w:ascii="仿宋_GB2312" w:hAnsi="宋体" w:eastAsia="仿宋_GB2312"/>
                <w:kern w:val="0"/>
                <w:sz w:val="24"/>
              </w:rPr>
              <w:t>1500</w:t>
            </w:r>
            <w:r>
              <w:rPr>
                <w:rFonts w:hint="eastAsia" w:ascii="仿宋_GB2312" w:hAnsi="宋体" w:eastAsia="仿宋_GB2312"/>
                <w:kern w:val="0"/>
                <w:sz w:val="24"/>
              </w:rPr>
              <w:t>元、</w:t>
            </w:r>
            <w:r>
              <w:rPr>
                <w:rFonts w:ascii="仿宋_GB2312" w:hAnsi="宋体" w:eastAsia="仿宋_GB2312"/>
                <w:kern w:val="0"/>
                <w:sz w:val="24"/>
              </w:rPr>
              <w:t>1000</w:t>
            </w:r>
            <w:r>
              <w:rPr>
                <w:rFonts w:hint="eastAsia" w:ascii="仿宋_GB2312" w:hAnsi="宋体" w:eastAsia="仿宋_GB2312"/>
                <w:kern w:val="0"/>
                <w:sz w:val="24"/>
              </w:rPr>
              <w:t>元</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《山东省民政厅</w:t>
            </w:r>
            <w:r>
              <w:rPr>
                <w:rFonts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rPr>
              <w:t>山东省财政厅关于印发〈山东省养老服务业省级专项资金补助项目实施方案〉的通知》（鲁民〔</w:t>
            </w:r>
            <w:r>
              <w:rPr>
                <w:rFonts w:ascii="仿宋_GB2312" w:hAnsi="黑体" w:eastAsia="仿宋_GB2312" w:cs="黑体"/>
                <w:sz w:val="24"/>
              </w:rPr>
              <w:t>2016</w:t>
            </w:r>
            <w:r>
              <w:rPr>
                <w:rFonts w:hint="eastAsia" w:ascii="仿宋_GB2312" w:hAnsi="黑体" w:eastAsia="仿宋_GB2312" w:cs="黑体"/>
                <w:sz w:val="24"/>
              </w:rPr>
              <w:t>〕</w:t>
            </w:r>
            <w:r>
              <w:rPr>
                <w:rFonts w:ascii="仿宋_GB2312" w:hAnsi="黑体" w:eastAsia="仿宋_GB2312" w:cs="黑体"/>
                <w:sz w:val="24"/>
              </w:rPr>
              <w:t>44</w:t>
            </w:r>
            <w:r>
              <w:rPr>
                <w:rFonts w:hint="eastAsia" w:ascii="仿宋_GB2312" w:hAnsi="黑体" w:eastAsia="仿宋_GB2312" w:cs="黑体"/>
                <w:sz w:val="24"/>
              </w:rPr>
              <w:t>号）、</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号）、《淄博市人民政府办公厅关于加快推进养老服务业转型升级的实施意见》（淄政办字〔</w:t>
            </w:r>
            <w:r>
              <w:rPr>
                <w:rFonts w:ascii="仿宋_GB2312" w:hAnsi="黑体" w:eastAsia="仿宋_GB2312" w:cs="黑体"/>
                <w:sz w:val="24"/>
              </w:rPr>
              <w:t>2017</w:t>
            </w:r>
            <w:r>
              <w:rPr>
                <w:rFonts w:hint="eastAsia" w:ascii="仿宋_GB2312" w:hAnsi="黑体" w:eastAsia="仿宋_GB2312" w:cs="黑体"/>
                <w:sz w:val="24"/>
              </w:rPr>
              <w:t>〕</w:t>
            </w:r>
            <w:r>
              <w:rPr>
                <w:rFonts w:ascii="仿宋_GB2312" w:hAnsi="黑体" w:eastAsia="仿宋_GB2312" w:cs="黑体"/>
                <w:sz w:val="24"/>
              </w:rPr>
              <w:t>13</w:t>
            </w:r>
            <w:r>
              <w:rPr>
                <w:rFonts w:hint="eastAsia" w:ascii="仿宋_GB2312" w:hAnsi="黑体" w:eastAsia="仿宋_GB2312" w:cs="黑体"/>
                <w:sz w:val="24"/>
              </w:rPr>
              <w:t>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楷体_GB2312" w:eastAsia="楷体_GB2312"/>
                <w:kern w:val="0"/>
                <w:sz w:val="24"/>
              </w:rPr>
              <w:t>养老服务与管理人员</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kern w:val="0"/>
                <w:sz w:val="24"/>
              </w:rPr>
              <w:t>参加市民政局组织的养老机构管理人员和中级养老护理员培训的人员。</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kern w:val="0"/>
                <w:sz w:val="24"/>
              </w:rPr>
              <w:t>民政局采取政府购买服务方式，委托大专院校或有资质的培训组织实施培训，待培训结束考核后，市民政局、财政局根据实际培训人数按照每人</w:t>
            </w:r>
            <w:r>
              <w:rPr>
                <w:rFonts w:ascii="仿宋_GB2312" w:hAnsi="仿宋_GB2312" w:eastAsia="仿宋_GB2312"/>
                <w:kern w:val="0"/>
                <w:sz w:val="24"/>
              </w:rPr>
              <w:t>1000</w:t>
            </w:r>
            <w:r>
              <w:rPr>
                <w:rFonts w:hint="eastAsia" w:ascii="仿宋_GB2312" w:hAnsi="仿宋_GB2312" w:eastAsia="仿宋_GB2312"/>
                <w:kern w:val="0"/>
                <w:sz w:val="24"/>
              </w:rPr>
              <w:t>元的标准据实拨付。</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区民政局、区财政局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黑体" w:eastAsia="仿宋_GB2312" w:cs="黑体"/>
                <w:sz w:val="24"/>
              </w:rPr>
              <w:t>、</w:t>
            </w:r>
            <w:r>
              <w:rPr>
                <w:rFonts w:hint="eastAsia" w:ascii="仿宋_GB2312" w:hAnsi="仿宋_GB2312" w:eastAsia="仿宋_GB2312" w:cs="仿宋_GB2312"/>
                <w:color w:val="000000"/>
                <w:kern w:val="0"/>
                <w:sz w:val="24"/>
              </w:rPr>
              <w:t>《淄博市人民政府关于加快发展养老服务业的意见》（淄政发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w:t>
            </w:r>
          </w:p>
        </w:tc>
      </w:tr>
      <w:tr>
        <w:tblPrEx>
          <w:tblCellMar>
            <w:top w:w="0" w:type="dxa"/>
            <w:left w:w="0" w:type="dxa"/>
            <w:bottom w:w="0" w:type="dxa"/>
            <w:right w:w="0" w:type="dxa"/>
          </w:tblCellMar>
        </w:tblPrEx>
        <w:trPr>
          <w:trHeight w:val="166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r>
              <w:rPr>
                <w:rFonts w:ascii="仿宋_GB2312" w:hAnsi="Calibri Light" w:eastAsia="仿宋_GB2312"/>
                <w:sz w:val="24"/>
              </w:rPr>
              <w:t>14</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养老服务机构税费减免</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符合条件的养老服务机构</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按照国家和省有关规定，养老服务组织享受税收优惠和行政事业性收费减免政策，用水、用电、用气、用热，按照居民生活类价格标准收费。</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区发改局、区财政局、区税务局</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《山东省养老服务条例》、《淄博市人民政府关于加快发展养老服务业的意见》（淄政发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w:t>
            </w:r>
          </w:p>
        </w:tc>
      </w:tr>
      <w:tr>
        <w:tblPrEx>
          <w:tblCellMar>
            <w:top w:w="0" w:type="dxa"/>
            <w:left w:w="0" w:type="dxa"/>
            <w:bottom w:w="0" w:type="dxa"/>
            <w:right w:w="0" w:type="dxa"/>
          </w:tblCellMar>
        </w:tblPrEx>
        <w:trPr>
          <w:trHeight w:val="1815" w:hRule="atLeast"/>
        </w:trPr>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Calibri Light" w:eastAsia="仿宋_GB2312"/>
                <w:sz w:val="24"/>
              </w:rPr>
            </w:pPr>
            <w:r>
              <w:rPr>
                <w:rFonts w:ascii="仿宋_GB2312" w:hAnsi="Calibri Light" w:eastAsia="仿宋_GB2312"/>
                <w:sz w:val="24"/>
              </w:rPr>
              <w:t>15</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社区养老服务设施配建</w:t>
            </w:r>
          </w:p>
        </w:tc>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社区养老服务设施配建</w:t>
            </w:r>
          </w:p>
        </w:tc>
        <w:tc>
          <w:tcPr>
            <w:tcW w:w="1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社区老年人</w:t>
            </w:r>
          </w:p>
        </w:tc>
        <w:tc>
          <w:tcPr>
            <w:tcW w:w="4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华文宋体" w:eastAsia="仿宋_GB2312" w:cs="仿宋_GB2312"/>
                <w:color w:val="000000"/>
                <w:kern w:val="0"/>
                <w:sz w:val="24"/>
              </w:rPr>
            </w:pPr>
            <w:r>
              <w:rPr>
                <w:rFonts w:hint="eastAsia" w:ascii="仿宋_GB2312" w:hAnsi="仿宋_GB2312" w:eastAsia="仿宋_GB2312" w:cs="仿宋_GB2312"/>
                <w:color w:val="000000"/>
                <w:kern w:val="0"/>
                <w:sz w:val="24"/>
              </w:rPr>
              <w:t>新建城镇居住区按照每百户不</w:t>
            </w:r>
            <w:r>
              <w:rPr>
                <w:rFonts w:hint="eastAsia" w:ascii="仿宋_GB2312" w:hAnsi="华文宋体" w:eastAsia="仿宋_GB2312" w:cs="仿宋_GB2312"/>
                <w:color w:val="000000"/>
                <w:kern w:val="0"/>
                <w:sz w:val="24"/>
              </w:rPr>
              <w:t>低于</w:t>
            </w:r>
            <w:r>
              <w:rPr>
                <w:rFonts w:ascii="仿宋_GB2312" w:hAnsi="华文宋体" w:eastAsia="仿宋_GB2312" w:cs="仿宋_GB2312"/>
                <w:color w:val="000000"/>
                <w:kern w:val="0"/>
                <w:sz w:val="24"/>
              </w:rPr>
              <w:t>20</w:t>
            </w:r>
            <w:r>
              <w:rPr>
                <w:rFonts w:hint="eastAsia" w:ascii="仿宋_GB2312" w:hAnsi="华文宋体" w:eastAsia="仿宋_GB2312" w:cs="仿宋_GB2312"/>
                <w:color w:val="000000"/>
                <w:kern w:val="0"/>
                <w:sz w:val="24"/>
              </w:rPr>
              <w:t>平方米的标准配套建设社区养老服务设施；老旧小区通过购置、置换、租赁等方式，按每百户不少于</w:t>
            </w:r>
            <w:r>
              <w:rPr>
                <w:rFonts w:ascii="仿宋_GB2312" w:hAnsi="华文宋体" w:eastAsia="仿宋_GB2312" w:cs="仿宋_GB2312"/>
                <w:color w:val="000000"/>
                <w:kern w:val="0"/>
                <w:sz w:val="24"/>
              </w:rPr>
              <w:t>15</w:t>
            </w:r>
            <w:r>
              <w:rPr>
                <w:rFonts w:hint="eastAsia" w:ascii="仿宋_GB2312" w:hAnsi="华文宋体" w:eastAsia="仿宋_GB2312" w:cs="仿宋_GB2312"/>
                <w:color w:val="000000"/>
                <w:kern w:val="0"/>
                <w:sz w:val="24"/>
              </w:rPr>
              <w:t>平方米的标准调剂解决。</w:t>
            </w:r>
          </w:p>
        </w:tc>
        <w:tc>
          <w:tcPr>
            <w:tcW w:w="2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区民政局、区自然资源局、区住房城乡建设局，各镇、街道</w:t>
            </w:r>
          </w:p>
        </w:tc>
        <w:tc>
          <w:tcPr>
            <w:tcW w:w="3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《山东省养老服务条例》、《淄博市人民政府关于加快发展养老服务业的意见》（淄政发</w:t>
            </w:r>
            <w:r>
              <w:rPr>
                <w:rFonts w:hint="eastAsia" w:ascii="仿宋_GB2312" w:hAnsi="黑体" w:eastAsia="仿宋_GB2312" w:cs="黑体"/>
                <w:sz w:val="24"/>
              </w:rPr>
              <w:t>〔</w:t>
            </w:r>
            <w:r>
              <w:rPr>
                <w:rFonts w:ascii="仿宋_GB2312" w:hAnsi="黑体" w:eastAsia="仿宋_GB2312" w:cs="黑体"/>
                <w:sz w:val="24"/>
              </w:rPr>
              <w:t>2015</w:t>
            </w:r>
            <w:r>
              <w:rPr>
                <w:rFonts w:hint="eastAsia" w:ascii="仿宋_GB2312" w:hAnsi="黑体" w:eastAsia="仿宋_GB2312" w:cs="黑体"/>
                <w:sz w:val="24"/>
              </w:rPr>
              <w:t>〕</w:t>
            </w:r>
            <w:r>
              <w:rPr>
                <w:rFonts w:ascii="仿宋_GB2312" w:hAnsi="黑体" w:eastAsia="仿宋_GB2312" w:cs="黑体"/>
                <w:sz w:val="24"/>
              </w:rPr>
              <w:t>11</w:t>
            </w:r>
            <w:r>
              <w:rPr>
                <w:rFonts w:hint="eastAsia" w:ascii="仿宋_GB2312" w:hAnsi="黑体" w:eastAsia="仿宋_GB2312" w:cs="黑体"/>
                <w:sz w:val="24"/>
              </w:rPr>
              <w:t>号）</w:t>
            </w:r>
          </w:p>
        </w:tc>
      </w:tr>
    </w:tbl>
    <w:p>
      <w:pPr>
        <w:jc w:val="center"/>
        <w:rPr>
          <w:rFonts w:ascii="仿宋_GB2312" w:hAnsi="宋体" w:eastAsia="仿宋_GB2312" w:cs="仿宋_GB2312"/>
          <w:color w:val="000000"/>
          <w:kern w:val="0"/>
          <w:sz w:val="32"/>
          <w:szCs w:val="32"/>
        </w:rPr>
      </w:pPr>
    </w:p>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51F6CC-FD91-44A0-8AEA-03FFFA0D7DD0}"/>
  </w:font>
  <w:font w:name="Arial">
    <w:panose1 w:val="020B0604020202020204"/>
    <w:charset w:val="01"/>
    <w:family w:val="swiss"/>
    <w:pitch w:val="default"/>
    <w:sig w:usb0="E0002AFF" w:usb1="C0007843" w:usb2="00000009" w:usb3="00000000" w:csb0="400001FF" w:csb1="FFFF0000"/>
    <w:embedRegular r:id="rId2" w:fontKey="{E34988DC-F755-418F-BD20-F83280176EE5}"/>
  </w:font>
  <w:font w:name="黑体">
    <w:panose1 w:val="02010609060101010101"/>
    <w:charset w:val="86"/>
    <w:family w:val="auto"/>
    <w:pitch w:val="default"/>
    <w:sig w:usb0="800002BF" w:usb1="38CF7CFA" w:usb2="00000016" w:usb3="00000000" w:csb0="00040001" w:csb1="00000000"/>
    <w:embedRegular r:id="rId3" w:fontKey="{AE3F8194-E23D-4429-B7E3-0572A8B747AA}"/>
  </w:font>
  <w:font w:name="Courier New">
    <w:panose1 w:val="02070309020205020404"/>
    <w:charset w:val="01"/>
    <w:family w:val="modern"/>
    <w:pitch w:val="default"/>
    <w:sig w:usb0="E0002AFF" w:usb1="C0007843" w:usb2="00000009" w:usb3="00000000" w:csb0="400001FF" w:csb1="FFFF0000"/>
    <w:embedRegular r:id="rId4" w:fontKey="{554D929B-3854-41DC-8B3B-6D4A6CA1A307}"/>
  </w:font>
  <w:font w:name="Symbol">
    <w:panose1 w:val="05050102010706020507"/>
    <w:charset w:val="02"/>
    <w:family w:val="roman"/>
    <w:pitch w:val="default"/>
    <w:sig w:usb0="00000000" w:usb1="00000000" w:usb2="00000000" w:usb3="00000000" w:csb0="80000000" w:csb1="00000000"/>
    <w:embedRegular r:id="rId5" w:fontKey="{77DFBED8-E2CA-4836-B313-184ADE889313}"/>
  </w:font>
  <w:font w:name="Calibri">
    <w:panose1 w:val="020F0502020204030204"/>
    <w:charset w:val="00"/>
    <w:family w:val="swiss"/>
    <w:pitch w:val="default"/>
    <w:sig w:usb0="E00002FF" w:usb1="4000ACFF" w:usb2="00000001" w:usb3="00000000" w:csb0="2000019F" w:csb1="00000000"/>
    <w:embedRegular r:id="rId6" w:fontKey="{9779373F-A487-40F0-900B-0D220418B133}"/>
  </w:font>
  <w:font w:name="方正小标宋简体">
    <w:panose1 w:val="03000509000000000000"/>
    <w:charset w:val="86"/>
    <w:family w:val="auto"/>
    <w:pitch w:val="default"/>
    <w:sig w:usb0="00000001" w:usb1="080E0000" w:usb2="00000000" w:usb3="00000000" w:csb0="00040000" w:csb1="00000000"/>
    <w:embedRegular r:id="rId7" w:fontKey="{4FB7BA8A-A3A1-4147-8EF6-3CF8B45E847B}"/>
  </w:font>
  <w:font w:name="仿宋">
    <w:panose1 w:val="02010609060101010101"/>
    <w:charset w:val="86"/>
    <w:family w:val="modern"/>
    <w:pitch w:val="default"/>
    <w:sig w:usb0="800002BF" w:usb1="38CF7CFA" w:usb2="00000016" w:usb3="00000000" w:csb0="00040001" w:csb1="00000000"/>
    <w:embedRegular r:id="rId8" w:fontKey="{4A6574CB-F473-4479-8E3E-2405F98CC410}"/>
  </w:font>
  <w:font w:name="楷体">
    <w:panose1 w:val="02010609060101010101"/>
    <w:charset w:val="86"/>
    <w:family w:val="modern"/>
    <w:pitch w:val="default"/>
    <w:sig w:usb0="800002BF" w:usb1="38CF7CFA" w:usb2="00000016" w:usb3="00000000" w:csb0="00040001" w:csb1="00000000"/>
    <w:embedRegular r:id="rId9" w:fontKey="{7C463B01-D295-4E76-A553-0005180898DF}"/>
  </w:font>
  <w:font w:name="方正小标宋_GBK">
    <w:panose1 w:val="02000000000000000000"/>
    <w:charset w:val="86"/>
    <w:family w:val="auto"/>
    <w:pitch w:val="default"/>
    <w:sig w:usb0="A00002BF" w:usb1="38CF7CFA" w:usb2="00082016" w:usb3="00000000" w:csb0="00040001" w:csb1="00000000"/>
    <w:embedRegular r:id="rId10" w:fontKey="{8D30C511-FE47-496A-90B8-65430DCA7627}"/>
  </w:font>
  <w:font w:name="仿宋_GB2312">
    <w:panose1 w:val="02010609030101010101"/>
    <w:charset w:val="86"/>
    <w:family w:val="modern"/>
    <w:pitch w:val="default"/>
    <w:sig w:usb0="00000001" w:usb1="080E0000" w:usb2="00000000" w:usb3="00000000" w:csb0="00040000" w:csb1="00000000"/>
    <w:embedRegular r:id="rId11" w:fontKey="{ADB60544-B4E6-4828-8FE3-8FAF6D3AD506}"/>
  </w:font>
  <w:font w:name="Calibri Light">
    <w:panose1 w:val="020F0302020204030204"/>
    <w:charset w:val="00"/>
    <w:family w:val="swiss"/>
    <w:pitch w:val="default"/>
    <w:sig w:usb0="A00002EF" w:usb1="4000207B" w:usb2="00000000" w:usb3="00000000" w:csb0="2000019F" w:csb1="00000000"/>
    <w:embedRegular r:id="rId12" w:fontKey="{CAFDEF2B-CCC6-4A9D-934F-966C591E37AA}"/>
  </w:font>
  <w:font w:name="华文宋体">
    <w:altName w:val="宋体"/>
    <w:panose1 w:val="00000000000000000000"/>
    <w:charset w:val="86"/>
    <w:family w:val="auto"/>
    <w:pitch w:val="default"/>
    <w:sig w:usb0="00000000" w:usb1="00000000" w:usb2="00000010" w:usb3="00000000" w:csb0="0004009F" w:csb1="00000000"/>
    <w:embedRegular r:id="rId13" w:fontKey="{69FEA0DD-835C-40F5-9DE3-4BD433E418E1}"/>
  </w:font>
  <w:font w:name="楷体_GB2312">
    <w:panose1 w:val="02010609030101010101"/>
    <w:charset w:val="86"/>
    <w:family w:val="modern"/>
    <w:pitch w:val="default"/>
    <w:sig w:usb0="00000001" w:usb1="080E0000" w:usb2="00000000" w:usb3="00000000" w:csb0="00040000" w:csb1="00000000"/>
    <w:embedRegular r:id="rId14" w:fontKey="{0FC97918-0E80-4249-8B8E-516C33B7C8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9"/>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1907FD"/>
    <w:rsid w:val="000D6611"/>
    <w:rsid w:val="00191C9F"/>
    <w:rsid w:val="0028749F"/>
    <w:rsid w:val="00290587"/>
    <w:rsid w:val="002B7B5D"/>
    <w:rsid w:val="002F5529"/>
    <w:rsid w:val="003013DA"/>
    <w:rsid w:val="00361421"/>
    <w:rsid w:val="003A760C"/>
    <w:rsid w:val="003E484A"/>
    <w:rsid w:val="00413007"/>
    <w:rsid w:val="00445A53"/>
    <w:rsid w:val="004C780C"/>
    <w:rsid w:val="00502F0E"/>
    <w:rsid w:val="00504889"/>
    <w:rsid w:val="0051143C"/>
    <w:rsid w:val="0051617E"/>
    <w:rsid w:val="00520334"/>
    <w:rsid w:val="0052341E"/>
    <w:rsid w:val="00543007"/>
    <w:rsid w:val="005D2DFD"/>
    <w:rsid w:val="00696419"/>
    <w:rsid w:val="006D7D04"/>
    <w:rsid w:val="007341F0"/>
    <w:rsid w:val="007365BD"/>
    <w:rsid w:val="007F57A5"/>
    <w:rsid w:val="0080363D"/>
    <w:rsid w:val="009F3227"/>
    <w:rsid w:val="00A21E33"/>
    <w:rsid w:val="00A67466"/>
    <w:rsid w:val="00AA64CB"/>
    <w:rsid w:val="00BC4E04"/>
    <w:rsid w:val="00C1267C"/>
    <w:rsid w:val="00C155BE"/>
    <w:rsid w:val="00CC0747"/>
    <w:rsid w:val="00D20D06"/>
    <w:rsid w:val="00DB3906"/>
    <w:rsid w:val="00DD793A"/>
    <w:rsid w:val="00DF0038"/>
    <w:rsid w:val="00EE2CD9"/>
    <w:rsid w:val="00EF49A9"/>
    <w:rsid w:val="00F92728"/>
    <w:rsid w:val="00FA70BA"/>
    <w:rsid w:val="00FF55F5"/>
    <w:rsid w:val="0597537E"/>
    <w:rsid w:val="06890DA9"/>
    <w:rsid w:val="074F7FA1"/>
    <w:rsid w:val="0B1C0473"/>
    <w:rsid w:val="121907FD"/>
    <w:rsid w:val="22EF1501"/>
    <w:rsid w:val="23F805F0"/>
    <w:rsid w:val="25684B1C"/>
    <w:rsid w:val="284108B2"/>
    <w:rsid w:val="2A642FFF"/>
    <w:rsid w:val="3311279C"/>
    <w:rsid w:val="37695E48"/>
    <w:rsid w:val="3F714FDA"/>
    <w:rsid w:val="54A2116A"/>
    <w:rsid w:val="5C9C5337"/>
    <w:rsid w:val="63315B60"/>
    <w:rsid w:val="66FD556F"/>
    <w:rsid w:val="6CE94A8E"/>
    <w:rsid w:val="711423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semiHidden/>
    <w:unhideWhenUsed/>
    <w:uiPriority w:val="99"/>
    <w:pPr>
      <w:tabs>
        <w:tab w:val="center" w:pos="4153"/>
        <w:tab w:val="right" w:pos="8306"/>
      </w:tabs>
      <w:snapToGrid w:val="0"/>
      <w:jc w:val="left"/>
    </w:pPr>
    <w:rPr>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3"/>
    <w:semiHidden/>
    <w:qFormat/>
    <w:uiPriority w:val="99"/>
    <w:rPr>
      <w:rFonts w:ascii="Calibri" w:hAnsi="Calibri"/>
      <w:kern w:val="2"/>
      <w:sz w:val="18"/>
      <w:szCs w:val="18"/>
    </w:rPr>
  </w:style>
  <w:style w:type="character" w:customStyle="1" w:styleId="9">
    <w:name w:val="页脚 Char"/>
    <w:basedOn w:val="7"/>
    <w:link w:val="2"/>
    <w:semiHidden/>
    <w:qFormat/>
    <w:uiPriority w:val="99"/>
    <w:rPr>
      <w:rFonts w:ascii="Calibri" w:hAnsi="Calibri"/>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1081</Words>
  <Characters>6165</Characters>
  <Lines>51</Lines>
  <Paragraphs>14</Paragraphs>
  <TotalTime>8</TotalTime>
  <ScaleCrop>false</ScaleCrop>
  <LinksUpToDate>false</LinksUpToDate>
  <CharactersWithSpaces>7232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2020-12-07T07:15:00Z</dcterms:created>
  <dc:creator>刑天</dc:creator>
  <cp:lastModifiedBy>高灰调</cp:lastModifiedBy>
  <cp:lastPrinted>2020-11-30T07:08:00Z</cp:lastPrinted>
  <dcterms:modified xsi:type="dcterms:W3CDTF">2021-01-04T06:45:37Z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255566370_embed</vt:lpwstr>
  </property>
</Properties>
</file>