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640" w:lineRule="exact"/>
        <w:jc w:val="center"/>
        <w:rPr>
          <w:rFonts w:hint="eastAsia" w:ascii="方正小标宋简体" w:hAnsi="黑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/>
          <w:sz w:val="44"/>
          <w:szCs w:val="44"/>
        </w:rPr>
        <w:t>临淄区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民政局</w:t>
      </w:r>
    </w:p>
    <w:p>
      <w:pPr>
        <w:spacing w:line="64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</w:t>
      </w:r>
      <w:r>
        <w:rPr>
          <w:rFonts w:ascii="方正小标宋简体" w:hAnsi="黑体" w:eastAsia="方正小标宋简体"/>
          <w:sz w:val="44"/>
          <w:szCs w:val="44"/>
        </w:rPr>
        <w:t>21</w:t>
      </w:r>
      <w:r>
        <w:rPr>
          <w:rFonts w:hint="eastAsia" w:ascii="方正小标宋简体" w:hAnsi="黑体" w:eastAsia="方正小标宋简体"/>
          <w:sz w:val="44"/>
          <w:szCs w:val="44"/>
        </w:rPr>
        <w:t>年政府信息公开工作年度报告</w:t>
      </w:r>
    </w:p>
    <w:p>
      <w:pPr>
        <w:spacing w:line="64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ind w:firstLine="640" w:firstLineChars="200"/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本报告按照《国务院办公厅政府信息与政务公开办公室关于印发&lt;中华人民共和国政府信息公开工作年度报告格式&gt;的通知》(国办公开办函〔2021〕30号)和《中华人民共和国政府信息公开条例》要求编制，全文包括总体情况、主动公开政府信息情况、收到和处理政府信息公开申请情况、政府信息公开行政复议及行政诉讼情况、政府信息公开工作存在的主要问题及改进情况、其他需要报告的事项。本年度报告中所列数据统计期限从2021年1月1日到12月31日止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一、总体情况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今年以来，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临淄区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民政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局在区委、区政府和市局的正确领导下，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严格按照《中华人民共和国政府信息公开条例》规定，健全体制机制，强化工作措施，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扎实开展工作，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积极主动回应社会关切，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依法依规进行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答复，切实保证人民群众的参与权、知情权，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有序推进政府信息公开工作开展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2021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年度本机关主动公开政府信息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249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条，具体情况如下：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CESI楷体-GB2312" w:hAnsi="CESI楷体-GB2312" w:eastAsia="CESI楷体-GB2312" w:cs="CESI楷体-GB2312"/>
          <w:i w:val="0"/>
          <w:caps w:val="0"/>
          <w:color w:val="000000"/>
          <w:spacing w:val="0"/>
          <w:sz w:val="32"/>
          <w:szCs w:val="32"/>
          <w:shd w:val="clear" w:fill="FFFFFF"/>
        </w:rPr>
        <w:t>（一）主动公开</w:t>
      </w:r>
      <w:r>
        <w:rPr>
          <w:rFonts w:hint="eastAsia" w:ascii="CESI楷体-GB2312" w:hAnsi="CESI楷体-GB2312" w:eastAsia="CESI楷体-GB2312" w:cs="CESI楷体-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信息情况</w:t>
      </w:r>
      <w:r>
        <w:rPr>
          <w:rFonts w:hint="eastAsia" w:ascii="CESI楷体-GB2312" w:hAnsi="CESI楷体-GB2312" w:eastAsia="CESI楷体-GB2312" w:cs="CESI楷体-GB2312"/>
          <w:i w:val="0"/>
          <w:caps w:val="0"/>
          <w:color w:val="000000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其中业务工作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条、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政府会议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2条、重大行政决策0条、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规划计划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条、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民生公益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9条、社会救助67条、社会福利88条、重要部署执行公开0条、建议提案办理10条、财政信息3条、管理和服务公开3条、其他24条。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（以下为部分主动公开信息截图。）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drawing>
          <wp:inline distT="0" distB="0" distL="114300" distR="114300">
            <wp:extent cx="5266690" cy="2962910"/>
            <wp:effectExtent l="0" t="0" r="10160" b="8890"/>
            <wp:docPr id="5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center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yellow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图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1.业务工作截图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center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yellow"/>
          <w:shd w:val="clear" w:fill="FFFFFF"/>
          <w:lang w:val="en-US" w:eastAsia="zh-CN"/>
        </w:rPr>
      </w:pPr>
      <w:r>
        <w:drawing>
          <wp:inline distT="0" distB="0" distL="114300" distR="114300">
            <wp:extent cx="5266690" cy="2962910"/>
            <wp:effectExtent l="0" t="0" r="10160" b="8890"/>
            <wp:docPr id="6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center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图2.民生公益截图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center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yellow"/>
          <w:shd w:val="clear" w:fill="FFFFFF"/>
          <w:lang w:val="en-US" w:eastAsia="zh-CN"/>
        </w:rPr>
      </w:pPr>
      <w:r>
        <w:drawing>
          <wp:inline distT="0" distB="0" distL="114300" distR="114300">
            <wp:extent cx="5266690" cy="2962910"/>
            <wp:effectExtent l="0" t="0" r="10160" b="8890"/>
            <wp:docPr id="7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center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图3.社会福利截图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center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yellow"/>
          <w:shd w:val="clear" w:fill="FFFFFF"/>
          <w:lang w:val="en-US" w:eastAsia="zh-CN"/>
        </w:rPr>
      </w:pPr>
      <w:r>
        <w:drawing>
          <wp:inline distT="0" distB="0" distL="114300" distR="114300">
            <wp:extent cx="5266690" cy="2962910"/>
            <wp:effectExtent l="0" t="0" r="10160" b="8890"/>
            <wp:docPr id="8" name="图片 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center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图4.社会救助截图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CESI楷体-GB2312" w:hAnsi="CESI楷体-GB2312" w:eastAsia="CESI楷体-GB2312" w:cs="CESI楷体-GB2312"/>
          <w:i w:val="0"/>
          <w:caps w:val="0"/>
          <w:color w:val="000000"/>
          <w:spacing w:val="0"/>
          <w:sz w:val="32"/>
          <w:szCs w:val="32"/>
          <w:shd w:val="clear" w:fill="FFFFFF"/>
        </w:rPr>
        <w:t>（二）依申请公开情况。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2021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年我局收到依申请公开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件，其中，通过邮件等方式收到自然人关于本单位政府信息公开申请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件，通过政府平台收到自然人关于本单位政府信息公开申请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件。目前，均已办结，办结率100%。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7"/>
          <w:szCs w:val="27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CESI楷体-GB2312" w:hAnsi="CESI楷体-GB2312" w:eastAsia="CESI楷体-GB2312" w:cs="CESI楷体-GB2312"/>
          <w:i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eastAsia" w:ascii="CESI楷体-GB2312" w:hAnsi="CESI楷体-GB2312" w:eastAsia="CESI楷体-GB2312" w:cs="CESI楷体-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eastAsia" w:ascii="CESI楷体-GB2312" w:hAnsi="CESI楷体-GB2312" w:eastAsia="CESI楷体-GB2312" w:cs="CESI楷体-GB2312"/>
          <w:i w:val="0"/>
          <w:caps w:val="0"/>
          <w:color w:val="000000"/>
          <w:spacing w:val="0"/>
          <w:sz w:val="32"/>
          <w:szCs w:val="32"/>
          <w:shd w:val="clear" w:fill="FFFFFF"/>
        </w:rPr>
        <w:t>）</w:t>
      </w:r>
      <w:r>
        <w:rPr>
          <w:rFonts w:hint="eastAsia" w:ascii="CESI楷体-GB2312" w:hAnsi="CESI楷体-GB2312" w:eastAsia="CESI楷体-GB2312" w:cs="CESI楷体-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政府</w:t>
      </w:r>
      <w:r>
        <w:rPr>
          <w:rFonts w:hint="eastAsia" w:ascii="CESI楷体-GB2312" w:hAnsi="CESI楷体-GB2312" w:eastAsia="CESI楷体-GB2312" w:cs="CESI楷体-GB2312"/>
          <w:i w:val="0"/>
          <w:caps w:val="0"/>
          <w:color w:val="000000"/>
          <w:spacing w:val="0"/>
          <w:sz w:val="32"/>
          <w:szCs w:val="32"/>
          <w:shd w:val="clear" w:fill="FFFFFF"/>
        </w:rPr>
        <w:t>信息管理</w:t>
      </w:r>
      <w:r>
        <w:rPr>
          <w:rFonts w:hint="eastAsia" w:ascii="CESI楷体-GB2312" w:hAnsi="CESI楷体-GB2312" w:eastAsia="CESI楷体-GB2312" w:cs="CESI楷体-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情况</w:t>
      </w:r>
      <w:r>
        <w:rPr>
          <w:rFonts w:hint="eastAsia" w:ascii="CESI楷体-GB2312" w:hAnsi="CESI楷体-GB2312" w:eastAsia="CESI楷体-GB2312" w:cs="CESI楷体-GB2312"/>
          <w:i w:val="0"/>
          <w:caps w:val="0"/>
          <w:color w:val="000000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落细信息工作责任制度。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明确信息公开责任人，对拟在局门户网站公开的政府信息进行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内容审查和保密审查，统筹做好政务公开和保密工作，做到涉密信息不公开，公开信息不涉密。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注重信息管理衔接。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对主动公开目录和事项标准进行梳理，对交叉栏目、信息，进行统一梳理，杜绝重复现象，确保公开信息依法、及时、全面、准确和合理。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CESI楷体-GB2312" w:hAnsi="CESI楷体-GB2312" w:eastAsia="CESI楷体-GB2312" w:cs="CESI楷体-GB2312"/>
          <w:i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eastAsia" w:ascii="CESI楷体-GB2312" w:hAnsi="CESI楷体-GB2312" w:eastAsia="CESI楷体-GB2312" w:cs="CESI楷体-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四</w:t>
      </w:r>
      <w:r>
        <w:rPr>
          <w:rFonts w:hint="eastAsia" w:ascii="CESI楷体-GB2312" w:hAnsi="CESI楷体-GB2312" w:eastAsia="CESI楷体-GB2312" w:cs="CESI楷体-GB2312"/>
          <w:i w:val="0"/>
          <w:caps w:val="0"/>
          <w:color w:val="000000"/>
          <w:spacing w:val="0"/>
          <w:sz w:val="32"/>
          <w:szCs w:val="32"/>
          <w:shd w:val="clear" w:fill="FFFFFF"/>
        </w:rPr>
        <w:t>）</w:t>
      </w:r>
      <w:r>
        <w:rPr>
          <w:rFonts w:hint="eastAsia" w:ascii="CESI楷体-GB2312" w:hAnsi="CESI楷体-GB2312" w:eastAsia="CESI楷体-GB2312" w:cs="CESI楷体-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政府信息公开</w:t>
      </w:r>
      <w:r>
        <w:rPr>
          <w:rFonts w:hint="eastAsia" w:ascii="CESI楷体-GB2312" w:hAnsi="CESI楷体-GB2312" w:eastAsia="CESI楷体-GB2312" w:cs="CESI楷体-GB2312"/>
          <w:i w:val="0"/>
          <w:caps w:val="0"/>
          <w:color w:val="000000"/>
          <w:spacing w:val="0"/>
          <w:sz w:val="32"/>
          <w:szCs w:val="32"/>
          <w:shd w:val="clear" w:fill="FFFFFF"/>
        </w:rPr>
        <w:t>平台建设</w:t>
      </w:r>
      <w:r>
        <w:rPr>
          <w:rFonts w:hint="eastAsia" w:ascii="CESI楷体-GB2312" w:hAnsi="CESI楷体-GB2312" w:eastAsia="CESI楷体-GB2312" w:cs="CESI楷体-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情况</w:t>
      </w:r>
      <w:r>
        <w:rPr>
          <w:rFonts w:hint="eastAsia" w:ascii="CESI楷体-GB2312" w:hAnsi="CESI楷体-GB2312" w:eastAsia="CESI楷体-GB2312" w:cs="CESI楷体-GB2312"/>
          <w:i w:val="0"/>
          <w:caps w:val="0"/>
          <w:color w:val="000000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在临淄区门户网站设立临淄区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民政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局政府信息公开专栏，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整合“临淄民政”微信公众号功能，力求做到信息同步。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结合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民政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工作实际，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调整栏目设置，及时更新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了“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社会福利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”、“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双随机、一公开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”等栏目，按要求对外公开政府信息，做到及时维护和更新。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CESI楷体-GB2312" w:hAnsi="CESI楷体-GB2312" w:eastAsia="CESI楷体-GB2312" w:cs="CESI楷体-GB2312"/>
          <w:i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eastAsia" w:ascii="CESI楷体-GB2312" w:hAnsi="CESI楷体-GB2312" w:eastAsia="CESI楷体-GB2312" w:cs="CESI楷体-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五</w:t>
      </w:r>
      <w:r>
        <w:rPr>
          <w:rFonts w:hint="eastAsia" w:ascii="CESI楷体-GB2312" w:hAnsi="CESI楷体-GB2312" w:eastAsia="CESI楷体-GB2312" w:cs="CESI楷体-GB2312"/>
          <w:i w:val="0"/>
          <w:caps w:val="0"/>
          <w:color w:val="000000"/>
          <w:spacing w:val="0"/>
          <w:sz w:val="32"/>
          <w:szCs w:val="32"/>
          <w:shd w:val="clear" w:fill="FFFFFF"/>
        </w:rPr>
        <w:t>）监督保障</w:t>
      </w:r>
      <w:r>
        <w:rPr>
          <w:rFonts w:hint="eastAsia" w:ascii="CESI楷体-GB2312" w:hAnsi="CESI楷体-GB2312" w:eastAsia="CESI楷体-GB2312" w:cs="CESI楷体-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情况</w:t>
      </w:r>
      <w:r>
        <w:rPr>
          <w:rFonts w:hint="eastAsia" w:ascii="CESI楷体-GB2312" w:hAnsi="CESI楷体-GB2312" w:eastAsia="CESI楷体-GB2312" w:cs="CESI楷体-GB2312"/>
          <w:i w:val="0"/>
          <w:caps w:val="0"/>
          <w:color w:val="000000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及时调整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临淄区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民政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局政务公开工作领导小组，配备1名同志负责政务公开工作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。按时参加全区业务培训会议。严格按照上级要求，及时更新政府部门信息，补全确实要素，确保监督途径畅通。</w:t>
      </w:r>
    </w:p>
    <w:p>
      <w:pPr>
        <w:ind w:firstLine="648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二、主动公开政府信息情况</w:t>
      </w:r>
    </w:p>
    <w:p>
      <w:pPr>
        <w:spacing w:before="9"/>
        <w:jc w:val="left"/>
        <w:rPr>
          <w:rFonts w:ascii="宋体" w:hAnsi="宋体" w:eastAsia="宋体" w:cs="宋体"/>
          <w:kern w:val="0"/>
          <w:szCs w:val="21"/>
        </w:rPr>
      </w:pPr>
    </w:p>
    <w:tbl>
      <w:tblPr>
        <w:tblStyle w:val="12"/>
        <w:tblW w:w="8124" w:type="dxa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84"/>
        <w:gridCol w:w="1686"/>
        <w:gridCol w:w="1803"/>
        <w:gridCol w:w="13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8124" w:type="dxa"/>
            <w:gridSpan w:val="4"/>
            <w:tcBorders>
              <w:top w:val="single" w:color="2B283F" w:sz="8" w:space="0"/>
              <w:left w:val="single" w:color="3B3B44" w:sz="6" w:space="0"/>
              <w:bottom w:val="single" w:color="64647C" w:sz="4" w:space="0"/>
              <w:right w:val="single" w:color="3B3B44" w:sz="8" w:space="0"/>
            </w:tcBorders>
          </w:tcPr>
          <w:p>
            <w:pPr>
              <w:tabs>
                <w:tab w:val="left" w:pos="1048"/>
              </w:tabs>
              <w:spacing w:before="142"/>
              <w:ind w:left="-1" w:right="1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第二十条</w:t>
            </w:r>
            <w:r>
              <w:rPr>
                <w:sz w:val="21"/>
                <w:lang w:eastAsia="zh-CN"/>
              </w:rPr>
              <w:tab/>
            </w:r>
            <w:r>
              <w:rPr>
                <w:sz w:val="21"/>
                <w:lang w:eastAsia="zh-CN"/>
              </w:rPr>
              <w:t>第 （一</w:t>
            </w:r>
            <w:r>
              <w:rPr>
                <w:rFonts w:hint="eastAsia"/>
                <w:sz w:val="21"/>
                <w:lang w:eastAsia="zh-CN"/>
              </w:rPr>
              <w:t>）</w:t>
            </w:r>
            <w:r>
              <w:rPr>
                <w:sz w:val="21"/>
                <w:lang w:eastAsia="zh-CN"/>
              </w:rPr>
              <w:t xml:space="preserve">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</w:trPr>
        <w:tc>
          <w:tcPr>
            <w:tcW w:w="3284" w:type="dxa"/>
            <w:tcBorders>
              <w:top w:val="single" w:color="64647C" w:sz="4" w:space="0"/>
              <w:left w:val="single" w:color="3B3B44" w:sz="6" w:space="0"/>
              <w:bottom w:val="single" w:color="707790" w:sz="4" w:space="0"/>
              <w:right w:val="single" w:color="7C7C83" w:sz="4" w:space="0"/>
            </w:tcBorders>
          </w:tcPr>
          <w:p>
            <w:pPr>
              <w:spacing w:before="135"/>
              <w:ind w:right="27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信息内容</w:t>
            </w:r>
          </w:p>
        </w:tc>
        <w:tc>
          <w:tcPr>
            <w:tcW w:w="1686" w:type="dxa"/>
            <w:tcBorders>
              <w:top w:val="single" w:color="64647C" w:sz="4" w:space="0"/>
              <w:left w:val="single" w:color="7C7C83" w:sz="4" w:space="0"/>
              <w:bottom w:val="single" w:color="707790" w:sz="4" w:space="0"/>
              <w:right w:val="single" w:color="777780" w:sz="4" w:space="0"/>
            </w:tcBorders>
          </w:tcPr>
          <w:p>
            <w:pPr>
              <w:spacing w:before="135"/>
              <w:ind w:left="216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本年制发件数</w:t>
            </w:r>
          </w:p>
        </w:tc>
        <w:tc>
          <w:tcPr>
            <w:tcW w:w="1803" w:type="dxa"/>
            <w:tcBorders>
              <w:top w:val="single" w:color="64647C" w:sz="4" w:space="0"/>
              <w:left w:val="single" w:color="777780" w:sz="4" w:space="0"/>
              <w:bottom w:val="single" w:color="835B67" w:sz="4" w:space="0"/>
              <w:right w:val="single" w:color="606064" w:sz="2" w:space="0"/>
            </w:tcBorders>
          </w:tcPr>
          <w:p>
            <w:pPr>
              <w:spacing w:before="135"/>
              <w:ind w:left="275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本年废止件数</w:t>
            </w:r>
          </w:p>
        </w:tc>
        <w:tc>
          <w:tcPr>
            <w:tcW w:w="1351" w:type="dxa"/>
            <w:tcBorders>
              <w:top w:val="single" w:color="64647C" w:sz="4" w:space="0"/>
              <w:left w:val="single" w:color="606064" w:sz="2" w:space="0"/>
              <w:bottom w:val="single" w:color="835B67" w:sz="4" w:space="0"/>
              <w:right w:val="single" w:color="3B3B44" w:sz="8" w:space="0"/>
            </w:tcBorders>
          </w:tcPr>
          <w:p>
            <w:pPr>
              <w:spacing w:before="130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exact"/>
        </w:trPr>
        <w:tc>
          <w:tcPr>
            <w:tcW w:w="3284" w:type="dxa"/>
            <w:tcBorders>
              <w:top w:val="single" w:color="707790" w:sz="4" w:space="0"/>
              <w:left w:val="single" w:color="3B3B44" w:sz="6" w:space="0"/>
              <w:bottom w:val="single" w:color="747487" w:sz="4" w:space="0"/>
              <w:right w:val="single" w:color="97979C" w:sz="4" w:space="0"/>
            </w:tcBorders>
          </w:tcPr>
          <w:p>
            <w:pPr>
              <w:spacing w:before="147"/>
              <w:ind w:left="93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规章</w:t>
            </w:r>
          </w:p>
        </w:tc>
        <w:tc>
          <w:tcPr>
            <w:tcW w:w="1686" w:type="dxa"/>
            <w:tcBorders>
              <w:top w:val="single" w:color="707790" w:sz="4" w:space="0"/>
              <w:left w:val="single" w:color="97979C" w:sz="4" w:space="0"/>
              <w:bottom w:val="single" w:color="747487" w:sz="4" w:space="0"/>
              <w:right w:val="single" w:color="939397" w:sz="4" w:space="0"/>
            </w:tcBorders>
          </w:tcPr>
          <w:p>
            <w:pPr>
              <w:jc w:val="left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  <w:tc>
          <w:tcPr>
            <w:tcW w:w="1803" w:type="dxa"/>
            <w:tcBorders>
              <w:top w:val="single" w:color="835B67" w:sz="4" w:space="0"/>
              <w:left w:val="single" w:color="939397" w:sz="4" w:space="0"/>
              <w:bottom w:val="single" w:color="546080" w:sz="2" w:space="0"/>
              <w:right w:val="single" w:color="97939C" w:sz="4" w:space="0"/>
            </w:tcBorders>
          </w:tcPr>
          <w:p>
            <w:pPr>
              <w:jc w:val="left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  <w:tc>
          <w:tcPr>
            <w:tcW w:w="1351" w:type="dxa"/>
            <w:tcBorders>
              <w:top w:val="single" w:color="835B67" w:sz="4" w:space="0"/>
              <w:left w:val="single" w:color="97939C" w:sz="4" w:space="0"/>
              <w:bottom w:val="single" w:color="74778C" w:sz="4" w:space="0"/>
              <w:right w:val="single" w:color="3B3B3F" w:sz="8" w:space="0"/>
            </w:tcBorders>
          </w:tcPr>
          <w:p>
            <w:pPr>
              <w:jc w:val="left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747487" w:sz="4" w:space="0"/>
              <w:left w:val="single" w:color="3B3B44" w:sz="6" w:space="0"/>
              <w:bottom w:val="single" w:color="5B6080" w:sz="4" w:space="0"/>
              <w:right w:val="single" w:color="97979C" w:sz="4" w:space="0"/>
            </w:tcBorders>
          </w:tcPr>
          <w:p>
            <w:pPr>
              <w:spacing w:before="138"/>
              <w:ind w:left="93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行政规范性文件</w:t>
            </w:r>
          </w:p>
        </w:tc>
        <w:tc>
          <w:tcPr>
            <w:tcW w:w="1686" w:type="dxa"/>
            <w:tcBorders>
              <w:top w:val="single" w:color="747487" w:sz="4" w:space="0"/>
              <w:left w:val="single" w:color="97979C" w:sz="4" w:space="0"/>
              <w:bottom w:val="single" w:color="5B6080" w:sz="4" w:space="0"/>
              <w:right w:val="single" w:color="939397" w:sz="4" w:space="0"/>
            </w:tcBorders>
          </w:tcPr>
          <w:p>
            <w:pPr>
              <w:jc w:val="left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  <w:tc>
          <w:tcPr>
            <w:tcW w:w="1803" w:type="dxa"/>
            <w:tcBorders>
              <w:top w:val="single" w:color="546080" w:sz="2" w:space="0"/>
              <w:left w:val="single" w:color="939397" w:sz="4" w:space="0"/>
              <w:bottom w:val="single" w:color="5B6080" w:sz="4" w:space="0"/>
              <w:right w:val="single" w:color="97939C" w:sz="4" w:space="0"/>
            </w:tcBorders>
          </w:tcPr>
          <w:p>
            <w:pPr>
              <w:jc w:val="left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  <w:tc>
          <w:tcPr>
            <w:tcW w:w="1351" w:type="dxa"/>
            <w:tcBorders>
              <w:top w:val="single" w:color="74778C" w:sz="4" w:space="0"/>
              <w:left w:val="single" w:color="97939C" w:sz="4" w:space="0"/>
              <w:bottom w:val="single" w:color="5B6080" w:sz="4" w:space="0"/>
              <w:right w:val="single" w:color="3B3B3F" w:sz="8" w:space="0"/>
            </w:tcBorders>
          </w:tcPr>
          <w:p>
            <w:pPr>
              <w:jc w:val="left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8124" w:type="dxa"/>
            <w:gridSpan w:val="4"/>
            <w:tcBorders>
              <w:top w:val="single" w:color="5B6080" w:sz="4" w:space="0"/>
              <w:left w:val="single" w:color="3B3B44" w:sz="6" w:space="0"/>
              <w:bottom w:val="single" w:color="646B80" w:sz="4" w:space="0"/>
              <w:right w:val="single" w:color="3B3B3F" w:sz="8" w:space="0"/>
            </w:tcBorders>
          </w:tcPr>
          <w:p>
            <w:pPr>
              <w:tabs>
                <w:tab w:val="left" w:pos="1049"/>
              </w:tabs>
              <w:spacing w:before="140"/>
              <w:ind w:left="5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第二十条</w:t>
            </w:r>
            <w:r>
              <w:rPr>
                <w:sz w:val="21"/>
                <w:lang w:eastAsia="zh-CN"/>
              </w:rPr>
              <w:tab/>
            </w:r>
            <w:r>
              <w:rPr>
                <w:sz w:val="21"/>
                <w:lang w:eastAsia="zh-CN"/>
              </w:rPr>
              <w:t>第 （五</w:t>
            </w:r>
            <w:r>
              <w:rPr>
                <w:rFonts w:hint="eastAsia"/>
                <w:sz w:val="21"/>
                <w:lang w:eastAsia="zh-CN"/>
              </w:rPr>
              <w:t>）</w:t>
            </w:r>
            <w:r>
              <w:rPr>
                <w:sz w:val="21"/>
                <w:lang w:eastAsia="zh-CN"/>
              </w:rPr>
              <w:t xml:space="preserve">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646B80" w:sz="4" w:space="0"/>
              <w:left w:val="single" w:color="3B3B44" w:sz="6" w:space="0"/>
              <w:bottom w:val="single" w:color="80676B" w:sz="4" w:space="0"/>
              <w:right w:val="single" w:color="878787" w:sz="4" w:space="0"/>
            </w:tcBorders>
          </w:tcPr>
          <w:p>
            <w:pPr>
              <w:spacing w:before="138"/>
              <w:ind w:right="17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646B80" w:sz="4" w:space="0"/>
              <w:left w:val="single" w:color="878787" w:sz="4" w:space="0"/>
              <w:bottom w:val="single" w:color="7C7474" w:sz="4" w:space="0"/>
              <w:right w:val="single" w:color="3B3B3F" w:sz="8" w:space="0"/>
            </w:tcBorders>
          </w:tcPr>
          <w:p>
            <w:pPr>
              <w:spacing w:before="142"/>
              <w:ind w:right="16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80676B" w:sz="4" w:space="0"/>
              <w:left w:val="single" w:color="3B3B44" w:sz="6" w:space="0"/>
              <w:bottom w:val="single" w:color="646487" w:sz="4" w:space="0"/>
              <w:right w:val="single" w:color="878787" w:sz="4" w:space="0"/>
            </w:tcBorders>
          </w:tcPr>
          <w:p>
            <w:pPr>
              <w:spacing w:before="140"/>
              <w:ind w:left="98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行政许可</w:t>
            </w:r>
          </w:p>
        </w:tc>
        <w:tc>
          <w:tcPr>
            <w:tcW w:w="4840" w:type="dxa"/>
            <w:gridSpan w:val="3"/>
            <w:tcBorders>
              <w:top w:val="single" w:color="7C7474" w:sz="4" w:space="0"/>
              <w:left w:val="single" w:color="878787" w:sz="4" w:space="0"/>
              <w:bottom w:val="single" w:color="646487" w:sz="4" w:space="0"/>
              <w:right w:val="single" w:color="3B3B3F" w:sz="8" w:space="0"/>
            </w:tcBorders>
          </w:tcPr>
          <w:p>
            <w:pPr>
              <w:jc w:val="left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</w:trPr>
        <w:tc>
          <w:tcPr>
            <w:tcW w:w="8124" w:type="dxa"/>
            <w:gridSpan w:val="4"/>
            <w:tcBorders>
              <w:top w:val="single" w:color="646487" w:sz="4" w:space="0"/>
              <w:left w:val="single" w:color="3B3B44" w:sz="6" w:space="0"/>
              <w:bottom w:val="single" w:color="607087" w:sz="4" w:space="0"/>
              <w:right w:val="single" w:color="3B3B3F" w:sz="8" w:space="0"/>
            </w:tcBorders>
          </w:tcPr>
          <w:p>
            <w:pPr>
              <w:tabs>
                <w:tab w:val="left" w:pos="1059"/>
              </w:tabs>
              <w:spacing w:before="142"/>
              <w:ind w:left="15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第二十条</w:t>
            </w:r>
            <w:r>
              <w:rPr>
                <w:sz w:val="21"/>
                <w:lang w:eastAsia="zh-CN"/>
              </w:rPr>
              <w:tab/>
            </w:r>
            <w:r>
              <w:rPr>
                <w:sz w:val="21"/>
                <w:lang w:eastAsia="zh-CN"/>
              </w:rPr>
              <w:t>第 （六</w:t>
            </w:r>
            <w:r>
              <w:rPr>
                <w:rFonts w:hint="eastAsia"/>
                <w:sz w:val="21"/>
                <w:lang w:eastAsia="zh-CN"/>
              </w:rPr>
              <w:t>）</w:t>
            </w:r>
            <w:r>
              <w:rPr>
                <w:sz w:val="21"/>
                <w:lang w:eastAsia="zh-CN"/>
              </w:rPr>
              <w:t xml:space="preserve">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</w:trPr>
        <w:tc>
          <w:tcPr>
            <w:tcW w:w="3284" w:type="dxa"/>
            <w:tcBorders>
              <w:top w:val="single" w:color="607087" w:sz="4" w:space="0"/>
              <w:left w:val="single" w:color="3B3B44" w:sz="6" w:space="0"/>
              <w:bottom w:val="single" w:color="8C7774" w:sz="4" w:space="0"/>
              <w:right w:val="single" w:color="909093" w:sz="4" w:space="0"/>
            </w:tcBorders>
          </w:tcPr>
          <w:p>
            <w:pPr>
              <w:spacing w:before="142"/>
              <w:ind w:right="8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607087" w:sz="4" w:space="0"/>
              <w:left w:val="single" w:color="909093" w:sz="4" w:space="0"/>
              <w:bottom w:val="single" w:color="747074" w:sz="4" w:space="0"/>
              <w:right w:val="single" w:color="3B3B3F" w:sz="8" w:space="0"/>
            </w:tcBorders>
          </w:tcPr>
          <w:p>
            <w:pPr>
              <w:spacing w:before="142"/>
              <w:ind w:right="13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3284" w:type="dxa"/>
            <w:tcBorders>
              <w:top w:val="single" w:color="8C7774" w:sz="4" w:space="0"/>
              <w:left w:val="single" w:color="3B3B44" w:sz="6" w:space="0"/>
              <w:bottom w:val="single" w:color="7C6B74" w:sz="4" w:space="0"/>
              <w:right w:val="single" w:color="909093" w:sz="4" w:space="0"/>
            </w:tcBorders>
          </w:tcPr>
          <w:p>
            <w:pPr>
              <w:spacing w:before="139"/>
              <w:ind w:left="102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行政处罚</w:t>
            </w:r>
          </w:p>
        </w:tc>
        <w:tc>
          <w:tcPr>
            <w:tcW w:w="4840" w:type="dxa"/>
            <w:gridSpan w:val="3"/>
            <w:tcBorders>
              <w:top w:val="single" w:color="747074" w:sz="4" w:space="0"/>
              <w:left w:val="single" w:color="909093" w:sz="4" w:space="0"/>
              <w:bottom w:val="single" w:color="7C6B74" w:sz="4" w:space="0"/>
              <w:right w:val="single" w:color="3B3B3F" w:sz="8" w:space="0"/>
            </w:tcBorders>
          </w:tcPr>
          <w:p>
            <w:pPr>
              <w:jc w:val="left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</w:trPr>
        <w:tc>
          <w:tcPr>
            <w:tcW w:w="3284" w:type="dxa"/>
            <w:tcBorders>
              <w:top w:val="single" w:color="7C6B74" w:sz="4" w:space="0"/>
              <w:left w:val="single" w:color="3B3B44" w:sz="6" w:space="0"/>
              <w:bottom w:val="single" w:color="646080" w:sz="4" w:space="0"/>
              <w:right w:val="single" w:color="909093" w:sz="4" w:space="0"/>
            </w:tcBorders>
          </w:tcPr>
          <w:p>
            <w:pPr>
              <w:spacing w:before="138"/>
              <w:ind w:left="107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行政强制</w:t>
            </w:r>
          </w:p>
        </w:tc>
        <w:tc>
          <w:tcPr>
            <w:tcW w:w="4840" w:type="dxa"/>
            <w:gridSpan w:val="3"/>
            <w:tcBorders>
              <w:top w:val="single" w:color="7C6B74" w:sz="4" w:space="0"/>
              <w:left w:val="single" w:color="909093" w:sz="4" w:space="0"/>
              <w:bottom w:val="single" w:color="646080" w:sz="4" w:space="0"/>
              <w:right w:val="single" w:color="3B3B3F" w:sz="8" w:space="0"/>
            </w:tcBorders>
          </w:tcPr>
          <w:p>
            <w:pPr>
              <w:jc w:val="left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</w:trPr>
        <w:tc>
          <w:tcPr>
            <w:tcW w:w="8124" w:type="dxa"/>
            <w:gridSpan w:val="4"/>
            <w:tcBorders>
              <w:top w:val="single" w:color="646080" w:sz="4" w:space="0"/>
              <w:left w:val="single" w:color="3B3B44" w:sz="6" w:space="0"/>
              <w:bottom w:val="nil"/>
              <w:right w:val="single" w:color="3B3B3F" w:sz="8" w:space="0"/>
            </w:tcBorders>
          </w:tcPr>
          <w:p>
            <w:pPr>
              <w:tabs>
                <w:tab w:val="left" w:pos="1068"/>
              </w:tabs>
              <w:spacing w:before="142"/>
              <w:ind w:left="25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第二十条</w:t>
            </w:r>
            <w:r>
              <w:rPr>
                <w:sz w:val="21"/>
                <w:lang w:eastAsia="zh-CN"/>
              </w:rPr>
              <w:tab/>
            </w:r>
            <w:r>
              <w:rPr>
                <w:sz w:val="21"/>
                <w:lang w:eastAsia="zh-CN"/>
              </w:rPr>
              <w:t>第 （八）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6B747C" w:sz="4" w:space="0"/>
              <w:left w:val="single" w:color="5B5B60" w:sz="6" w:space="0"/>
              <w:bottom w:val="single" w:color="77778C" w:sz="4" w:space="0"/>
              <w:right w:val="single" w:color="auto" w:sz="4" w:space="0"/>
            </w:tcBorders>
          </w:tcPr>
          <w:p>
            <w:pPr>
              <w:spacing w:before="135"/>
              <w:ind w:right="1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45"/>
              <w:ind w:left="1446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本年收费金额  （单位 ：万元</w:t>
            </w:r>
            <w:r>
              <w:rPr>
                <w:rFonts w:hint="eastAsia"/>
                <w:sz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</w:trPr>
        <w:tc>
          <w:tcPr>
            <w:tcW w:w="3284" w:type="dxa"/>
            <w:tcBorders>
              <w:top w:val="single" w:color="77778C" w:sz="4" w:space="0"/>
              <w:left w:val="single" w:color="5B5B60" w:sz="6" w:space="0"/>
              <w:bottom w:val="single" w:color="3B383F" w:sz="8" w:space="0"/>
              <w:right w:val="single" w:color="8C8C93" w:sz="2" w:space="0"/>
            </w:tcBorders>
          </w:tcPr>
          <w:p>
            <w:pPr>
              <w:spacing w:before="138"/>
              <w:ind w:left="107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行政事业性收费</w:t>
            </w:r>
          </w:p>
        </w:tc>
        <w:tc>
          <w:tcPr>
            <w:tcW w:w="4840" w:type="dxa"/>
            <w:gridSpan w:val="3"/>
            <w:tcBorders>
              <w:top w:val="single" w:color="77778C" w:sz="4" w:space="0"/>
              <w:left w:val="single" w:color="8C8C93" w:sz="2" w:space="0"/>
              <w:bottom w:val="single" w:color="3B383F" w:sz="8" w:space="0"/>
              <w:right w:val="single" w:color="3B3B44" w:sz="8" w:space="0"/>
            </w:tcBorders>
          </w:tcPr>
          <w:p>
            <w:pPr>
              <w:jc w:val="left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三、收到和处理政府信息公开申请情况</w:t>
      </w:r>
    </w:p>
    <w:tbl>
      <w:tblPr>
        <w:tblStyle w:val="7"/>
        <w:tblW w:w="9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525"/>
        <w:gridCol w:w="2634"/>
        <w:gridCol w:w="554"/>
        <w:gridCol w:w="693"/>
        <w:gridCol w:w="692"/>
        <w:gridCol w:w="693"/>
        <w:gridCol w:w="693"/>
        <w:gridCol w:w="695"/>
        <w:gridCol w:w="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713" w:type="dxa"/>
            <w:gridSpan w:val="3"/>
            <w:vMerge w:val="restart"/>
            <w:vAlign w:val="center"/>
          </w:tcPr>
          <w:p>
            <w:r>
              <w:rPr>
                <w:rFonts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4685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4713" w:type="dxa"/>
            <w:gridSpan w:val="3"/>
            <w:vMerge w:val="continue"/>
          </w:tcPr>
          <w:p/>
        </w:tc>
        <w:tc>
          <w:tcPr>
            <w:tcW w:w="554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自然人</w:t>
            </w:r>
          </w:p>
        </w:tc>
        <w:tc>
          <w:tcPr>
            <w:tcW w:w="3466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法人或其他组织</w:t>
            </w:r>
          </w:p>
        </w:tc>
        <w:tc>
          <w:tcPr>
            <w:tcW w:w="665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4713" w:type="dxa"/>
            <w:gridSpan w:val="3"/>
            <w:vMerge w:val="continue"/>
          </w:tcPr>
          <w:p/>
        </w:tc>
        <w:tc>
          <w:tcPr>
            <w:tcW w:w="554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商业企业</w:t>
            </w:r>
          </w:p>
        </w:tc>
        <w:tc>
          <w:tcPr>
            <w:tcW w:w="69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科研机构</w:t>
            </w:r>
          </w:p>
        </w:tc>
        <w:tc>
          <w:tcPr>
            <w:tcW w:w="6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社会公益组织</w:t>
            </w:r>
          </w:p>
        </w:tc>
        <w:tc>
          <w:tcPr>
            <w:tcW w:w="6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法律服务机构</w:t>
            </w:r>
          </w:p>
        </w:tc>
        <w:tc>
          <w:tcPr>
            <w:tcW w:w="69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665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713" w:type="dxa"/>
            <w:gridSpan w:val="3"/>
          </w:tcPr>
          <w:p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55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4713" w:type="dxa"/>
            <w:gridSpan w:val="3"/>
          </w:tcPr>
          <w:p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55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54" w:type="dxa"/>
            <w:vMerge w:val="restart"/>
            <w:vAlign w:val="center"/>
          </w:tcPr>
          <w:p>
            <w:r>
              <w:rPr>
                <w:rFonts w:hint="eastAsia"/>
              </w:rPr>
              <w:t>三、本年度办理结果</w:t>
            </w:r>
          </w:p>
        </w:tc>
        <w:tc>
          <w:tcPr>
            <w:tcW w:w="4159" w:type="dxa"/>
            <w:gridSpan w:val="2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（一）予以公开</w:t>
            </w:r>
          </w:p>
        </w:tc>
        <w:tc>
          <w:tcPr>
            <w:tcW w:w="55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93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4159" w:type="dxa"/>
            <w:gridSpan w:val="2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54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（三）不予公开</w:t>
            </w: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．属于国家秘密</w:t>
            </w:r>
          </w:p>
        </w:tc>
        <w:tc>
          <w:tcPr>
            <w:tcW w:w="554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2．其他法律行政法规禁止公开</w:t>
            </w:r>
          </w:p>
        </w:tc>
        <w:tc>
          <w:tcPr>
            <w:tcW w:w="554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3．危及“三安全一稳定”</w:t>
            </w:r>
          </w:p>
        </w:tc>
        <w:tc>
          <w:tcPr>
            <w:tcW w:w="554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4．保护第三方合法权益</w:t>
            </w:r>
          </w:p>
        </w:tc>
        <w:tc>
          <w:tcPr>
            <w:tcW w:w="554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5．属于三类内部事务信息</w:t>
            </w:r>
          </w:p>
        </w:tc>
        <w:tc>
          <w:tcPr>
            <w:tcW w:w="554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54" w:type="dxa"/>
            <w:vMerge w:val="continue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需</w:t>
            </w:r>
          </w:p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6．属于四类过程性信息</w:t>
            </w:r>
          </w:p>
        </w:tc>
        <w:tc>
          <w:tcPr>
            <w:tcW w:w="554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7．属于行政执法案卷</w:t>
            </w:r>
          </w:p>
        </w:tc>
        <w:tc>
          <w:tcPr>
            <w:tcW w:w="554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8．属于行政查询事项</w:t>
            </w:r>
          </w:p>
        </w:tc>
        <w:tc>
          <w:tcPr>
            <w:tcW w:w="554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（四）无法提供</w:t>
            </w: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1．本机关不掌握相关政府信息</w:t>
            </w:r>
          </w:p>
        </w:tc>
        <w:tc>
          <w:tcPr>
            <w:tcW w:w="554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2．没有现成信息需要另行制作</w:t>
            </w:r>
          </w:p>
        </w:tc>
        <w:tc>
          <w:tcPr>
            <w:tcW w:w="554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3．补正后申请内容仍不明确</w:t>
            </w:r>
          </w:p>
        </w:tc>
        <w:tc>
          <w:tcPr>
            <w:tcW w:w="554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（五）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不予处理</w:t>
            </w: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1．信访举报投诉类申请</w:t>
            </w:r>
          </w:p>
        </w:tc>
        <w:tc>
          <w:tcPr>
            <w:tcW w:w="554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2．重复申请</w:t>
            </w:r>
          </w:p>
        </w:tc>
        <w:tc>
          <w:tcPr>
            <w:tcW w:w="554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．要求提供公开出版物</w:t>
            </w:r>
          </w:p>
        </w:tc>
        <w:tc>
          <w:tcPr>
            <w:tcW w:w="554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4．无正当理由大量反复申请</w:t>
            </w:r>
          </w:p>
        </w:tc>
        <w:tc>
          <w:tcPr>
            <w:tcW w:w="554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554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restart"/>
            <w:vAlign w:val="center"/>
          </w:tcPr>
          <w:p>
            <w:r>
              <w:rPr>
                <w:rFonts w:hint="eastAsia"/>
                <w:sz w:val="18"/>
                <w:szCs w:val="18"/>
              </w:rPr>
              <w:t>（六）其他处理</w:t>
            </w:r>
          </w:p>
        </w:tc>
        <w:tc>
          <w:tcPr>
            <w:tcW w:w="2634" w:type="dxa"/>
          </w:tcPr>
          <w:p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申请人无正当理由逾期不补正、行政机关不再处理其政府信息公开申请</w:t>
            </w:r>
          </w:p>
        </w:tc>
        <w:tc>
          <w:tcPr>
            <w:tcW w:w="554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hAnsiTheme="minorEastAsia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申请人逾期未按收费通知 要求缴纳费用、行政机关不再处理其政府信息公开申请</w:t>
            </w:r>
          </w:p>
        </w:tc>
        <w:tc>
          <w:tcPr>
            <w:tcW w:w="554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其他</w:t>
            </w:r>
          </w:p>
        </w:tc>
        <w:tc>
          <w:tcPr>
            <w:tcW w:w="554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4159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（七）总计</w:t>
            </w:r>
          </w:p>
        </w:tc>
        <w:tc>
          <w:tcPr>
            <w:tcW w:w="554" w:type="dxa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93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713" w:type="dxa"/>
            <w:gridSpan w:val="3"/>
            <w:vAlign w:val="center"/>
          </w:tcPr>
          <w:p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554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/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四、政府信息公开行政复议、行政诉讼情况</w:t>
      </w:r>
    </w:p>
    <w:tbl>
      <w:tblPr>
        <w:tblStyle w:val="7"/>
        <w:tblW w:w="9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709"/>
        <w:gridCol w:w="709"/>
        <w:gridCol w:w="706"/>
        <w:gridCol w:w="428"/>
        <w:gridCol w:w="708"/>
        <w:gridCol w:w="709"/>
        <w:gridCol w:w="709"/>
        <w:gridCol w:w="709"/>
        <w:gridCol w:w="425"/>
        <w:gridCol w:w="709"/>
        <w:gridCol w:w="708"/>
        <w:gridCol w:w="709"/>
        <w:gridCol w:w="694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207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行政复议</w:t>
            </w:r>
          </w:p>
        </w:tc>
        <w:tc>
          <w:tcPr>
            <w:tcW w:w="6505" w:type="dxa"/>
            <w:gridSpan w:val="1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未经复议直接起诉</w:t>
            </w:r>
          </w:p>
        </w:tc>
        <w:tc>
          <w:tcPr>
            <w:tcW w:w="3245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65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55" w:type="dxa"/>
            <w:vAlign w:val="center"/>
          </w:tcPr>
          <w:p>
            <w:pPr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存在问题：</w:t>
      </w:r>
      <w:r>
        <w:rPr>
          <w:rFonts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一是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政府信息公开工作意识不强。主动公开信息范围较小，对民众关注的信息关注度不够，不能充分发挥平台作用。二是政策解读形式单一。政策解读形式仅仅局限于文件，形式单一，需要进一步深化。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改进情况：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我单位将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持续加强政务信息公开工作力度，扩充信息公开范围，及时关注民政领域热点工作，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充实信息公开内容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创新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政策解读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公开形式，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深化解读内容，从形式、内容方面着手，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用群众喜闻乐见的方式进行形象化、口语化、多元化解读，使群众听得懂、记得牢、用得上。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六、其他需要报告的事项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本年度并无收取信息处理费。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（二）2021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民政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局共收到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区十八届人大四次会议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号、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号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23号、24号、25号5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项建议，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区政协十届四次会议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号、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号、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号、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122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号、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142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号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项提案。对收到的全部提案建议区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民政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局进行了认真办理，办结率100%、满意率100%，并及时公开办理情况报告，接受社会监督。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年度工作要点落实情况。根据部门职责，对“社会救助”、“社会福利”等重点栏目进行更新维护，定期进行公示。做好本部门财政预算、决算公开。做好本部门重要文件的政策解读，对主动公开的政策类文件进行解读。做好部门会议公开工作。做好本部门信箱和网站互动平台答复工作，做到按时、合法、合规答复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（四）政务公开工作创新情况。每季度召开全局政务公开工作总结会议，针对季度工作中存在的问题进行分析解决，并以此为契机，开展全局政务公开工作培训，持续推进政务公开工作规范化、标准化。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Noto Sans CJK SC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8365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FA512B"/>
    <w:multiLevelType w:val="singleLevel"/>
    <w:tmpl w:val="BBFA512B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false"/>
  <w:bordersDoNotSurroundFooter w:val="false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58"/>
    <w:rsid w:val="00001C9E"/>
    <w:rsid w:val="0000594A"/>
    <w:rsid w:val="00013109"/>
    <w:rsid w:val="00023AAC"/>
    <w:rsid w:val="00024810"/>
    <w:rsid w:val="00030DFB"/>
    <w:rsid w:val="000414C6"/>
    <w:rsid w:val="00042CA0"/>
    <w:rsid w:val="00043D31"/>
    <w:rsid w:val="00046423"/>
    <w:rsid w:val="00052AD6"/>
    <w:rsid w:val="00055473"/>
    <w:rsid w:val="00055E11"/>
    <w:rsid w:val="00056B8B"/>
    <w:rsid w:val="00063220"/>
    <w:rsid w:val="0006628C"/>
    <w:rsid w:val="000706E1"/>
    <w:rsid w:val="00085190"/>
    <w:rsid w:val="00087FF0"/>
    <w:rsid w:val="00092898"/>
    <w:rsid w:val="00094E08"/>
    <w:rsid w:val="00097052"/>
    <w:rsid w:val="000A5D01"/>
    <w:rsid w:val="000B1602"/>
    <w:rsid w:val="000C34FF"/>
    <w:rsid w:val="000C7BD7"/>
    <w:rsid w:val="000D4473"/>
    <w:rsid w:val="000E1057"/>
    <w:rsid w:val="000F497F"/>
    <w:rsid w:val="000F7617"/>
    <w:rsid w:val="00105B3E"/>
    <w:rsid w:val="001108EA"/>
    <w:rsid w:val="001240A4"/>
    <w:rsid w:val="00125C8A"/>
    <w:rsid w:val="00127976"/>
    <w:rsid w:val="00131A3C"/>
    <w:rsid w:val="0013565C"/>
    <w:rsid w:val="00140E3F"/>
    <w:rsid w:val="00143DC5"/>
    <w:rsid w:val="00144ABF"/>
    <w:rsid w:val="00144B5F"/>
    <w:rsid w:val="00170D63"/>
    <w:rsid w:val="00172B20"/>
    <w:rsid w:val="0017420B"/>
    <w:rsid w:val="0017427C"/>
    <w:rsid w:val="00176618"/>
    <w:rsid w:val="00176B17"/>
    <w:rsid w:val="00187315"/>
    <w:rsid w:val="001900C0"/>
    <w:rsid w:val="00196FD6"/>
    <w:rsid w:val="001A21B5"/>
    <w:rsid w:val="001B26AB"/>
    <w:rsid w:val="001B4410"/>
    <w:rsid w:val="001C1DC2"/>
    <w:rsid w:val="001C4706"/>
    <w:rsid w:val="001C6DFA"/>
    <w:rsid w:val="001C6F55"/>
    <w:rsid w:val="001D41A6"/>
    <w:rsid w:val="001E0CBD"/>
    <w:rsid w:val="001E5A28"/>
    <w:rsid w:val="001E72C7"/>
    <w:rsid w:val="002019C6"/>
    <w:rsid w:val="00204AA5"/>
    <w:rsid w:val="00205590"/>
    <w:rsid w:val="002157C1"/>
    <w:rsid w:val="00216261"/>
    <w:rsid w:val="00216DF6"/>
    <w:rsid w:val="0021763D"/>
    <w:rsid w:val="00224377"/>
    <w:rsid w:val="002264B1"/>
    <w:rsid w:val="0023206E"/>
    <w:rsid w:val="00234868"/>
    <w:rsid w:val="0023602C"/>
    <w:rsid w:val="00240EAF"/>
    <w:rsid w:val="00246626"/>
    <w:rsid w:val="002572C0"/>
    <w:rsid w:val="002604BD"/>
    <w:rsid w:val="00270C0E"/>
    <w:rsid w:val="0027691A"/>
    <w:rsid w:val="00276B13"/>
    <w:rsid w:val="00276E5B"/>
    <w:rsid w:val="002774CD"/>
    <w:rsid w:val="0028009A"/>
    <w:rsid w:val="002A188B"/>
    <w:rsid w:val="002A1F5C"/>
    <w:rsid w:val="002B463A"/>
    <w:rsid w:val="002B6F68"/>
    <w:rsid w:val="002D115E"/>
    <w:rsid w:val="002D6A99"/>
    <w:rsid w:val="002D70DF"/>
    <w:rsid w:val="002E594D"/>
    <w:rsid w:val="002E6EDF"/>
    <w:rsid w:val="0031332E"/>
    <w:rsid w:val="003135A4"/>
    <w:rsid w:val="003164F6"/>
    <w:rsid w:val="00316CE4"/>
    <w:rsid w:val="003257C1"/>
    <w:rsid w:val="003318E7"/>
    <w:rsid w:val="00332905"/>
    <w:rsid w:val="00334C65"/>
    <w:rsid w:val="00357E22"/>
    <w:rsid w:val="00357E4E"/>
    <w:rsid w:val="003638D5"/>
    <w:rsid w:val="00363B37"/>
    <w:rsid w:val="0038169B"/>
    <w:rsid w:val="00383519"/>
    <w:rsid w:val="003856CA"/>
    <w:rsid w:val="00390173"/>
    <w:rsid w:val="0039072E"/>
    <w:rsid w:val="00395676"/>
    <w:rsid w:val="00397E9C"/>
    <w:rsid w:val="003A4408"/>
    <w:rsid w:val="003A617F"/>
    <w:rsid w:val="003B4A71"/>
    <w:rsid w:val="003C0527"/>
    <w:rsid w:val="003C44C8"/>
    <w:rsid w:val="003C5789"/>
    <w:rsid w:val="003D6959"/>
    <w:rsid w:val="003D7EB2"/>
    <w:rsid w:val="003E1F92"/>
    <w:rsid w:val="003E6B2B"/>
    <w:rsid w:val="003F2DA8"/>
    <w:rsid w:val="003F38D1"/>
    <w:rsid w:val="003F538D"/>
    <w:rsid w:val="00405DB6"/>
    <w:rsid w:val="00414EEE"/>
    <w:rsid w:val="00420F86"/>
    <w:rsid w:val="00423431"/>
    <w:rsid w:val="00434746"/>
    <w:rsid w:val="00446210"/>
    <w:rsid w:val="00460593"/>
    <w:rsid w:val="0046437F"/>
    <w:rsid w:val="004713FB"/>
    <w:rsid w:val="00473626"/>
    <w:rsid w:val="00481ED7"/>
    <w:rsid w:val="00481FD3"/>
    <w:rsid w:val="004847BC"/>
    <w:rsid w:val="0048518B"/>
    <w:rsid w:val="004936CF"/>
    <w:rsid w:val="00495EBA"/>
    <w:rsid w:val="004A6081"/>
    <w:rsid w:val="004B1B2D"/>
    <w:rsid w:val="004B36CF"/>
    <w:rsid w:val="004B3DE8"/>
    <w:rsid w:val="004B53B3"/>
    <w:rsid w:val="004B7413"/>
    <w:rsid w:val="004D2882"/>
    <w:rsid w:val="004D7633"/>
    <w:rsid w:val="004D788E"/>
    <w:rsid w:val="004E5DF1"/>
    <w:rsid w:val="004F244D"/>
    <w:rsid w:val="004F2625"/>
    <w:rsid w:val="004F39DF"/>
    <w:rsid w:val="005026C8"/>
    <w:rsid w:val="00503B08"/>
    <w:rsid w:val="00504DE1"/>
    <w:rsid w:val="005162AB"/>
    <w:rsid w:val="00523B84"/>
    <w:rsid w:val="0052540C"/>
    <w:rsid w:val="00531036"/>
    <w:rsid w:val="00533338"/>
    <w:rsid w:val="0053359A"/>
    <w:rsid w:val="00540904"/>
    <w:rsid w:val="00543FE0"/>
    <w:rsid w:val="005637BC"/>
    <w:rsid w:val="00564F0C"/>
    <w:rsid w:val="00567AE3"/>
    <w:rsid w:val="0057319B"/>
    <w:rsid w:val="005771DE"/>
    <w:rsid w:val="00580B3B"/>
    <w:rsid w:val="005818BC"/>
    <w:rsid w:val="00582EFB"/>
    <w:rsid w:val="00584920"/>
    <w:rsid w:val="00586957"/>
    <w:rsid w:val="00593F9E"/>
    <w:rsid w:val="0059666D"/>
    <w:rsid w:val="005A3BFA"/>
    <w:rsid w:val="005C071E"/>
    <w:rsid w:val="005D4DA2"/>
    <w:rsid w:val="005D7981"/>
    <w:rsid w:val="005E2D72"/>
    <w:rsid w:val="005E5225"/>
    <w:rsid w:val="005E5EA6"/>
    <w:rsid w:val="005F07DB"/>
    <w:rsid w:val="005F410F"/>
    <w:rsid w:val="005F7CFA"/>
    <w:rsid w:val="006001B7"/>
    <w:rsid w:val="00604767"/>
    <w:rsid w:val="00607754"/>
    <w:rsid w:val="00607BD2"/>
    <w:rsid w:val="00614243"/>
    <w:rsid w:val="00615468"/>
    <w:rsid w:val="0062406E"/>
    <w:rsid w:val="00630352"/>
    <w:rsid w:val="00633AD3"/>
    <w:rsid w:val="00634DDC"/>
    <w:rsid w:val="006359EF"/>
    <w:rsid w:val="006364F7"/>
    <w:rsid w:val="00640DE1"/>
    <w:rsid w:val="006419CD"/>
    <w:rsid w:val="00641A49"/>
    <w:rsid w:val="00641B33"/>
    <w:rsid w:val="00651342"/>
    <w:rsid w:val="0065594E"/>
    <w:rsid w:val="00660AAE"/>
    <w:rsid w:val="006634C0"/>
    <w:rsid w:val="00675D05"/>
    <w:rsid w:val="00677652"/>
    <w:rsid w:val="006821DB"/>
    <w:rsid w:val="00687144"/>
    <w:rsid w:val="0069301A"/>
    <w:rsid w:val="00693534"/>
    <w:rsid w:val="00697E19"/>
    <w:rsid w:val="00697EE4"/>
    <w:rsid w:val="006A1171"/>
    <w:rsid w:val="006A5226"/>
    <w:rsid w:val="006A5288"/>
    <w:rsid w:val="006B72A8"/>
    <w:rsid w:val="006C2EA0"/>
    <w:rsid w:val="006C58BC"/>
    <w:rsid w:val="006C656F"/>
    <w:rsid w:val="006E0094"/>
    <w:rsid w:val="006E2256"/>
    <w:rsid w:val="006E2790"/>
    <w:rsid w:val="006E63B8"/>
    <w:rsid w:val="007011FB"/>
    <w:rsid w:val="007061A3"/>
    <w:rsid w:val="007129AD"/>
    <w:rsid w:val="00714451"/>
    <w:rsid w:val="00717EE3"/>
    <w:rsid w:val="007218A5"/>
    <w:rsid w:val="007234A6"/>
    <w:rsid w:val="00723B47"/>
    <w:rsid w:val="00723D67"/>
    <w:rsid w:val="00724A6A"/>
    <w:rsid w:val="00731CB1"/>
    <w:rsid w:val="00732D81"/>
    <w:rsid w:val="00733F31"/>
    <w:rsid w:val="00736923"/>
    <w:rsid w:val="00736C50"/>
    <w:rsid w:val="00741A40"/>
    <w:rsid w:val="00746739"/>
    <w:rsid w:val="00755418"/>
    <w:rsid w:val="007611C0"/>
    <w:rsid w:val="007720F2"/>
    <w:rsid w:val="00772EA0"/>
    <w:rsid w:val="007745BE"/>
    <w:rsid w:val="00781A3D"/>
    <w:rsid w:val="00791D32"/>
    <w:rsid w:val="007A02B5"/>
    <w:rsid w:val="007A39A8"/>
    <w:rsid w:val="007A3DB5"/>
    <w:rsid w:val="007A46E1"/>
    <w:rsid w:val="007A4F8C"/>
    <w:rsid w:val="007B346E"/>
    <w:rsid w:val="007B68D1"/>
    <w:rsid w:val="007C2141"/>
    <w:rsid w:val="007C53E0"/>
    <w:rsid w:val="007C5C81"/>
    <w:rsid w:val="007D0AF2"/>
    <w:rsid w:val="007D3AB6"/>
    <w:rsid w:val="007D4916"/>
    <w:rsid w:val="007D59C4"/>
    <w:rsid w:val="007D71FE"/>
    <w:rsid w:val="007E07E3"/>
    <w:rsid w:val="007E2505"/>
    <w:rsid w:val="007E55EA"/>
    <w:rsid w:val="007F22F8"/>
    <w:rsid w:val="007F43FC"/>
    <w:rsid w:val="00802361"/>
    <w:rsid w:val="00804E65"/>
    <w:rsid w:val="00805ABE"/>
    <w:rsid w:val="00813BC0"/>
    <w:rsid w:val="00820BB8"/>
    <w:rsid w:val="00830865"/>
    <w:rsid w:val="0083723A"/>
    <w:rsid w:val="00842C3D"/>
    <w:rsid w:val="00842E24"/>
    <w:rsid w:val="00852EEB"/>
    <w:rsid w:val="008556C2"/>
    <w:rsid w:val="00855B3A"/>
    <w:rsid w:val="00856193"/>
    <w:rsid w:val="008579AB"/>
    <w:rsid w:val="008608A2"/>
    <w:rsid w:val="008613A8"/>
    <w:rsid w:val="00873E0F"/>
    <w:rsid w:val="00875291"/>
    <w:rsid w:val="00881404"/>
    <w:rsid w:val="00892DC4"/>
    <w:rsid w:val="008977A9"/>
    <w:rsid w:val="008A0545"/>
    <w:rsid w:val="008A171F"/>
    <w:rsid w:val="008A3BC0"/>
    <w:rsid w:val="008A66F8"/>
    <w:rsid w:val="008B2FD1"/>
    <w:rsid w:val="008B5D19"/>
    <w:rsid w:val="008B6607"/>
    <w:rsid w:val="008C2625"/>
    <w:rsid w:val="008C37A3"/>
    <w:rsid w:val="008D2DBD"/>
    <w:rsid w:val="008D6B7B"/>
    <w:rsid w:val="008F142B"/>
    <w:rsid w:val="008F188C"/>
    <w:rsid w:val="008F51FF"/>
    <w:rsid w:val="00904289"/>
    <w:rsid w:val="00906B9B"/>
    <w:rsid w:val="00912FB0"/>
    <w:rsid w:val="00913531"/>
    <w:rsid w:val="0092086C"/>
    <w:rsid w:val="00920A8C"/>
    <w:rsid w:val="0092182B"/>
    <w:rsid w:val="00930D46"/>
    <w:rsid w:val="00935E77"/>
    <w:rsid w:val="00940C11"/>
    <w:rsid w:val="009515FD"/>
    <w:rsid w:val="0096093C"/>
    <w:rsid w:val="00962CD0"/>
    <w:rsid w:val="00966C94"/>
    <w:rsid w:val="0097065C"/>
    <w:rsid w:val="00975A80"/>
    <w:rsid w:val="0098598B"/>
    <w:rsid w:val="00993C26"/>
    <w:rsid w:val="009B0107"/>
    <w:rsid w:val="009B7848"/>
    <w:rsid w:val="009C460B"/>
    <w:rsid w:val="009D452F"/>
    <w:rsid w:val="009E68DF"/>
    <w:rsid w:val="009F4FD2"/>
    <w:rsid w:val="00A03AC4"/>
    <w:rsid w:val="00A03E53"/>
    <w:rsid w:val="00A06E87"/>
    <w:rsid w:val="00A1342F"/>
    <w:rsid w:val="00A143E6"/>
    <w:rsid w:val="00A22178"/>
    <w:rsid w:val="00A25860"/>
    <w:rsid w:val="00A353B4"/>
    <w:rsid w:val="00A35AE0"/>
    <w:rsid w:val="00A36C3E"/>
    <w:rsid w:val="00A47C35"/>
    <w:rsid w:val="00A55405"/>
    <w:rsid w:val="00A6302E"/>
    <w:rsid w:val="00A65792"/>
    <w:rsid w:val="00A7163D"/>
    <w:rsid w:val="00A75587"/>
    <w:rsid w:val="00A759E5"/>
    <w:rsid w:val="00A82619"/>
    <w:rsid w:val="00A86F1B"/>
    <w:rsid w:val="00A919F7"/>
    <w:rsid w:val="00A93492"/>
    <w:rsid w:val="00A944C5"/>
    <w:rsid w:val="00AA3C78"/>
    <w:rsid w:val="00AA7AEC"/>
    <w:rsid w:val="00AA7B4B"/>
    <w:rsid w:val="00AB031E"/>
    <w:rsid w:val="00AB09E9"/>
    <w:rsid w:val="00AC222F"/>
    <w:rsid w:val="00AD1A81"/>
    <w:rsid w:val="00AD1C82"/>
    <w:rsid w:val="00AD1D6B"/>
    <w:rsid w:val="00AD49B5"/>
    <w:rsid w:val="00AD76B6"/>
    <w:rsid w:val="00AE6C57"/>
    <w:rsid w:val="00AF2313"/>
    <w:rsid w:val="00AF50F4"/>
    <w:rsid w:val="00B0337D"/>
    <w:rsid w:val="00B1769A"/>
    <w:rsid w:val="00B23183"/>
    <w:rsid w:val="00B245B9"/>
    <w:rsid w:val="00B33075"/>
    <w:rsid w:val="00B414D1"/>
    <w:rsid w:val="00B459E2"/>
    <w:rsid w:val="00B53141"/>
    <w:rsid w:val="00B559FA"/>
    <w:rsid w:val="00B811E5"/>
    <w:rsid w:val="00B8236F"/>
    <w:rsid w:val="00B835A5"/>
    <w:rsid w:val="00B91004"/>
    <w:rsid w:val="00BA000D"/>
    <w:rsid w:val="00BA45ED"/>
    <w:rsid w:val="00BA486D"/>
    <w:rsid w:val="00BC0376"/>
    <w:rsid w:val="00BC0DDF"/>
    <w:rsid w:val="00BC34AC"/>
    <w:rsid w:val="00BD1CAC"/>
    <w:rsid w:val="00BD4F6B"/>
    <w:rsid w:val="00BD789A"/>
    <w:rsid w:val="00BE03F8"/>
    <w:rsid w:val="00BE26F0"/>
    <w:rsid w:val="00BE3FA5"/>
    <w:rsid w:val="00BE4FAC"/>
    <w:rsid w:val="00BF3636"/>
    <w:rsid w:val="00BF42A9"/>
    <w:rsid w:val="00C04961"/>
    <w:rsid w:val="00C055A1"/>
    <w:rsid w:val="00C11BC3"/>
    <w:rsid w:val="00C11D2B"/>
    <w:rsid w:val="00C17388"/>
    <w:rsid w:val="00C206ED"/>
    <w:rsid w:val="00C217D5"/>
    <w:rsid w:val="00C234EF"/>
    <w:rsid w:val="00C307E5"/>
    <w:rsid w:val="00C61A42"/>
    <w:rsid w:val="00C63784"/>
    <w:rsid w:val="00C665B4"/>
    <w:rsid w:val="00C71268"/>
    <w:rsid w:val="00C75B28"/>
    <w:rsid w:val="00C762CA"/>
    <w:rsid w:val="00C83C1A"/>
    <w:rsid w:val="00C90488"/>
    <w:rsid w:val="00C90FBF"/>
    <w:rsid w:val="00C957F6"/>
    <w:rsid w:val="00CA24FE"/>
    <w:rsid w:val="00CA4E64"/>
    <w:rsid w:val="00CB7A70"/>
    <w:rsid w:val="00CC09E5"/>
    <w:rsid w:val="00CC51DA"/>
    <w:rsid w:val="00CD6DCF"/>
    <w:rsid w:val="00CE33B0"/>
    <w:rsid w:val="00CE7BFF"/>
    <w:rsid w:val="00CF2399"/>
    <w:rsid w:val="00CF3DD6"/>
    <w:rsid w:val="00CF509B"/>
    <w:rsid w:val="00CF7DF1"/>
    <w:rsid w:val="00D06B46"/>
    <w:rsid w:val="00D16C7E"/>
    <w:rsid w:val="00D17DF3"/>
    <w:rsid w:val="00D201BD"/>
    <w:rsid w:val="00D21479"/>
    <w:rsid w:val="00D2358D"/>
    <w:rsid w:val="00D25962"/>
    <w:rsid w:val="00D33F3A"/>
    <w:rsid w:val="00D4484C"/>
    <w:rsid w:val="00D53AC2"/>
    <w:rsid w:val="00D54B78"/>
    <w:rsid w:val="00D7609C"/>
    <w:rsid w:val="00D7673F"/>
    <w:rsid w:val="00D81D7A"/>
    <w:rsid w:val="00D96A77"/>
    <w:rsid w:val="00DA076B"/>
    <w:rsid w:val="00DA1BF9"/>
    <w:rsid w:val="00DA443C"/>
    <w:rsid w:val="00DA4831"/>
    <w:rsid w:val="00DA546B"/>
    <w:rsid w:val="00DA5691"/>
    <w:rsid w:val="00DC2AFC"/>
    <w:rsid w:val="00DE0CC2"/>
    <w:rsid w:val="00DE7D42"/>
    <w:rsid w:val="00DF0951"/>
    <w:rsid w:val="00DF3C2A"/>
    <w:rsid w:val="00DF59E8"/>
    <w:rsid w:val="00DF60AB"/>
    <w:rsid w:val="00DF7204"/>
    <w:rsid w:val="00E01F0F"/>
    <w:rsid w:val="00E03F11"/>
    <w:rsid w:val="00E04258"/>
    <w:rsid w:val="00E07D70"/>
    <w:rsid w:val="00E377B4"/>
    <w:rsid w:val="00E42C13"/>
    <w:rsid w:val="00E42DE7"/>
    <w:rsid w:val="00E447EA"/>
    <w:rsid w:val="00E54057"/>
    <w:rsid w:val="00E56D7E"/>
    <w:rsid w:val="00E62601"/>
    <w:rsid w:val="00E651F4"/>
    <w:rsid w:val="00E712E4"/>
    <w:rsid w:val="00E7522E"/>
    <w:rsid w:val="00E756BB"/>
    <w:rsid w:val="00E82A61"/>
    <w:rsid w:val="00E86BFA"/>
    <w:rsid w:val="00E9136E"/>
    <w:rsid w:val="00E92569"/>
    <w:rsid w:val="00E9689B"/>
    <w:rsid w:val="00EA0FDD"/>
    <w:rsid w:val="00EA3993"/>
    <w:rsid w:val="00EC48E7"/>
    <w:rsid w:val="00EC7F71"/>
    <w:rsid w:val="00ED1769"/>
    <w:rsid w:val="00ED2198"/>
    <w:rsid w:val="00ED2963"/>
    <w:rsid w:val="00ED4E74"/>
    <w:rsid w:val="00EE3275"/>
    <w:rsid w:val="00EF7239"/>
    <w:rsid w:val="00F00F32"/>
    <w:rsid w:val="00F0322D"/>
    <w:rsid w:val="00F0408E"/>
    <w:rsid w:val="00F22E87"/>
    <w:rsid w:val="00F40BD5"/>
    <w:rsid w:val="00F45E29"/>
    <w:rsid w:val="00F503E6"/>
    <w:rsid w:val="00F60260"/>
    <w:rsid w:val="00F651BF"/>
    <w:rsid w:val="00F6601D"/>
    <w:rsid w:val="00F71A9E"/>
    <w:rsid w:val="00F739B0"/>
    <w:rsid w:val="00F9603E"/>
    <w:rsid w:val="00FA2749"/>
    <w:rsid w:val="00FA3378"/>
    <w:rsid w:val="00FA4017"/>
    <w:rsid w:val="00FA67ED"/>
    <w:rsid w:val="00FB0E1B"/>
    <w:rsid w:val="00FB16F3"/>
    <w:rsid w:val="00FB45EE"/>
    <w:rsid w:val="00FB5467"/>
    <w:rsid w:val="00FB7C20"/>
    <w:rsid w:val="00FC66CE"/>
    <w:rsid w:val="00FD0EE2"/>
    <w:rsid w:val="00FD598D"/>
    <w:rsid w:val="00FD7A66"/>
    <w:rsid w:val="00FE1203"/>
    <w:rsid w:val="00FE1DCB"/>
    <w:rsid w:val="00FE2E48"/>
    <w:rsid w:val="00FE3091"/>
    <w:rsid w:val="18F7F240"/>
    <w:rsid w:val="1FEF7EBC"/>
    <w:rsid w:val="33FF7CCB"/>
    <w:rsid w:val="37EF1E87"/>
    <w:rsid w:val="4DE93206"/>
    <w:rsid w:val="5D6E2BAE"/>
    <w:rsid w:val="5FB7B304"/>
    <w:rsid w:val="65EEC1DC"/>
    <w:rsid w:val="6FFDEE20"/>
    <w:rsid w:val="75EFE3CD"/>
    <w:rsid w:val="7E973253"/>
    <w:rsid w:val="7F7EC889"/>
    <w:rsid w:val="7F7F713D"/>
    <w:rsid w:val="7F8E56B1"/>
    <w:rsid w:val="7FCF1F29"/>
    <w:rsid w:val="7FFBE955"/>
    <w:rsid w:val="BA7B23C6"/>
    <w:rsid w:val="D6E70BC9"/>
    <w:rsid w:val="D8769112"/>
    <w:rsid w:val="DBDFCC06"/>
    <w:rsid w:val="DFFFD60A"/>
    <w:rsid w:val="EFFFF055"/>
    <w:rsid w:val="F5DC402E"/>
    <w:rsid w:val="FE734873"/>
    <w:rsid w:val="FF7702E6"/>
    <w:rsid w:val="FFE9FDD6"/>
    <w:rsid w:val="FFEFCC40"/>
    <w:rsid w:val="FFFE27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1"/>
    </w:pPr>
    <w:rPr>
      <w:sz w:val="32"/>
      <w:szCs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kern w:val="2"/>
      <w:sz w:val="18"/>
      <w:szCs w:val="18"/>
    </w:rPr>
  </w:style>
  <w:style w:type="paragraph" w:customStyle="1" w:styleId="11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table" w:customStyle="1" w:styleId="12">
    <w:name w:val="Table Normal"/>
    <w:semiHidden/>
    <w:unhideWhenUsed/>
    <w:qFormat/>
    <w:uiPriority w:val="2"/>
    <w:pPr>
      <w:widowControl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218</Words>
  <Characters>1243</Characters>
  <Lines>10</Lines>
  <Paragraphs>2</Paragraphs>
  <TotalTime>73</TotalTime>
  <ScaleCrop>false</ScaleCrop>
  <LinksUpToDate>false</LinksUpToDate>
  <CharactersWithSpaces>1459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2020-01-09T10:32:00Z</dcterms:created>
  <dc:creator>China</dc:creator>
  <cp:lastModifiedBy>高灰调</cp:lastModifiedBy>
  <dcterms:modified xsi:type="dcterms:W3CDTF">2022-01-26T16:09:31Z</dcterms:modified>
  <cp:revision>1868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