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w:t>
      </w:r>
      <w:r>
        <w:rPr>
          <w:rFonts w:hint="eastAsia" w:ascii="方正小标宋简体" w:hAnsi="方正小标宋简体" w:eastAsia="方正小标宋简体" w:cs="方正小标宋简体"/>
          <w:sz w:val="44"/>
          <w:szCs w:val="44"/>
          <w:lang w:eastAsia="zh-CN"/>
        </w:rPr>
        <w:t>齐都镇人民政府</w:t>
      </w:r>
      <w:r>
        <w:rPr>
          <w:rFonts w:hint="default" w:ascii="Times New Roman" w:hAnsi="Times New Roman" w:eastAsia="方正小标宋简体" w:cs="Times New Roman"/>
          <w:sz w:val="44"/>
          <w:szCs w:val="44"/>
        </w:rPr>
        <w:t>2020</w:t>
      </w:r>
      <w:r>
        <w:rPr>
          <w:rFonts w:hint="eastAsia" w:ascii="方正小标宋简体" w:hAnsi="方正小标宋简体" w:eastAsia="方正小标宋简体" w:cs="方正小标宋简体"/>
          <w:sz w:val="44"/>
          <w:szCs w:val="44"/>
        </w:rPr>
        <w:t>年政府信息</w:t>
      </w:r>
    </w:p>
    <w:p>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ascii="仿宋_GB2312" w:hAnsi="宋体" w:eastAsia="仿宋_GB2312" w:cs="仿宋_GB2312"/>
          <w:i w:val="0"/>
          <w:caps w:val="0"/>
          <w:color w:val="000000"/>
          <w:spacing w:val="0"/>
          <w:sz w:val="32"/>
          <w:szCs w:val="32"/>
          <w:shd w:val="clear" w:fill="FFFFFF"/>
        </w:rPr>
        <w:t>《国务院办公厅政府信息与政务公开办公室关于政府信息公开工作年度报告有关事项的通知》</w:t>
      </w:r>
      <w:r>
        <w:rPr>
          <w:rFonts w:hint="eastAsia" w:ascii="仿宋_GB2312" w:hAnsi="宋体" w:eastAsia="仿宋_GB2312" w:cs="仿宋_GB2312"/>
          <w:i w:val="0"/>
          <w:caps w:val="0"/>
          <w:color w:val="000000"/>
          <w:spacing w:val="0"/>
          <w:sz w:val="32"/>
          <w:szCs w:val="32"/>
          <w:shd w:val="clear" w:fill="FFFFFF"/>
          <w:lang w:val="en-US"/>
        </w:rPr>
        <w:t>(</w:t>
      </w:r>
      <w:r>
        <w:rPr>
          <w:rFonts w:hint="eastAsia" w:ascii="仿宋_GB2312" w:hAnsi="宋体" w:eastAsia="仿宋_GB2312" w:cs="仿宋_GB2312"/>
          <w:i w:val="0"/>
          <w:caps w:val="0"/>
          <w:color w:val="000000"/>
          <w:spacing w:val="0"/>
          <w:sz w:val="32"/>
          <w:szCs w:val="32"/>
          <w:shd w:val="clear" w:fill="FFFFFF"/>
        </w:rPr>
        <w:t>国办公开办函</w:t>
      </w:r>
      <w:r>
        <w:rPr>
          <w:rFonts w:hint="default" w:ascii="Times New Roman" w:hAnsi="Times New Roman" w:eastAsia="仿宋_GB2312" w:cs="Times New Roman"/>
          <w:i w:val="0"/>
          <w:caps w:val="0"/>
          <w:color w:val="000000"/>
          <w:spacing w:val="0"/>
          <w:sz w:val="32"/>
          <w:szCs w:val="32"/>
          <w:shd w:val="clear" w:fill="FFFFFF"/>
        </w:rPr>
        <w:t>〔</w:t>
      </w:r>
      <w:r>
        <w:rPr>
          <w:rFonts w:hint="default" w:ascii="Times New Roman" w:hAnsi="Times New Roman" w:eastAsia="仿宋_GB2312" w:cs="Times New Roman"/>
          <w:i w:val="0"/>
          <w:caps w:val="0"/>
          <w:color w:val="000000"/>
          <w:spacing w:val="0"/>
          <w:sz w:val="32"/>
          <w:szCs w:val="32"/>
          <w:shd w:val="clear" w:fill="FFFFFF"/>
          <w:lang w:val="en-US"/>
        </w:rPr>
        <w:t>2019</w:t>
      </w:r>
      <w:r>
        <w:rPr>
          <w:rFonts w:hint="default" w:ascii="Times New Roman" w:hAnsi="Times New Roman" w:eastAsia="仿宋_GB2312" w:cs="Times New Roman"/>
          <w:i w:val="0"/>
          <w:caps w:val="0"/>
          <w:color w:val="000000"/>
          <w:spacing w:val="0"/>
          <w:sz w:val="32"/>
          <w:szCs w:val="32"/>
          <w:shd w:val="clear" w:fill="FFFFFF"/>
        </w:rPr>
        <w:t>〕</w:t>
      </w:r>
      <w:r>
        <w:rPr>
          <w:rFonts w:hint="default" w:ascii="Times New Roman" w:hAnsi="Times New Roman" w:eastAsia="仿宋_GB2312" w:cs="Times New Roman"/>
          <w:i w:val="0"/>
          <w:caps w:val="0"/>
          <w:color w:val="000000"/>
          <w:spacing w:val="0"/>
          <w:sz w:val="32"/>
          <w:szCs w:val="32"/>
          <w:shd w:val="clear" w:fill="FFFFFF"/>
          <w:lang w:val="en-US"/>
        </w:rPr>
        <w:t>60</w:t>
      </w:r>
      <w:r>
        <w:rPr>
          <w:rFonts w:hint="eastAsia" w:ascii="仿宋_GB2312" w:hAnsi="宋体" w:eastAsia="仿宋_GB2312" w:cs="仿宋_GB2312"/>
          <w:i w:val="0"/>
          <w:caps w:val="0"/>
          <w:color w:val="000000"/>
          <w:spacing w:val="0"/>
          <w:sz w:val="32"/>
          <w:szCs w:val="32"/>
          <w:shd w:val="clear" w:fill="FFFFFF"/>
        </w:rPr>
        <w:t>号</w:t>
      </w:r>
      <w:r>
        <w:rPr>
          <w:rFonts w:hint="eastAsia" w:ascii="仿宋_GB2312" w:hAnsi="宋体" w:eastAsia="仿宋_GB2312" w:cs="仿宋_GB2312"/>
          <w:i w:val="0"/>
          <w:caps w:val="0"/>
          <w:color w:val="000000"/>
          <w:spacing w:val="0"/>
          <w:sz w:val="32"/>
          <w:szCs w:val="32"/>
          <w:shd w:val="clear" w:fill="FFFFFF"/>
          <w:lang w:val="en-US"/>
        </w:rPr>
        <w:t>)</w:t>
      </w:r>
      <w:r>
        <w:rPr>
          <w:rFonts w:ascii="仿宋_GB2312" w:hAnsi="宋体" w:eastAsia="仿宋_GB2312" w:cs="仿宋_GB2312"/>
          <w:i w:val="0"/>
          <w:caps w:val="0"/>
          <w:color w:val="auto"/>
          <w:spacing w:val="0"/>
          <w:sz w:val="32"/>
          <w:szCs w:val="32"/>
          <w:shd w:val="clear" w:color="auto" w:fill="FFFFFF"/>
        </w:rPr>
        <w:t>的规定</w:t>
      </w:r>
      <w:r>
        <w:rPr>
          <w:rFonts w:hint="eastAsia" w:ascii="仿宋_GB2312" w:hAnsi="宋体"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sz w:val="32"/>
          <w:szCs w:val="32"/>
        </w:rPr>
        <w:t>我镇认真编制《</w:t>
      </w:r>
      <w:r>
        <w:rPr>
          <w:rFonts w:hint="eastAsia" w:ascii="仿宋_GB2312" w:hAnsi="仿宋_GB2312" w:eastAsia="仿宋_GB2312" w:cs="仿宋_GB2312"/>
          <w:sz w:val="32"/>
          <w:szCs w:val="32"/>
          <w:lang w:eastAsia="zh-CN"/>
        </w:rPr>
        <w:t>临淄区</w:t>
      </w:r>
      <w:r>
        <w:rPr>
          <w:rFonts w:hint="eastAsia" w:ascii="仿宋_GB2312" w:hAnsi="仿宋_GB2312" w:eastAsia="仿宋_GB2312" w:cs="仿宋_GB2312"/>
          <w:sz w:val="32"/>
          <w:szCs w:val="32"/>
        </w:rPr>
        <w:t>齐都镇人民政府</w:t>
      </w:r>
      <w:r>
        <w:rPr>
          <w:rFonts w:hint="eastAsia" w:ascii="Times New Roman" w:hAnsi="Times New Roman" w:eastAsia="仿宋_GB2312" w:cs="Times New Roman"/>
          <w:i w:val="0"/>
          <w:caps w:val="0"/>
          <w:color w:val="000000"/>
          <w:spacing w:val="0"/>
          <w:sz w:val="32"/>
          <w:szCs w:val="32"/>
          <w:shd w:val="clear" w:fill="FFFFFF"/>
          <w:lang w:val="en-US" w:eastAsia="zh-CN"/>
        </w:rPr>
        <w:t>2020</w:t>
      </w:r>
      <w:r>
        <w:rPr>
          <w:rFonts w:hint="eastAsia" w:ascii="仿宋_GB2312" w:hAnsi="仿宋_GB2312" w:eastAsia="仿宋_GB2312" w:cs="仿宋_GB2312"/>
          <w:sz w:val="32"/>
          <w:szCs w:val="32"/>
        </w:rPr>
        <w:t>年政府信息公开工作年度报告》</w:t>
      </w:r>
      <w:r>
        <w:rPr>
          <w:rFonts w:hint="eastAsia" w:ascii="仿宋_GB2312" w:hAnsi="仿宋_GB2312" w:eastAsia="仿宋_GB2312" w:cs="仿宋_GB2312"/>
          <w:sz w:val="32"/>
          <w:szCs w:val="32"/>
          <w:lang w:eastAsia="zh-CN"/>
        </w:rPr>
        <w:t>，并进行公开</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i w:val="0"/>
          <w:caps w:val="0"/>
          <w:color w:val="000000"/>
          <w:spacing w:val="0"/>
          <w:sz w:val="32"/>
          <w:szCs w:val="32"/>
          <w:shd w:val="clear" w:fill="FFFFFF"/>
          <w:lang w:val="en-US"/>
        </w:rPr>
        <w:t>2020</w:t>
      </w:r>
      <w:r>
        <w:rPr>
          <w:rFonts w:hint="eastAsia" w:ascii="仿宋_GB2312" w:hAnsi="宋体" w:eastAsia="仿宋_GB2312" w:cs="仿宋_GB2312"/>
          <w:i w:val="0"/>
          <w:caps w:val="0"/>
          <w:color w:val="auto"/>
          <w:spacing w:val="0"/>
          <w:sz w:val="32"/>
          <w:szCs w:val="32"/>
          <w:shd w:val="clear" w:color="auto" w:fill="FFFFFF"/>
        </w:rPr>
        <w:t>年</w:t>
      </w:r>
      <w:r>
        <w:rPr>
          <w:rFonts w:hint="eastAsia" w:ascii="Times New Roman" w:hAnsi="Times New Roman" w:eastAsia="仿宋_GB2312" w:cs="Times New Roman"/>
          <w:i w:val="0"/>
          <w:caps w:val="0"/>
          <w:color w:val="000000"/>
          <w:spacing w:val="0"/>
          <w:sz w:val="32"/>
          <w:szCs w:val="32"/>
          <w:shd w:val="clear" w:fill="FFFFFF"/>
          <w:lang w:val="en-US"/>
        </w:rPr>
        <w:t>1</w:t>
      </w:r>
      <w:r>
        <w:rPr>
          <w:rFonts w:hint="eastAsia" w:ascii="仿宋_GB2312" w:hAnsi="宋体" w:eastAsia="仿宋_GB2312" w:cs="仿宋_GB2312"/>
          <w:i w:val="0"/>
          <w:caps w:val="0"/>
          <w:color w:val="auto"/>
          <w:spacing w:val="0"/>
          <w:sz w:val="32"/>
          <w:szCs w:val="32"/>
          <w:shd w:val="clear" w:color="auto" w:fill="FFFFFF"/>
        </w:rPr>
        <w:t>月</w:t>
      </w:r>
      <w:r>
        <w:rPr>
          <w:rFonts w:hint="eastAsia" w:ascii="Times New Roman" w:hAnsi="Times New Roman" w:eastAsia="仿宋_GB2312" w:cs="Times New Roman"/>
          <w:i w:val="0"/>
          <w:caps w:val="0"/>
          <w:color w:val="000000"/>
          <w:spacing w:val="0"/>
          <w:sz w:val="32"/>
          <w:szCs w:val="32"/>
          <w:shd w:val="clear" w:fill="FFFFFF"/>
          <w:lang w:val="en-US"/>
        </w:rPr>
        <w:t>1</w:t>
      </w:r>
      <w:r>
        <w:rPr>
          <w:rFonts w:hint="eastAsia" w:ascii="仿宋_GB2312" w:hAnsi="宋体" w:eastAsia="仿宋_GB2312" w:cs="仿宋_GB2312"/>
          <w:i w:val="0"/>
          <w:caps w:val="0"/>
          <w:color w:val="auto"/>
          <w:spacing w:val="0"/>
          <w:sz w:val="32"/>
          <w:szCs w:val="32"/>
          <w:shd w:val="clear" w:color="auto" w:fill="FFFFFF"/>
        </w:rPr>
        <w:t>日至</w:t>
      </w:r>
      <w:r>
        <w:rPr>
          <w:rFonts w:hint="eastAsia" w:ascii="Times New Roman" w:hAnsi="Times New Roman" w:eastAsia="仿宋_GB2312" w:cs="Times New Roman"/>
          <w:i w:val="0"/>
          <w:caps w:val="0"/>
          <w:color w:val="000000"/>
          <w:spacing w:val="0"/>
          <w:sz w:val="32"/>
          <w:szCs w:val="32"/>
          <w:shd w:val="clear" w:fill="FFFFFF"/>
          <w:lang w:val="en-US"/>
        </w:rPr>
        <w:t>2020</w:t>
      </w:r>
      <w:r>
        <w:rPr>
          <w:rFonts w:hint="eastAsia" w:ascii="仿宋_GB2312" w:hAnsi="宋体" w:eastAsia="仿宋_GB2312" w:cs="仿宋_GB2312"/>
          <w:i w:val="0"/>
          <w:caps w:val="0"/>
          <w:color w:val="auto"/>
          <w:spacing w:val="0"/>
          <w:sz w:val="32"/>
          <w:szCs w:val="32"/>
          <w:shd w:val="clear" w:color="auto" w:fill="FFFFFF"/>
        </w:rPr>
        <w:t>年</w:t>
      </w:r>
      <w:r>
        <w:rPr>
          <w:rFonts w:hint="eastAsia" w:ascii="Times New Roman" w:hAnsi="Times New Roman" w:eastAsia="仿宋_GB2312" w:cs="Times New Roman"/>
          <w:i w:val="0"/>
          <w:caps w:val="0"/>
          <w:color w:val="000000"/>
          <w:spacing w:val="0"/>
          <w:sz w:val="32"/>
          <w:szCs w:val="32"/>
          <w:shd w:val="clear" w:fill="FFFFFF"/>
          <w:lang w:val="en-US"/>
        </w:rPr>
        <w:t>12</w:t>
      </w:r>
      <w:r>
        <w:rPr>
          <w:rFonts w:hint="eastAsia" w:ascii="仿宋_GB2312" w:hAnsi="宋体" w:eastAsia="仿宋_GB2312" w:cs="仿宋_GB2312"/>
          <w:i w:val="0"/>
          <w:caps w:val="0"/>
          <w:color w:val="auto"/>
          <w:spacing w:val="0"/>
          <w:sz w:val="32"/>
          <w:szCs w:val="32"/>
          <w:shd w:val="clear" w:color="auto" w:fill="FFFFFF"/>
        </w:rPr>
        <w:t>月</w:t>
      </w:r>
      <w:r>
        <w:rPr>
          <w:rFonts w:hint="eastAsia" w:ascii="Times New Roman" w:hAnsi="Times New Roman" w:eastAsia="仿宋_GB2312" w:cs="Times New Roman"/>
          <w:i w:val="0"/>
          <w:caps w:val="0"/>
          <w:color w:val="000000"/>
          <w:spacing w:val="0"/>
          <w:sz w:val="32"/>
          <w:szCs w:val="32"/>
          <w:shd w:val="clear" w:fill="FFFFFF"/>
          <w:lang w:val="en-US"/>
        </w:rPr>
        <w:t>31</w:t>
      </w:r>
      <w:r>
        <w:rPr>
          <w:rFonts w:hint="eastAsia" w:ascii="仿宋_GB2312" w:hAnsi="宋体" w:eastAsia="仿宋_GB2312" w:cs="仿宋_GB2312"/>
          <w:i w:val="0"/>
          <w:caps w:val="0"/>
          <w:color w:val="auto"/>
          <w:spacing w:val="0"/>
          <w:sz w:val="32"/>
          <w:szCs w:val="32"/>
          <w:shd w:val="clear" w:color="auto" w:fill="FFFFFF"/>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报告内容由总体情况、主动公开政府信息情况、收到和处理政府信息公开申请情况、政府信息公开行政复议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行政诉讼情况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存在的主要问题及改进情况</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其他需要报告的事项</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六部分组成。</w:t>
      </w:r>
      <w:r>
        <w:rPr>
          <w:rFonts w:hint="default" w:ascii="Times New Roman" w:hAnsi="Times New Roman" w:eastAsia="仿宋_GB2312" w:cs="Times New Roman"/>
          <w:sz w:val="32"/>
          <w:szCs w:val="32"/>
        </w:rPr>
        <w:t>如对本报告有疑问，请与</w:t>
      </w:r>
      <w:r>
        <w:rPr>
          <w:rFonts w:hint="eastAsia" w:ascii="Times New Roman" w:hAnsi="Times New Roman" w:eastAsia="仿宋_GB2312" w:cs="Times New Roman"/>
          <w:sz w:val="32"/>
          <w:szCs w:val="32"/>
          <w:lang w:eastAsia="zh-CN"/>
        </w:rPr>
        <w:t>齐都</w:t>
      </w:r>
      <w:r>
        <w:rPr>
          <w:rFonts w:hint="default" w:ascii="Times New Roman" w:hAnsi="Times New Roman" w:eastAsia="仿宋_GB2312" w:cs="Times New Roman"/>
          <w:sz w:val="32"/>
          <w:szCs w:val="32"/>
        </w:rPr>
        <w:t>镇人民政府党政办公室联系(地址:临淄区</w:t>
      </w:r>
      <w:r>
        <w:rPr>
          <w:rFonts w:hint="eastAsia" w:ascii="Times New Roman" w:hAnsi="Times New Roman" w:eastAsia="仿宋_GB2312" w:cs="Times New Roman"/>
          <w:sz w:val="32"/>
          <w:szCs w:val="32"/>
          <w:lang w:eastAsia="zh-CN"/>
        </w:rPr>
        <w:t>齐都路</w:t>
      </w:r>
      <w:r>
        <w:rPr>
          <w:rFonts w:hint="eastAsia" w:ascii="Times New Roman" w:hAnsi="Times New Roman" w:eastAsia="仿宋_GB2312" w:cs="Times New Roman"/>
          <w:sz w:val="32"/>
          <w:szCs w:val="32"/>
          <w:lang w:val="en-US" w:eastAsia="zh-CN"/>
        </w:rPr>
        <w:t>232</w:t>
      </w:r>
      <w:r>
        <w:rPr>
          <w:rFonts w:hint="default" w:ascii="Times New Roman" w:hAnsi="Times New Roman" w:eastAsia="仿宋_GB2312" w:cs="Times New Roman"/>
          <w:sz w:val="32"/>
          <w:szCs w:val="32"/>
        </w:rPr>
        <w:t>号，电话:0533-78</w:t>
      </w:r>
      <w:r>
        <w:rPr>
          <w:rFonts w:hint="eastAsia" w:ascii="Times New Roman" w:hAnsi="Times New Roman" w:eastAsia="仿宋_GB2312" w:cs="Times New Roman"/>
          <w:sz w:val="32"/>
          <w:szCs w:val="32"/>
          <w:lang w:val="en-US" w:eastAsia="zh-CN"/>
        </w:rPr>
        <w:t>30243。</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560" w:lineRule="exact"/>
        <w:ind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一、总体情况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主动公开</w:t>
      </w:r>
      <w:r>
        <w:rPr>
          <w:rFonts w:hint="eastAsia" w:ascii="仿宋_GB2312" w:hAnsi="仿宋_GB2312" w:eastAsia="仿宋_GB2312" w:cs="仿宋_GB2312"/>
          <w:sz w:val="32"/>
          <w:szCs w:val="32"/>
          <w:lang w:eastAsia="zh-CN"/>
        </w:rPr>
        <w:t>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w:t>
      </w:r>
      <w:r>
        <w:rPr>
          <w:rFonts w:hint="eastAsia" w:ascii="Times New Roman" w:hAnsi="Times New Roman" w:eastAsia="仿宋_GB2312" w:cs="Times New Roman"/>
          <w:i w:val="0"/>
          <w:caps w:val="0"/>
          <w:color w:val="000000"/>
          <w:spacing w:val="0"/>
          <w:sz w:val="32"/>
          <w:szCs w:val="32"/>
          <w:shd w:val="clear" w:fill="FFFFFF"/>
          <w:lang w:val="en-US" w:eastAsia="zh-CN"/>
        </w:rPr>
        <w:t>.2020</w:t>
      </w:r>
      <w:r>
        <w:rPr>
          <w:rFonts w:hint="eastAsia" w:ascii="仿宋_GB2312" w:hAnsi="仿宋_GB2312" w:eastAsia="仿宋_GB2312" w:cs="仿宋_GB2312"/>
          <w:sz w:val="32"/>
          <w:szCs w:val="32"/>
          <w:lang w:val="en-US"/>
        </w:rPr>
        <w:t>年度</w:t>
      </w:r>
      <w:r>
        <w:rPr>
          <w:rFonts w:hint="eastAsia" w:ascii="仿宋_GB2312" w:hAnsi="仿宋_GB2312" w:eastAsia="仿宋_GB2312" w:cs="仿宋_GB2312"/>
          <w:sz w:val="32"/>
          <w:szCs w:val="32"/>
          <w:lang w:val="en-US" w:eastAsia="zh-CN"/>
        </w:rPr>
        <w:t>，我镇按照《中华人民共和国政府信息公开条例》要求，认真做好政府信息的主动公开工作，</w:t>
      </w:r>
      <w:r>
        <w:rPr>
          <w:rFonts w:hint="eastAsia" w:ascii="仿宋_GB2312" w:hAnsi="仿宋_GB2312" w:eastAsia="仿宋_GB2312" w:cs="仿宋_GB2312"/>
          <w:sz w:val="32"/>
          <w:szCs w:val="32"/>
          <w:lang w:val="en-US"/>
        </w:rPr>
        <w:t>对政府信息进行梳理和编目，</w:t>
      </w:r>
      <w:r>
        <w:rPr>
          <w:rFonts w:hint="eastAsia" w:ascii="仿宋_GB2312" w:hAnsi="仿宋_GB2312" w:eastAsia="仿宋_GB2312" w:cs="仿宋_GB2312"/>
          <w:sz w:val="32"/>
          <w:szCs w:val="32"/>
          <w:lang w:val="en-US" w:eastAsia="zh-CN"/>
        </w:rPr>
        <w:t>通过政务公开网站、</w:t>
      </w:r>
      <w:r>
        <w:rPr>
          <w:rFonts w:hint="eastAsia" w:ascii="仿宋_GB2312" w:hAnsi="仿宋_GB2312" w:eastAsia="仿宋_GB2312" w:cs="仿宋_GB2312"/>
          <w:sz w:val="32"/>
          <w:szCs w:val="32"/>
          <w:lang w:val="en-US"/>
        </w:rPr>
        <w:t>“齐都印象”微信公众</w:t>
      </w:r>
      <w:r>
        <w:rPr>
          <w:rFonts w:hint="eastAsia" w:ascii="仿宋_GB2312" w:hAnsi="仿宋_GB2312" w:eastAsia="仿宋_GB2312" w:cs="仿宋_GB2312"/>
          <w:sz w:val="32"/>
          <w:szCs w:val="32"/>
          <w:lang w:val="en-US" w:eastAsia="zh-CN"/>
        </w:rPr>
        <w:t>等平台，</w:t>
      </w:r>
      <w:r>
        <w:rPr>
          <w:rFonts w:hint="eastAsia" w:ascii="仿宋_GB2312" w:hAnsi="仿宋_GB2312" w:eastAsia="仿宋_GB2312" w:cs="仿宋_GB2312"/>
          <w:sz w:val="32"/>
          <w:szCs w:val="32"/>
          <w:lang w:val="en-US"/>
        </w:rPr>
        <w:t>全年累计报送</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lang w:val="en-US"/>
        </w:rPr>
        <w:t>信息</w:t>
      </w:r>
      <w:r>
        <w:rPr>
          <w:rFonts w:hint="eastAsia" w:ascii="Times New Roman" w:hAnsi="Times New Roman" w:eastAsia="仿宋_GB2312" w:cs="Times New Roman"/>
          <w:i w:val="0"/>
          <w:caps w:val="0"/>
          <w:color w:val="000000"/>
          <w:spacing w:val="0"/>
          <w:sz w:val="32"/>
          <w:szCs w:val="32"/>
          <w:shd w:val="clear" w:fill="FFFFFF"/>
          <w:lang w:val="en-US" w:eastAsia="zh-CN"/>
        </w:rPr>
        <w:t>240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lang w:val="en-US"/>
        </w:rPr>
        <w:t>条。其中镇政府信息公开</w:t>
      </w:r>
      <w:r>
        <w:rPr>
          <w:rFonts w:hint="eastAsia" w:ascii="仿宋_GB2312" w:hAnsi="仿宋_GB2312" w:eastAsia="仿宋_GB2312" w:cs="仿宋_GB2312"/>
          <w:sz w:val="32"/>
          <w:szCs w:val="32"/>
          <w:lang w:val="en-US" w:eastAsia="zh-CN"/>
        </w:rPr>
        <w:t>指南</w:t>
      </w:r>
      <w:r>
        <w:rPr>
          <w:rFonts w:hint="eastAsia" w:ascii="Times New Roman" w:hAnsi="Times New Roman" w:eastAsia="仿宋_GB2312" w:cs="Times New Roman"/>
          <w:i w:val="0"/>
          <w:caps w:val="0"/>
          <w:color w:val="000000"/>
          <w:spacing w:val="0"/>
          <w:sz w:val="32"/>
          <w:szCs w:val="32"/>
          <w:shd w:val="clear" w:fill="FFFFFF"/>
          <w:lang w:val="en-US" w:eastAsia="zh-CN"/>
        </w:rPr>
        <w:t>1</w:t>
      </w:r>
      <w:r>
        <w:rPr>
          <w:rFonts w:hint="eastAsia" w:ascii="仿宋_GB2312" w:hAnsi="仿宋_GB2312" w:eastAsia="仿宋_GB2312" w:cs="仿宋_GB2312"/>
          <w:sz w:val="32"/>
          <w:szCs w:val="32"/>
          <w:lang w:val="en-US"/>
        </w:rPr>
        <w:t>篇，镇政府信息公开年报</w:t>
      </w:r>
      <w:r>
        <w:rPr>
          <w:rFonts w:hint="eastAsia" w:ascii="Times New Roman" w:hAnsi="Times New Roman" w:eastAsia="仿宋_GB2312" w:cs="Times New Roman"/>
          <w:i w:val="0"/>
          <w:caps w:val="0"/>
          <w:color w:val="000000"/>
          <w:spacing w:val="0"/>
          <w:sz w:val="32"/>
          <w:szCs w:val="32"/>
          <w:shd w:val="clear" w:fill="FFFFFF"/>
          <w:lang w:val="en-US" w:eastAsia="zh-CN"/>
        </w:rPr>
        <w:t>1</w:t>
      </w:r>
      <w:r>
        <w:rPr>
          <w:rFonts w:hint="eastAsia" w:ascii="仿宋_GB2312" w:hAnsi="仿宋_GB2312" w:eastAsia="仿宋_GB2312" w:cs="仿宋_GB2312"/>
          <w:sz w:val="32"/>
          <w:szCs w:val="32"/>
          <w:lang w:val="en-US"/>
        </w:rPr>
        <w:t>篇，</w:t>
      </w:r>
      <w:r>
        <w:rPr>
          <w:rFonts w:hint="eastAsia" w:ascii="仿宋_GB2312" w:hAnsi="仿宋_GB2312" w:eastAsia="仿宋_GB2312" w:cs="仿宋_GB2312"/>
          <w:sz w:val="32"/>
          <w:szCs w:val="32"/>
          <w:lang w:val="en-US" w:eastAsia="zh-CN"/>
        </w:rPr>
        <w:t>业务工作、</w:t>
      </w:r>
      <w:r>
        <w:rPr>
          <w:rFonts w:hint="eastAsia" w:ascii="仿宋_GB2312" w:hAnsi="仿宋_GB2312" w:eastAsia="仿宋_GB2312" w:cs="仿宋_GB2312"/>
          <w:sz w:val="32"/>
          <w:szCs w:val="32"/>
          <w:lang w:val="en-US"/>
        </w:rPr>
        <w:t>法规</w:t>
      </w:r>
      <w:r>
        <w:rPr>
          <w:rFonts w:hint="eastAsia" w:ascii="仿宋_GB2312" w:hAnsi="仿宋_GB2312" w:eastAsia="仿宋_GB2312" w:cs="仿宋_GB2312"/>
          <w:sz w:val="32"/>
          <w:szCs w:val="32"/>
          <w:lang w:val="en-US" w:eastAsia="zh-CN"/>
        </w:rPr>
        <w:t>公文</w:t>
      </w:r>
      <w:r>
        <w:rPr>
          <w:rFonts w:hint="eastAsia" w:ascii="仿宋_GB2312" w:hAnsi="仿宋_GB2312" w:eastAsia="仿宋_GB2312" w:cs="仿宋_GB2312"/>
          <w:sz w:val="32"/>
          <w:szCs w:val="32"/>
          <w:lang w:val="en-US"/>
        </w:rPr>
        <w:t>等其他信息</w:t>
      </w:r>
      <w:r>
        <w:rPr>
          <w:rFonts w:hint="eastAsia" w:ascii="Times New Roman" w:hAnsi="Times New Roman" w:eastAsia="仿宋_GB2312" w:cs="Times New Roman"/>
          <w:i w:val="0"/>
          <w:caps w:val="0"/>
          <w:color w:val="000000"/>
          <w:spacing w:val="0"/>
          <w:sz w:val="32"/>
          <w:szCs w:val="32"/>
          <w:shd w:val="clear" w:fill="FFFFFF"/>
          <w:lang w:val="en-US" w:eastAsia="zh-CN"/>
        </w:rPr>
        <w:t>200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lang w:val="en-US"/>
        </w:rPr>
        <w:t>条。以</w:t>
      </w:r>
      <w:r>
        <w:rPr>
          <w:rFonts w:hint="eastAsia" w:ascii="仿宋_GB2312" w:hAnsi="仿宋_GB2312" w:eastAsia="仿宋_GB2312" w:cs="仿宋_GB2312"/>
          <w:sz w:val="32"/>
          <w:szCs w:val="32"/>
          <w:lang w:val="en-US" w:eastAsia="zh-CN"/>
        </w:rPr>
        <w:t>文字、图片、视频等形式，</w:t>
      </w:r>
      <w:r>
        <w:rPr>
          <w:rFonts w:hint="eastAsia" w:ascii="仿宋_GB2312" w:hAnsi="仿宋_GB2312" w:eastAsia="仿宋_GB2312" w:cs="仿宋_GB2312"/>
          <w:sz w:val="32"/>
          <w:szCs w:val="32"/>
          <w:lang w:val="en-US"/>
        </w:rPr>
        <w:t>及时发布重大政策和相关政策解读</w:t>
      </w:r>
      <w:r>
        <w:rPr>
          <w:rFonts w:hint="eastAsia" w:ascii="仿宋_GB2312" w:hAnsi="仿宋_GB2312" w:eastAsia="仿宋_GB2312" w:cs="仿宋_GB2312"/>
          <w:sz w:val="32"/>
          <w:szCs w:val="32"/>
          <w:lang w:val="en-US" w:eastAsia="zh-CN"/>
        </w:rPr>
        <w:t>及我镇重点工作开展情况</w:t>
      </w:r>
      <w:r>
        <w:rPr>
          <w:rFonts w:hint="eastAsia" w:ascii="仿宋_GB2312" w:hAnsi="仿宋_GB2312" w:eastAsia="仿宋_GB2312" w:cs="仿宋_GB2312"/>
          <w:sz w:val="32"/>
          <w:szCs w:val="32"/>
          <w:lang w:val="en-US"/>
        </w:rPr>
        <w:t>，积极回应社会关切，得到了</w:t>
      </w:r>
      <w:r>
        <w:rPr>
          <w:rFonts w:hint="eastAsia" w:ascii="仿宋_GB2312" w:hAnsi="仿宋_GB2312" w:eastAsia="仿宋_GB2312" w:cs="仿宋_GB2312"/>
          <w:sz w:val="32"/>
          <w:szCs w:val="32"/>
          <w:lang w:val="en-US" w:eastAsia="zh-CN"/>
        </w:rPr>
        <w:t>广大</w:t>
      </w:r>
      <w:r>
        <w:rPr>
          <w:rFonts w:hint="eastAsia" w:ascii="仿宋_GB2312" w:hAnsi="仿宋_GB2312" w:eastAsia="仿宋_GB2312" w:cs="仿宋_GB2312"/>
          <w:sz w:val="32"/>
          <w:szCs w:val="32"/>
          <w:lang w:val="en-US"/>
        </w:rPr>
        <w:t>群众的</w:t>
      </w:r>
      <w:r>
        <w:rPr>
          <w:rFonts w:hint="eastAsia" w:ascii="仿宋_GB2312" w:hAnsi="仿宋_GB2312" w:eastAsia="仿宋_GB2312" w:cs="仿宋_GB2312"/>
          <w:sz w:val="32"/>
          <w:szCs w:val="32"/>
          <w:lang w:val="en-US" w:eastAsia="zh-CN"/>
        </w:rPr>
        <w:t>极大</w:t>
      </w:r>
      <w:r>
        <w:rPr>
          <w:rFonts w:hint="eastAsia" w:ascii="仿宋_GB2312" w:hAnsi="仿宋_GB2312" w:eastAsia="仿宋_GB2312" w:cs="仿宋_GB2312"/>
          <w:sz w:val="32"/>
          <w:szCs w:val="32"/>
          <w:lang w:val="en-US"/>
        </w:rPr>
        <w:t>认可。</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3360" behindDoc="0" locked="0" layoutInCell="1" allowOverlap="1">
            <wp:simplePos x="0" y="0"/>
            <wp:positionH relativeFrom="column">
              <wp:posOffset>2400300</wp:posOffset>
            </wp:positionH>
            <wp:positionV relativeFrom="paragraph">
              <wp:posOffset>163830</wp:posOffset>
            </wp:positionV>
            <wp:extent cx="3716655" cy="2520315"/>
            <wp:effectExtent l="0" t="0" r="17145" b="13335"/>
            <wp:wrapSquare wrapText="bothSides"/>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3716655" cy="2520315"/>
                    </a:xfrm>
                    <a:prstGeom prst="rect">
                      <a:avLst/>
                    </a:prstGeom>
                  </pic:spPr>
                </pic:pic>
              </a:graphicData>
            </a:graphic>
          </wp:anchor>
        </w:drawing>
      </w: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-334010</wp:posOffset>
            </wp:positionH>
            <wp:positionV relativeFrom="paragraph">
              <wp:posOffset>151130</wp:posOffset>
            </wp:positionV>
            <wp:extent cx="2499995" cy="2520315"/>
            <wp:effectExtent l="0" t="0" r="14605" b="13335"/>
            <wp:wrapSquare wrapText="bothSides"/>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5"/>
                    <a:srcRect t="6122" b="36731"/>
                    <a:stretch>
                      <a:fillRect/>
                    </a:stretch>
                  </pic:blipFill>
                  <pic:spPr>
                    <a:xfrm>
                      <a:off x="0" y="0"/>
                      <a:ext cx="2499995" cy="252031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2.人大建议和政协提案。</w:t>
      </w:r>
      <w:r>
        <w:rPr>
          <w:rFonts w:hint="eastAsia" w:ascii="Times New Roman" w:hAnsi="Times New Roman" w:eastAsia="仿宋_GB2312" w:cs="Times New Roman"/>
          <w:i w:val="0"/>
          <w:caps w:val="0"/>
          <w:color w:val="000000"/>
          <w:spacing w:val="0"/>
          <w:sz w:val="32"/>
          <w:szCs w:val="32"/>
          <w:shd w:val="clear" w:fill="FFFFFF"/>
          <w:lang w:val="en-US" w:eastAsia="zh-CN"/>
        </w:rPr>
        <w:t>2020</w:t>
      </w:r>
      <w:r>
        <w:rPr>
          <w:rFonts w:hint="eastAsia" w:ascii="仿宋_GB2312" w:hAnsi="仿宋_GB2312" w:eastAsia="仿宋_GB2312" w:cs="仿宋_GB2312"/>
          <w:sz w:val="32"/>
          <w:szCs w:val="32"/>
          <w:lang w:val="en-US" w:eastAsia="zh-CN"/>
        </w:rPr>
        <w:t>年，通过网站公开人大代表建议办理情况</w:t>
      </w:r>
      <w:r>
        <w:rPr>
          <w:rFonts w:hint="eastAsia" w:ascii="Times New Roman" w:hAnsi="Times New Roman" w:eastAsia="仿宋_GB2312" w:cs="Times New Roman"/>
          <w:i w:val="0"/>
          <w:caps w:val="0"/>
          <w:color w:val="000000"/>
          <w:spacing w:val="0"/>
          <w:sz w:val="32"/>
          <w:szCs w:val="32"/>
          <w:shd w:val="clear" w:fill="FFFFFF"/>
          <w:lang w:val="en-US" w:eastAsia="zh-CN"/>
        </w:rPr>
        <w:t>0</w:t>
      </w:r>
      <w:r>
        <w:rPr>
          <w:rFonts w:hint="eastAsia" w:ascii="仿宋_GB2312" w:hAnsi="仿宋_GB2312" w:eastAsia="仿宋_GB2312" w:cs="仿宋_GB2312"/>
          <w:sz w:val="32"/>
          <w:szCs w:val="32"/>
          <w:lang w:val="en-US" w:eastAsia="zh-CN"/>
        </w:rPr>
        <w:t>件，公开政协委员提案办理情况</w:t>
      </w:r>
      <w:r>
        <w:rPr>
          <w:rFonts w:hint="eastAsia" w:ascii="Times New Roman" w:hAnsi="Times New Roman" w:eastAsia="仿宋_GB2312" w:cs="Times New Roman"/>
          <w:i w:val="0"/>
          <w:caps w:val="0"/>
          <w:color w:val="000000"/>
          <w:spacing w:val="0"/>
          <w:sz w:val="32"/>
          <w:szCs w:val="32"/>
          <w:shd w:val="clear" w:fill="FFFFFF"/>
          <w:lang w:val="en-US" w:eastAsia="zh-CN"/>
        </w:rPr>
        <w:t>0</w:t>
      </w:r>
      <w:r>
        <w:rPr>
          <w:rFonts w:hint="eastAsia" w:ascii="仿宋_GB2312" w:hAnsi="仿宋_GB2312" w:eastAsia="仿宋_GB2312" w:cs="仿宋_GB2312"/>
          <w:sz w:val="32"/>
          <w:szCs w:val="32"/>
          <w:lang w:val="en-US" w:eastAsia="zh-CN"/>
        </w:rPr>
        <w:t>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（二）依申请公开情况</w:t>
      </w:r>
    </w:p>
    <w:p>
      <w:pPr>
        <w:keepNext w:val="0"/>
        <w:keepLines w:val="0"/>
        <w:pageBreakBefore w:val="0"/>
        <w:widowControl w:val="0"/>
        <w:kinsoku/>
        <w:wordWrap/>
        <w:overflowPunct/>
        <w:topLinePunct w:val="0"/>
        <w:autoSpaceDE w:val="0"/>
        <w:autoSpaceDN w:val="0"/>
        <w:bidi w:val="0"/>
        <w:adjustRightInd/>
        <w:snapToGrid/>
        <w:spacing w:line="560" w:lineRule="exact"/>
        <w:ind w:firstLine="440" w:firstLineChars="200"/>
        <w:jc w:val="both"/>
        <w:textAlignment w:val="auto"/>
        <w:outlineLvl w:val="9"/>
        <w:rPr>
          <w:rFonts w:hint="eastAsia" w:ascii="仿宋_GB2312" w:hAnsi="仿宋_GB2312" w:eastAsia="仿宋_GB2312" w:cs="仿宋_GB2312"/>
          <w:sz w:val="32"/>
          <w:szCs w:val="32"/>
          <w:lang w:val="en-US" w:eastAsia="zh-CN"/>
        </w:rPr>
      </w:pPr>
      <w:r>
        <w:drawing>
          <wp:anchor distT="0" distB="0" distL="114300" distR="114300" simplePos="0" relativeHeight="251658240" behindDoc="1" locked="0" layoutInCell="1" allowOverlap="1">
            <wp:simplePos x="0" y="0"/>
            <wp:positionH relativeFrom="column">
              <wp:posOffset>165100</wp:posOffset>
            </wp:positionH>
            <wp:positionV relativeFrom="paragraph">
              <wp:posOffset>544830</wp:posOffset>
            </wp:positionV>
            <wp:extent cx="5718810" cy="1993900"/>
            <wp:effectExtent l="0" t="0" r="15240" b="6350"/>
            <wp:wrapTight wrapText="bothSides">
              <wp:wrapPolygon>
                <wp:start x="0" y="0"/>
                <wp:lineTo x="0" y="21462"/>
                <wp:lineTo x="21514" y="21462"/>
                <wp:lineTo x="2151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718810" cy="1993900"/>
                    </a:xfrm>
                    <a:prstGeom prst="rect">
                      <a:avLst/>
                    </a:prstGeom>
                    <a:noFill/>
                    <a:ln w="9525">
                      <a:noFill/>
                    </a:ln>
                  </pic:spPr>
                </pic:pic>
              </a:graphicData>
            </a:graphic>
          </wp:anchor>
        </w:drawing>
      </w:r>
      <w:r>
        <w:rPr>
          <w:rFonts w:hint="eastAsia" w:ascii="Times New Roman" w:hAnsi="Times New Roman" w:eastAsia="仿宋_GB2312" w:cs="Times New Roman"/>
          <w:i w:val="0"/>
          <w:caps w:val="0"/>
          <w:color w:val="000000"/>
          <w:spacing w:val="0"/>
          <w:sz w:val="32"/>
          <w:szCs w:val="32"/>
          <w:shd w:val="clear" w:fill="FFFFFF"/>
          <w:lang w:val="en-US" w:eastAsia="zh-CN"/>
        </w:rPr>
        <w:t>2020</w:t>
      </w:r>
      <w:r>
        <w:rPr>
          <w:rFonts w:hint="eastAsia" w:ascii="仿宋_GB2312" w:hAnsi="仿宋_GB2312" w:eastAsia="仿宋_GB2312" w:cs="仿宋_GB2312"/>
          <w:sz w:val="32"/>
          <w:szCs w:val="32"/>
          <w:lang w:val="en-US" w:eastAsia="zh-CN"/>
        </w:rPr>
        <w:t>年度我镇收到依申请公开</w:t>
      </w:r>
      <w:r>
        <w:rPr>
          <w:rFonts w:hint="eastAsia" w:ascii="Times New Roman" w:hAnsi="Times New Roman" w:eastAsia="仿宋_GB2312" w:cs="Times New Roman"/>
          <w:i w:val="0"/>
          <w:caps w:val="0"/>
          <w:color w:val="000000"/>
          <w:spacing w:val="0"/>
          <w:sz w:val="32"/>
          <w:szCs w:val="32"/>
          <w:shd w:val="clear" w:fill="FFFFFF"/>
          <w:lang w:val="en-US" w:eastAsia="zh-CN"/>
        </w:rPr>
        <w:t>0</w:t>
      </w:r>
      <w:r>
        <w:rPr>
          <w:rFonts w:hint="eastAsia" w:ascii="仿宋_GB2312" w:hAnsi="仿宋_GB2312" w:eastAsia="仿宋_GB2312" w:cs="仿宋_GB2312"/>
          <w:sz w:val="32"/>
          <w:szCs w:val="32"/>
          <w:lang w:val="en-US" w:eastAsia="zh-CN"/>
        </w:rPr>
        <w:t>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（三）政府信息管理情况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在政府信息公开工作推进过程中，我们本着“规范、明了、方便、实用”的原则，根据我镇的实际，突出重点，创新形式，不断提高政府信息公开工作水平，不断深化和丰富公开内容，主动向社会公开各类信息。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（四）平台建设</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切实规范完善平台建设，确保信息准确及时发布。按照区政府办的统一要求，编制更新信息公开目录，补充完善业务工作、政府工作报告、法规公文、财政信息、机构职能、领导分工、规划计划、民生公益、农业农村等栏目；编制齐都镇人民政府信息公开标准化目录及主动公开目录。认真做好新旧平台的信息管理及维护工作，及时更新平台的信息公开栏目并做好日常维护，确保信息发布的规范性及时效性，以准确及时地反映我镇各项工作动态。</w:t>
      </w:r>
    </w:p>
    <w:p>
      <w:pPr>
        <w:keepNext w:val="0"/>
        <w:keepLines w:val="0"/>
        <w:pageBreakBefore w:val="0"/>
        <w:widowControl w:val="0"/>
        <w:kinsoku/>
        <w:wordWrap/>
        <w:overflowPunct/>
        <w:topLinePunct w:val="0"/>
        <w:autoSpaceDE w:val="0"/>
        <w:autoSpaceDN w:val="0"/>
        <w:bidi w:val="0"/>
        <w:adjustRightInd/>
        <w:snapToGrid/>
        <w:spacing w:line="560" w:lineRule="exact"/>
        <w:ind w:firstLine="440" w:firstLineChars="200"/>
        <w:jc w:val="both"/>
        <w:textAlignment w:val="auto"/>
        <w:outlineLvl w:val="9"/>
        <w:rPr>
          <w:rFonts w:hint="eastAsia" w:ascii="仿宋_GB2312" w:hAnsi="仿宋_GB2312" w:eastAsia="仿宋_GB2312" w:cs="仿宋_GB2312"/>
          <w:sz w:val="32"/>
          <w:szCs w:val="32"/>
          <w:lang w:val="en-US" w:eastAsia="zh-CN"/>
        </w:rPr>
      </w:pPr>
      <w:r>
        <w:drawing>
          <wp:anchor distT="0" distB="0" distL="114300" distR="114300" simplePos="0" relativeHeight="251662336" behindDoc="0" locked="0" layoutInCell="1" allowOverlap="1">
            <wp:simplePos x="0" y="0"/>
            <wp:positionH relativeFrom="column">
              <wp:posOffset>3094990</wp:posOffset>
            </wp:positionH>
            <wp:positionV relativeFrom="paragraph">
              <wp:posOffset>123190</wp:posOffset>
            </wp:positionV>
            <wp:extent cx="3249295" cy="2526665"/>
            <wp:effectExtent l="0" t="0" r="8255" b="6985"/>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3249295" cy="2526665"/>
                    </a:xfrm>
                    <a:prstGeom prst="rect">
                      <a:avLst/>
                    </a:prstGeom>
                    <a:noFill/>
                    <a:ln w="9525">
                      <a:noFill/>
                    </a:ln>
                  </pic:spPr>
                </pic:pic>
              </a:graphicData>
            </a:graphic>
          </wp:anchor>
        </w:drawing>
      </w:r>
      <w:r>
        <w:drawing>
          <wp:anchor distT="0" distB="0" distL="114300" distR="114300" simplePos="0" relativeHeight="251661312" behindDoc="0" locked="0" layoutInCell="1" allowOverlap="1">
            <wp:simplePos x="0" y="0"/>
            <wp:positionH relativeFrom="column">
              <wp:posOffset>-444500</wp:posOffset>
            </wp:positionH>
            <wp:positionV relativeFrom="paragraph">
              <wp:posOffset>100965</wp:posOffset>
            </wp:positionV>
            <wp:extent cx="3274695" cy="2532380"/>
            <wp:effectExtent l="0" t="0" r="1905" b="127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3274695" cy="2532380"/>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（五）监督保障情况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1.明确责任，建立健全组织领导机制。</w:t>
      </w:r>
      <w:r>
        <w:rPr>
          <w:rFonts w:hint="eastAsia" w:ascii="Times New Roman" w:hAnsi="Times New Roman" w:eastAsia="仿宋_GB2312" w:cs="Times New Roman"/>
          <w:i w:val="0"/>
          <w:caps w:val="0"/>
          <w:color w:val="000000"/>
          <w:spacing w:val="0"/>
          <w:sz w:val="32"/>
          <w:szCs w:val="32"/>
          <w:shd w:val="clear" w:fill="FFFFFF"/>
          <w:lang w:val="en-US" w:eastAsia="zh-CN"/>
        </w:rPr>
        <w:t>2020</w:t>
      </w:r>
      <w:r>
        <w:rPr>
          <w:rFonts w:hint="eastAsia" w:ascii="仿宋_GB2312" w:hAnsi="仿宋_GB2312" w:eastAsia="仿宋_GB2312" w:cs="仿宋_GB2312"/>
          <w:sz w:val="32"/>
          <w:szCs w:val="32"/>
          <w:lang w:val="en-US" w:eastAsia="zh-CN"/>
        </w:rPr>
        <w:t>年，为保证我镇政府信息公开工作的有效实施，加强对政府信息公开工作的领导，我镇及时调整了政府信息公开工作领导小组成员，安排部署我镇政府信息公开工作，健全了由主要领导负总责，分管领导主抓，办公室具体负责，专人处理政府信息文件的分工及工作机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2.强化监督，完善公开制度。</w:t>
      </w:r>
      <w:r>
        <w:rPr>
          <w:rFonts w:hint="eastAsia" w:ascii="Times New Roman" w:hAnsi="Times New Roman" w:eastAsia="仿宋_GB2312" w:cs="Times New Roman"/>
          <w:i w:val="0"/>
          <w:caps w:val="0"/>
          <w:color w:val="000000"/>
          <w:spacing w:val="0"/>
          <w:sz w:val="32"/>
          <w:szCs w:val="32"/>
          <w:shd w:val="clear" w:fill="FFFFFF"/>
          <w:lang w:val="en-US" w:eastAsia="zh-CN"/>
        </w:rPr>
        <w:t>2020</w:t>
      </w:r>
      <w:r>
        <w:rPr>
          <w:rFonts w:hint="eastAsia" w:ascii="仿宋_GB2312" w:hAnsi="仿宋_GB2312" w:eastAsia="仿宋_GB2312" w:cs="仿宋_GB2312"/>
          <w:sz w:val="32"/>
          <w:szCs w:val="32"/>
          <w:lang w:val="en-US" w:eastAsia="zh-CN"/>
        </w:rPr>
        <w:t>年，我镇进一步完善信息公开机制，建立健全长效管理机制，围绕中心工作，及时、准确填报应公开的信息，重点做好社会关注、群众关心信息的公开，方便群众网上查看。严格遵守信息保密审查制度，确保涉密信息不公开，公开信息不涉密。同时，强化监督检查工作，实行定期检查与不定期检查相结合，鼓励广大干部、群众积极参与监督，积极反映公开过程中存在的突出问题，使公开工作更加扎实、有序开展。</w:t>
      </w:r>
    </w:p>
    <w:p>
      <w:pPr>
        <w:keepNext w:val="0"/>
        <w:keepLines w:val="0"/>
        <w:pageBreakBefore w:val="0"/>
        <w:widowControl w:val="0"/>
        <w:kinsoku/>
        <w:wordWrap/>
        <w:overflowPunct/>
        <w:topLinePunct w:val="0"/>
        <w:autoSpaceDE w:val="0"/>
        <w:autoSpaceDN w:val="0"/>
        <w:bidi w:val="0"/>
        <w:adjustRightInd/>
        <w:snapToGrid/>
        <w:spacing w:before="313" w:beforeLines="100" w:after="157" w:afterLines="50"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4"/>
        <w:tblW w:w="9040" w:type="dxa"/>
        <w:jc w:val="center"/>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55"/>
        <w:gridCol w:w="2022"/>
        <w:gridCol w:w="2073"/>
        <w:gridCol w:w="21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5" w:hRule="atLeast"/>
          <w:jc w:val="center"/>
        </w:trPr>
        <w:tc>
          <w:tcPr>
            <w:tcW w:w="9040" w:type="dxa"/>
            <w:gridSpan w:val="4"/>
            <w:tcBorders>
              <w:bottom w:val="single" w:color="000000" w:sz="2" w:space="0"/>
            </w:tcBorders>
            <w:vAlign w:val="center"/>
          </w:tcPr>
          <w:p>
            <w:pPr>
              <w:jc w:val="center"/>
              <w:rPr>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5"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本年新制作数量</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本年新公开数量</w:t>
            </w:r>
          </w:p>
        </w:tc>
        <w:tc>
          <w:tcPr>
            <w:tcW w:w="2190"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5"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规章</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190"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5"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规范性文件</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190"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9040"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2190"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行政许可</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190"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其他对外管理服务事项</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190"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9040"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2190"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190"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行政强制</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073"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2190"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9040"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426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行政事业性收费</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263" w:type="dxa"/>
            <w:gridSpan w:val="2"/>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9040"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2755"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202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采购项目数量</w:t>
            </w:r>
          </w:p>
        </w:tc>
        <w:tc>
          <w:tcPr>
            <w:tcW w:w="426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2755" w:type="dxa"/>
            <w:tcBorders>
              <w:top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政府集中采购</w:t>
            </w:r>
          </w:p>
        </w:tc>
        <w:tc>
          <w:tcPr>
            <w:tcW w:w="2022" w:type="dxa"/>
            <w:tcBorders>
              <w:top w:val="single" w:color="000000" w:sz="2" w:space="0"/>
              <w:left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263" w:type="dxa"/>
            <w:gridSpan w:val="2"/>
            <w:tcBorders>
              <w:top w:val="single" w:color="000000" w:sz="2" w:space="0"/>
              <w:lef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157" w:afterLines="50" w:line="560" w:lineRule="exact"/>
        <w:ind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三、收到和处理政府信息公开申请情况</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25"/>
        <w:gridCol w:w="2091"/>
        <w:gridCol w:w="611"/>
        <w:gridCol w:w="684"/>
        <w:gridCol w:w="685"/>
        <w:gridCol w:w="833"/>
        <w:gridCol w:w="832"/>
        <w:gridCol w:w="53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4526" w:type="dxa"/>
            <w:gridSpan w:val="3"/>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（本列数据的勾稽关系为：第一项加第二项之和，等于第三项加第四项之和）</w:t>
            </w:r>
          </w:p>
        </w:tc>
        <w:tc>
          <w:tcPr>
            <w:tcW w:w="4716" w:type="dxa"/>
            <w:gridSpan w:val="7"/>
            <w:vAlign w:val="center"/>
          </w:tcPr>
          <w:p>
            <w:pPr>
              <w:jc w:val="center"/>
              <w:rPr>
                <w:rFonts w:ascii="黑体" w:hAnsi="黑体" w:eastAsia="黑体" w:cs="黑体"/>
                <w:sz w:val="21"/>
                <w:szCs w:val="21"/>
              </w:rPr>
            </w:pPr>
            <w:r>
              <w:rPr>
                <w:rFonts w:hint="eastAsia" w:ascii="黑体" w:hAnsi="黑体" w:eastAsia="黑体" w:cs="黑体"/>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4526" w:type="dxa"/>
            <w:gridSpan w:val="3"/>
            <w:vMerge w:val="continue"/>
            <w:vAlign w:val="center"/>
          </w:tcPr>
          <w:p>
            <w:pPr>
              <w:jc w:val="center"/>
              <w:rPr>
                <w:rFonts w:ascii="黑体" w:hAnsi="黑体" w:eastAsia="黑体" w:cs="黑体"/>
                <w:sz w:val="21"/>
                <w:szCs w:val="21"/>
              </w:rPr>
            </w:pPr>
          </w:p>
        </w:tc>
        <w:tc>
          <w:tcPr>
            <w:tcW w:w="611" w:type="dxa"/>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自然人</w:t>
            </w:r>
          </w:p>
        </w:tc>
        <w:tc>
          <w:tcPr>
            <w:tcW w:w="3570" w:type="dxa"/>
            <w:gridSpan w:val="5"/>
            <w:vAlign w:val="center"/>
          </w:tcPr>
          <w:p>
            <w:pPr>
              <w:jc w:val="center"/>
              <w:rPr>
                <w:rFonts w:ascii="黑体" w:hAnsi="黑体" w:eastAsia="黑体" w:cs="黑体"/>
                <w:sz w:val="21"/>
                <w:szCs w:val="21"/>
              </w:rPr>
            </w:pPr>
            <w:r>
              <w:rPr>
                <w:rFonts w:hint="eastAsia" w:ascii="黑体" w:hAnsi="黑体" w:eastAsia="黑体" w:cs="黑体"/>
                <w:sz w:val="21"/>
                <w:szCs w:val="21"/>
              </w:rPr>
              <w:t>法人或其他组织</w:t>
            </w:r>
          </w:p>
        </w:tc>
        <w:tc>
          <w:tcPr>
            <w:tcW w:w="535" w:type="dxa"/>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jc w:val="center"/>
        </w:trPr>
        <w:tc>
          <w:tcPr>
            <w:tcW w:w="4526" w:type="dxa"/>
            <w:gridSpan w:val="3"/>
            <w:vMerge w:val="continue"/>
            <w:vAlign w:val="center"/>
          </w:tcPr>
          <w:p>
            <w:pPr>
              <w:jc w:val="center"/>
              <w:rPr>
                <w:rFonts w:ascii="黑体" w:hAnsi="黑体" w:eastAsia="黑体" w:cs="黑体"/>
                <w:sz w:val="21"/>
                <w:szCs w:val="21"/>
              </w:rPr>
            </w:pPr>
          </w:p>
        </w:tc>
        <w:tc>
          <w:tcPr>
            <w:tcW w:w="611" w:type="dxa"/>
            <w:vMerge w:val="continue"/>
            <w:vAlign w:val="center"/>
          </w:tcPr>
          <w:p>
            <w:pPr>
              <w:jc w:val="center"/>
              <w:rPr>
                <w:rFonts w:ascii="黑体" w:hAnsi="黑体" w:eastAsia="黑体" w:cs="黑体"/>
                <w:sz w:val="21"/>
                <w:szCs w:val="21"/>
              </w:rPr>
            </w:pPr>
          </w:p>
        </w:tc>
        <w:tc>
          <w:tcPr>
            <w:tcW w:w="684" w:type="dxa"/>
            <w:vAlign w:val="center"/>
          </w:tcPr>
          <w:p>
            <w:pPr>
              <w:jc w:val="center"/>
              <w:rPr>
                <w:rFonts w:ascii="黑体" w:hAnsi="黑体" w:eastAsia="黑体" w:cs="黑体"/>
                <w:sz w:val="21"/>
                <w:szCs w:val="21"/>
              </w:rPr>
            </w:pPr>
            <w:r>
              <w:rPr>
                <w:rFonts w:hint="eastAsia" w:ascii="黑体" w:hAnsi="黑体" w:eastAsia="黑体" w:cs="黑体"/>
                <w:sz w:val="21"/>
                <w:szCs w:val="21"/>
              </w:rPr>
              <w:t>商业企业</w:t>
            </w:r>
          </w:p>
        </w:tc>
        <w:tc>
          <w:tcPr>
            <w:tcW w:w="685" w:type="dxa"/>
            <w:vAlign w:val="center"/>
          </w:tcPr>
          <w:p>
            <w:pPr>
              <w:jc w:val="center"/>
              <w:rPr>
                <w:rFonts w:ascii="黑体" w:hAnsi="黑体" w:eastAsia="黑体" w:cs="黑体"/>
                <w:sz w:val="21"/>
                <w:szCs w:val="21"/>
              </w:rPr>
            </w:pPr>
            <w:r>
              <w:rPr>
                <w:rFonts w:hint="eastAsia" w:ascii="黑体" w:hAnsi="黑体" w:eastAsia="黑体" w:cs="黑体"/>
                <w:sz w:val="21"/>
                <w:szCs w:val="21"/>
              </w:rPr>
              <w:t>科研机构</w:t>
            </w:r>
          </w:p>
        </w:tc>
        <w:tc>
          <w:tcPr>
            <w:tcW w:w="833" w:type="dxa"/>
            <w:vAlign w:val="center"/>
          </w:tcPr>
          <w:p>
            <w:pPr>
              <w:jc w:val="center"/>
              <w:rPr>
                <w:rFonts w:ascii="黑体" w:hAnsi="黑体" w:eastAsia="黑体" w:cs="黑体"/>
                <w:sz w:val="21"/>
                <w:szCs w:val="21"/>
              </w:rPr>
            </w:pPr>
            <w:r>
              <w:rPr>
                <w:rFonts w:hint="eastAsia" w:ascii="黑体" w:hAnsi="黑体" w:eastAsia="黑体" w:cs="黑体"/>
                <w:sz w:val="21"/>
                <w:szCs w:val="21"/>
              </w:rPr>
              <w:t>社会公益组织</w:t>
            </w:r>
          </w:p>
        </w:tc>
        <w:tc>
          <w:tcPr>
            <w:tcW w:w="832" w:type="dxa"/>
            <w:vAlign w:val="center"/>
          </w:tcPr>
          <w:p>
            <w:pPr>
              <w:jc w:val="center"/>
              <w:rPr>
                <w:rFonts w:ascii="黑体" w:hAnsi="黑体" w:eastAsia="黑体" w:cs="黑体"/>
                <w:sz w:val="21"/>
                <w:szCs w:val="21"/>
              </w:rPr>
            </w:pPr>
            <w:r>
              <w:rPr>
                <w:rFonts w:hint="eastAsia" w:ascii="黑体" w:hAnsi="黑体" w:eastAsia="黑体" w:cs="黑体"/>
                <w:sz w:val="21"/>
                <w:szCs w:val="21"/>
              </w:rPr>
              <w:t>法律服务机构</w:t>
            </w:r>
          </w:p>
        </w:tc>
        <w:tc>
          <w:tcPr>
            <w:tcW w:w="536" w:type="dxa"/>
            <w:vAlign w:val="center"/>
          </w:tcPr>
          <w:p>
            <w:pPr>
              <w:jc w:val="center"/>
              <w:rPr>
                <w:rFonts w:ascii="黑体" w:hAnsi="黑体" w:eastAsia="黑体" w:cs="黑体"/>
                <w:sz w:val="21"/>
                <w:szCs w:val="21"/>
              </w:rPr>
            </w:pPr>
            <w:r>
              <w:rPr>
                <w:rFonts w:hint="eastAsia" w:ascii="黑体" w:hAnsi="黑体" w:eastAsia="黑体" w:cs="黑体"/>
                <w:sz w:val="21"/>
                <w:szCs w:val="21"/>
              </w:rPr>
              <w:t>其他</w:t>
            </w:r>
          </w:p>
        </w:tc>
        <w:tc>
          <w:tcPr>
            <w:tcW w:w="535" w:type="dxa"/>
            <w:vMerge w:val="continue"/>
            <w:vAlign w:val="center"/>
          </w:tcPr>
          <w:p>
            <w:pPr>
              <w:rPr>
                <w:rFonts w:asciiTheme="minorHAnsi" w:hAnsiTheme="minorHAnsi" w:eastAsiaTheme="minorEastAsia" w:cstheme="minorBid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4526" w:type="dxa"/>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一、本年新收政府信息公开申请数量</w:t>
            </w:r>
          </w:p>
        </w:tc>
        <w:tc>
          <w:tcPr>
            <w:tcW w:w="61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526" w:type="dxa"/>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二、上年结转政府信息公开申请数量</w:t>
            </w:r>
          </w:p>
        </w:tc>
        <w:tc>
          <w:tcPr>
            <w:tcW w:w="61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0" w:type="dxa"/>
            <w:vMerge w:val="restart"/>
            <w:vAlign w:val="center"/>
          </w:tcPr>
          <w:p>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三、本年度办理结果</w:t>
            </w:r>
          </w:p>
        </w:tc>
        <w:tc>
          <w:tcPr>
            <w:tcW w:w="3316" w:type="dxa"/>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（一）予以公开</w:t>
            </w:r>
          </w:p>
        </w:tc>
        <w:tc>
          <w:tcPr>
            <w:tcW w:w="61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210" w:type="dxa"/>
            <w:vMerge w:val="continue"/>
          </w:tcPr>
          <w:p>
            <w:pPr>
              <w:rPr>
                <w:rFonts w:asciiTheme="minorEastAsia" w:hAnsiTheme="minorEastAsia" w:eastAsiaTheme="minorEastAsia" w:cstheme="minorEastAsia"/>
                <w:sz w:val="21"/>
                <w:szCs w:val="21"/>
              </w:rPr>
            </w:pPr>
          </w:p>
        </w:tc>
        <w:tc>
          <w:tcPr>
            <w:tcW w:w="3316" w:type="dxa"/>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（二）部分公开（区分处理的，只计这一情形，不计其他情形）</w:t>
            </w:r>
          </w:p>
        </w:tc>
        <w:tc>
          <w:tcPr>
            <w:tcW w:w="61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（三）不予公开</w:t>
            </w: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1．属于国家秘密</w:t>
            </w:r>
          </w:p>
        </w:tc>
        <w:tc>
          <w:tcPr>
            <w:tcW w:w="61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2．其他法律行政法规禁止公开</w:t>
            </w:r>
          </w:p>
        </w:tc>
        <w:tc>
          <w:tcPr>
            <w:tcW w:w="61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highlight w:val="none"/>
              </w:rPr>
              <w:t>危及</w:t>
            </w:r>
            <w:r>
              <w:rPr>
                <w:rFonts w:hint="eastAsia" w:asciiTheme="minorEastAsia" w:hAnsiTheme="minorEastAsia" w:eastAsiaTheme="minorEastAsia" w:cstheme="minorEastAsia"/>
                <w:sz w:val="21"/>
                <w:szCs w:val="21"/>
              </w:rPr>
              <w:t>“三安全一稳定”</w:t>
            </w:r>
          </w:p>
        </w:tc>
        <w:tc>
          <w:tcPr>
            <w:tcW w:w="61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4．保护第三方合法权益</w:t>
            </w:r>
          </w:p>
        </w:tc>
        <w:tc>
          <w:tcPr>
            <w:tcW w:w="61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5．属于三类内部事务信息</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6．属于四类过程性信息</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7．属于行政执法案卷</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8．属于行政查询事项</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（四）无法提供</w:t>
            </w: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1．本单位不掌握相关政府信息</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2．没有现成信息需要另行制作</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vAlign w:val="center"/>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3．补正后申请内容仍不明确</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（五）不予处理</w:t>
            </w: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1．信访举报投诉类申请</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2．重复申请</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3．要求提供公开出版物</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tcPr>
          <w:p>
            <w:pPr>
              <w:rPr>
                <w:rFonts w:asciiTheme="minorEastAsia" w:hAnsiTheme="minorEastAsia" w:eastAsiaTheme="minorEastAsia" w:cstheme="minorEastAsia"/>
                <w:sz w:val="21"/>
                <w:szCs w:val="21"/>
              </w:rPr>
            </w:pPr>
          </w:p>
        </w:tc>
        <w:tc>
          <w:tcPr>
            <w:tcW w:w="2091" w:type="dxa"/>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4．无正当理由大量反复申请</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210" w:type="dxa"/>
            <w:vMerge w:val="continue"/>
          </w:tcPr>
          <w:p>
            <w:pPr>
              <w:rPr>
                <w:rFonts w:asciiTheme="minorEastAsia" w:hAnsiTheme="minorEastAsia" w:eastAsiaTheme="minorEastAsia" w:cstheme="minorEastAsia"/>
                <w:sz w:val="21"/>
                <w:szCs w:val="21"/>
              </w:rPr>
            </w:pPr>
          </w:p>
        </w:tc>
        <w:tc>
          <w:tcPr>
            <w:tcW w:w="1225" w:type="dxa"/>
            <w:vMerge w:val="continue"/>
          </w:tcPr>
          <w:p>
            <w:pPr>
              <w:rPr>
                <w:rFonts w:asciiTheme="minorEastAsia" w:hAnsiTheme="minorEastAsia" w:eastAsiaTheme="minorEastAsia" w:cstheme="minorEastAsia"/>
                <w:sz w:val="21"/>
                <w:szCs w:val="21"/>
              </w:rPr>
            </w:pPr>
          </w:p>
        </w:tc>
        <w:tc>
          <w:tcPr>
            <w:tcW w:w="2091" w:type="dxa"/>
          </w:tcPr>
          <w:p>
            <w:pPr>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5．要求行政机关确认或重新出具已获取信息</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210" w:type="dxa"/>
            <w:vMerge w:val="continue"/>
          </w:tcPr>
          <w:p>
            <w:pPr>
              <w:rPr>
                <w:rFonts w:asciiTheme="minorEastAsia" w:hAnsiTheme="minorEastAsia" w:eastAsiaTheme="minorEastAsia" w:cstheme="minorEastAsia"/>
                <w:sz w:val="21"/>
                <w:szCs w:val="21"/>
              </w:rPr>
            </w:pPr>
          </w:p>
        </w:tc>
        <w:tc>
          <w:tcPr>
            <w:tcW w:w="3316" w:type="dxa"/>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（六）其他处理</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210" w:type="dxa"/>
            <w:vMerge w:val="continue"/>
          </w:tcPr>
          <w:p>
            <w:pPr>
              <w:rPr>
                <w:rFonts w:asciiTheme="minorEastAsia" w:hAnsiTheme="minorEastAsia" w:eastAsiaTheme="minorEastAsia" w:cstheme="minorEastAsia"/>
                <w:sz w:val="21"/>
                <w:szCs w:val="21"/>
              </w:rPr>
            </w:pPr>
          </w:p>
        </w:tc>
        <w:tc>
          <w:tcPr>
            <w:tcW w:w="3316" w:type="dxa"/>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（七）总计</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526" w:type="dxa"/>
            <w:gridSpan w:val="3"/>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四、结转下年度继续办理</w:t>
            </w:r>
          </w:p>
        </w:tc>
        <w:tc>
          <w:tcPr>
            <w:tcW w:w="611"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4"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8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3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5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157" w:afterLines="50" w:line="560" w:lineRule="exact"/>
        <w:ind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四、政府信息公开行政复议、行政诉讼情况</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46"/>
        <w:gridCol w:w="645"/>
        <w:gridCol w:w="645"/>
        <w:gridCol w:w="503"/>
        <w:gridCol w:w="644"/>
        <w:gridCol w:w="644"/>
        <w:gridCol w:w="645"/>
        <w:gridCol w:w="644"/>
        <w:gridCol w:w="502"/>
        <w:gridCol w:w="644"/>
        <w:gridCol w:w="644"/>
        <w:gridCol w:w="644"/>
        <w:gridCol w:w="644"/>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084" w:type="dxa"/>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行政复议</w:t>
            </w:r>
          </w:p>
        </w:tc>
        <w:tc>
          <w:tcPr>
            <w:tcW w:w="6158" w:type="dxa"/>
            <w:gridSpan w:val="1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645" w:type="dxa"/>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646" w:type="dxa"/>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645" w:type="dxa"/>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645" w:type="dxa"/>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503" w:type="dxa"/>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3079" w:type="dxa"/>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3079" w:type="dxa"/>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Merge w:val="continue"/>
            <w:vAlign w:val="center"/>
          </w:tcPr>
          <w:p>
            <w:pPr>
              <w:jc w:val="center"/>
              <w:rPr>
                <w:rFonts w:ascii="黑体" w:hAnsi="黑体" w:eastAsia="黑体" w:cs="黑体"/>
                <w:b/>
                <w:bCs/>
                <w:sz w:val="18"/>
                <w:szCs w:val="18"/>
              </w:rPr>
            </w:pPr>
          </w:p>
        </w:tc>
        <w:tc>
          <w:tcPr>
            <w:tcW w:w="646" w:type="dxa"/>
            <w:vMerge w:val="continue"/>
            <w:vAlign w:val="center"/>
          </w:tcPr>
          <w:p>
            <w:pPr>
              <w:jc w:val="center"/>
              <w:rPr>
                <w:rFonts w:ascii="黑体" w:hAnsi="黑体" w:eastAsia="黑体" w:cs="黑体"/>
                <w:b/>
                <w:bCs/>
                <w:sz w:val="18"/>
                <w:szCs w:val="18"/>
              </w:rPr>
            </w:pPr>
          </w:p>
        </w:tc>
        <w:tc>
          <w:tcPr>
            <w:tcW w:w="645" w:type="dxa"/>
            <w:vMerge w:val="continue"/>
            <w:vAlign w:val="center"/>
          </w:tcPr>
          <w:p>
            <w:pPr>
              <w:jc w:val="center"/>
              <w:rPr>
                <w:rFonts w:ascii="黑体" w:hAnsi="黑体" w:eastAsia="黑体" w:cs="黑体"/>
                <w:b/>
                <w:bCs/>
                <w:sz w:val="18"/>
                <w:szCs w:val="18"/>
              </w:rPr>
            </w:pPr>
          </w:p>
        </w:tc>
        <w:tc>
          <w:tcPr>
            <w:tcW w:w="645" w:type="dxa"/>
            <w:vMerge w:val="continue"/>
            <w:vAlign w:val="center"/>
          </w:tcPr>
          <w:p>
            <w:pPr>
              <w:jc w:val="center"/>
              <w:rPr>
                <w:rFonts w:ascii="黑体" w:hAnsi="黑体" w:eastAsia="黑体" w:cs="黑体"/>
                <w:b/>
                <w:bCs/>
                <w:sz w:val="18"/>
                <w:szCs w:val="18"/>
              </w:rPr>
            </w:pPr>
          </w:p>
        </w:tc>
        <w:tc>
          <w:tcPr>
            <w:tcW w:w="503" w:type="dxa"/>
            <w:vMerge w:val="continue"/>
            <w:vAlign w:val="center"/>
          </w:tcPr>
          <w:p>
            <w:pPr>
              <w:jc w:val="center"/>
              <w:rPr>
                <w:rFonts w:ascii="黑体" w:hAnsi="黑体" w:eastAsia="黑体" w:cs="黑体"/>
                <w:b/>
                <w:bCs/>
                <w:sz w:val="18"/>
                <w:szCs w:val="18"/>
              </w:rPr>
            </w:pPr>
          </w:p>
        </w:tc>
        <w:tc>
          <w:tcPr>
            <w:tcW w:w="644"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644"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645"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644"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502"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644"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644"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644"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644"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503"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4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6"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503"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4"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4"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4"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502"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4"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4"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4"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44"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503"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157" w:afterLines="50" w:line="560" w:lineRule="exact"/>
        <w:ind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五、存在的主要问题及改进情况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自使用信息公开新平台以来，我镇按照区政府办统一要求进行问题整改。对照整改通知，积极整改出现的问题，目前已整改完毕。在接下来的工作中，会严格按照各项要求及时、规范上传各项信息。</w:t>
      </w:r>
    </w:p>
    <w:p>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50" w:lineRule="atLeast"/>
        <w:ind w:left="0" w:right="0" w:firstLine="640" w:firstLineChars="200"/>
        <w:jc w:val="left"/>
        <w:rPr>
          <w:rFonts w:hint="eastAsia" w:ascii="楷体_GB2312" w:hAnsi="楷体_GB2312" w:eastAsia="楷体_GB2312" w:cs="楷体_GB2312"/>
          <w:color w:val="auto"/>
          <w:kern w:val="2"/>
          <w:sz w:val="32"/>
          <w:szCs w:val="32"/>
          <w:lang w:val="en-US" w:eastAsia="zh-CN" w:bidi="ar"/>
        </w:rPr>
      </w:pPr>
      <w:r>
        <w:rPr>
          <w:rFonts w:hint="eastAsia" w:ascii="楷体_GB2312" w:hAnsi="楷体_GB2312" w:eastAsia="楷体_GB2312" w:cs="楷体_GB2312"/>
          <w:color w:val="auto"/>
          <w:kern w:val="2"/>
          <w:sz w:val="32"/>
          <w:szCs w:val="32"/>
          <w:lang w:val="en-US" w:eastAsia="zh-CN" w:bidi="ar"/>
        </w:rPr>
        <w:t>（一）存在的主要问题</w:t>
      </w:r>
    </w:p>
    <w:p>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50" w:lineRule="atLeast"/>
        <w:ind w:left="0" w:right="0" w:firstLine="640" w:firstLineChars="200"/>
        <w:jc w:val="left"/>
        <w:rPr>
          <w:rFonts w:hint="eastAsia" w:ascii="仿宋_GB2312" w:hAnsi="微软雅黑" w:eastAsia="仿宋_GB2312" w:cs="仿宋_GB2312"/>
          <w:color w:val="auto"/>
          <w:kern w:val="2"/>
          <w:sz w:val="32"/>
          <w:szCs w:val="32"/>
          <w:lang w:val="en-US" w:eastAsia="zh-CN" w:bidi="ar"/>
        </w:rPr>
      </w:pPr>
      <w:r>
        <w:rPr>
          <w:rFonts w:hint="eastAsia" w:ascii="仿宋_GB2312" w:hAnsi="仿宋_GB2312" w:eastAsia="仿宋_GB2312" w:cs="仿宋_GB2312"/>
          <w:sz w:val="32"/>
          <w:szCs w:val="32"/>
          <w:lang w:val="en-US" w:eastAsia="zh-CN"/>
        </w:rPr>
        <w:t>一是在工作部署安排上不够重视，责任不明确，工作未能落到实处，二是对信息发布的时效性不强、信息格式编制不准，信息公开的流程还有待进一步规范。</w:t>
      </w:r>
    </w:p>
    <w:p>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50" w:lineRule="atLeast"/>
        <w:ind w:left="0" w:right="0" w:firstLine="640" w:firstLineChars="200"/>
        <w:jc w:val="left"/>
        <w:rPr>
          <w:rFonts w:hint="eastAsia" w:ascii="楷体_GB2312" w:hAnsi="楷体_GB2312" w:eastAsia="楷体_GB2312" w:cs="楷体_GB2312"/>
          <w:color w:val="auto"/>
          <w:kern w:val="2"/>
          <w:sz w:val="32"/>
          <w:szCs w:val="32"/>
          <w:lang w:val="en-US" w:eastAsia="zh-CN" w:bidi="ar"/>
        </w:rPr>
      </w:pPr>
      <w:r>
        <w:rPr>
          <w:rFonts w:hint="eastAsia" w:ascii="楷体_GB2312" w:hAnsi="楷体_GB2312" w:eastAsia="楷体_GB2312" w:cs="楷体_GB2312"/>
          <w:color w:val="auto"/>
          <w:kern w:val="2"/>
          <w:sz w:val="32"/>
          <w:szCs w:val="32"/>
          <w:lang w:val="en-US" w:eastAsia="zh-CN" w:bidi="ar"/>
        </w:rPr>
        <w:t>（二）解决办法和改进措施</w:t>
      </w:r>
    </w:p>
    <w:p>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50" w:lineRule="atLeast"/>
        <w:ind w:left="0"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充实公开内容。按照“以公开为原则，不公开为例外”的总体要求，进一步按照政府公开信息目录，重点推进政府的信息公开公众。二是规范工作流程。进一步规范提高依申请公开的处理流程，开展政府信息公开的咨询服务工作，方便公众查阅、申请、获取政府信息。三是建立长效机制。着力建立和完善内容审查、更新维护、考核评估、监督检查评议、培训宣传和工作年报等工作制度，促进信息公开工作制度化、规范化发展。四是不断提高政务信息工作人员的综合素质，增强处理信息的能力，提高信息质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560" w:lineRule="exact"/>
        <w:ind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六、其他需要报告的事项</w:t>
      </w:r>
    </w:p>
    <w:p>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50" w:lineRule="atLeast"/>
        <w:ind w:left="0"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无其他需要报告的事项。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齐都镇人民政府</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Times New Roman" w:hAnsi="Times New Roman" w:eastAsia="仿宋_GB2312" w:cs="Times New Roman"/>
          <w:i w:val="0"/>
          <w:caps w:val="0"/>
          <w:color w:val="000000"/>
          <w:spacing w:val="0"/>
          <w:sz w:val="32"/>
          <w:szCs w:val="32"/>
          <w:shd w:val="clear" w:fill="FFFFFF"/>
          <w:lang w:val="en-US" w:eastAsia="zh-CN"/>
        </w:rPr>
        <w:t>2021</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i w:val="0"/>
          <w:caps w:val="0"/>
          <w:color w:val="000000"/>
          <w:spacing w:val="0"/>
          <w:sz w:val="32"/>
          <w:szCs w:val="32"/>
          <w:shd w:val="clear" w:fill="FFFFFF"/>
          <w:lang w:val="en-US" w:eastAsia="zh-CN"/>
        </w:rPr>
        <w:t>1</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i w:val="0"/>
          <w:caps w:val="0"/>
          <w:color w:val="000000"/>
          <w:spacing w:val="0"/>
          <w:sz w:val="32"/>
          <w:szCs w:val="32"/>
          <w:shd w:val="clear" w:fill="FFFFFF"/>
          <w:lang w:val="en-US" w:eastAsia="zh-CN"/>
        </w:rPr>
        <w:t>25</w:t>
      </w:r>
      <w:r>
        <w:rPr>
          <w:rFonts w:hint="eastAsia" w:ascii="仿宋_GB2312" w:hAnsi="仿宋_GB2312" w:eastAsia="仿宋_GB2312" w:cs="仿宋_GB2312"/>
          <w:sz w:val="32"/>
          <w:szCs w:val="32"/>
          <w:lang w:val="en-US" w:eastAsia="zh-CN"/>
        </w:rPr>
        <w:t>日</w:t>
      </w: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A5CD9"/>
    <w:rsid w:val="0000429A"/>
    <w:rsid w:val="02811B07"/>
    <w:rsid w:val="09623936"/>
    <w:rsid w:val="09E51A42"/>
    <w:rsid w:val="0A7760C4"/>
    <w:rsid w:val="14C858F3"/>
    <w:rsid w:val="174474E5"/>
    <w:rsid w:val="1FEE77AA"/>
    <w:rsid w:val="2773638A"/>
    <w:rsid w:val="28880E5C"/>
    <w:rsid w:val="2E746009"/>
    <w:rsid w:val="325F6235"/>
    <w:rsid w:val="36E048F6"/>
    <w:rsid w:val="38F24567"/>
    <w:rsid w:val="3B526EEB"/>
    <w:rsid w:val="3C19066C"/>
    <w:rsid w:val="3C4F469B"/>
    <w:rsid w:val="3FE20C2B"/>
    <w:rsid w:val="4AA76885"/>
    <w:rsid w:val="4D1B6A54"/>
    <w:rsid w:val="5A8A5CD9"/>
    <w:rsid w:val="5D5514DF"/>
    <w:rsid w:val="618861AF"/>
    <w:rsid w:val="69854893"/>
    <w:rsid w:val="6F5D7EBF"/>
    <w:rsid w:val="7432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2555</Words>
  <Characters>2615</Characters>
  <Lines>0</Lines>
  <Paragraphs>0</Paragraphs>
  <TotalTime>6</TotalTime>
  <ScaleCrop>false</ScaleCrop>
  <LinksUpToDate>false</LinksUpToDate>
  <CharactersWithSpaces>2615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2021-01-19T08:00:00Z</dcterms:created>
  <dc:creator>Miraitowa</dc:creator>
  <cp:lastModifiedBy>Miraitowa</cp:lastModifiedBy>
  <dcterms:modified xsi:type="dcterms:W3CDTF">2021-01-26T00:34:22Z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