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1ECF" w:rsidRPr="00825DC1" w:rsidRDefault="00421ECF" w:rsidP="00421ECF">
      <w:pPr>
        <w:widowControl/>
        <w:spacing w:before="75" w:after="75"/>
        <w:jc w:val="left"/>
        <w:rPr>
          <w:rFonts w:ascii="华文中宋" w:eastAsia="华文中宋" w:hAnsi="华文中宋" w:cs="宋体"/>
          <w:kern w:val="0"/>
          <w:sz w:val="44"/>
          <w:szCs w:val="44"/>
        </w:rPr>
      </w:pPr>
      <w:r w:rsidRPr="00825DC1">
        <w:rPr>
          <w:rFonts w:ascii="华文中宋" w:eastAsia="华文中宋" w:hAnsi="华文中宋" w:cs="宋体" w:hint="eastAsia"/>
          <w:kern w:val="0"/>
          <w:sz w:val="44"/>
          <w:szCs w:val="44"/>
        </w:rPr>
        <w:t>齐都镇政府2019年信息公开工作年度报告</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黑体" w:eastAsia="黑体" w:hAnsi="黑体" w:cs="Arial" w:hint="eastAsia"/>
          <w:b/>
          <w:bCs/>
          <w:color w:val="000000"/>
          <w:kern w:val="0"/>
          <w:sz w:val="32"/>
          <w:szCs w:val="32"/>
        </w:rPr>
        <w:t>一、总体情况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根据区领导要求，我镇认真编制了《齐都镇人民政府2019年政府信息公开工作年度报告》。本年度报告内容由总体情况、主动公开信息情况、收到和处理政府信息公开申请情况、政府信息公开行政复议、行政诉讼情况、存在的问题及改进措施等六部分组成。</w:t>
      </w:r>
      <w:r w:rsidRPr="005574F4">
        <w:rPr>
          <w:rFonts w:ascii="宋体" w:eastAsia="宋体" w:hAnsi="宋体" w:cs="Arial" w:hint="eastAsia"/>
          <w:color w:val="000000"/>
          <w:kern w:val="0"/>
          <w:sz w:val="32"/>
          <w:szCs w:val="32"/>
        </w:rPr>
        <w:t> </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MS Mincho" w:eastAsia="MS Mincho" w:hAnsi="MS Mincho" w:cs="MS Mincho" w:hint="eastAsia"/>
          <w:color w:val="000000"/>
          <w:kern w:val="0"/>
          <w:sz w:val="32"/>
          <w:szCs w:val="32"/>
        </w:rPr>
        <w:t>​</w:t>
      </w:r>
      <w:r w:rsidRPr="005574F4">
        <w:rPr>
          <w:rFonts w:ascii="仿宋" w:eastAsia="仿宋" w:hAnsi="仿宋" w:cs="仿宋" w:hint="eastAsia"/>
          <w:color w:val="000000"/>
          <w:kern w:val="0"/>
          <w:sz w:val="32"/>
          <w:szCs w:val="32"/>
        </w:rPr>
        <w:t>（一）概述</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1.制定政府信息公开工作计划。为更好地推动我镇政务公开工作深入开展，根据中央、省、市、区关于推进政务公开的工作部署，我们制定了政务公开工作，并由专职工作人员按计划认真履行工作职责，定期进行政府信息公开，做到了公开及时、信息详实、内容充实。</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2.创新政府信息公开载体形式。除了运用政务公开宣传栏、互联网等形式进行公开以外，镇各部门单位还编制了本单位的工作指引或办事指南，详细列明单位机构设置、各项职能、相关政策法规及业务办事流程，方便群众查阅和了解。</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3.重视人员培训和日常管理。我镇政务信息公开的有关领导与工作人员参加了区里举办的培训班，熟悉信息公开的各项流程，规范操作。把政府信息公开工作纳入日常政府管</w:t>
      </w:r>
      <w:r w:rsidRPr="005574F4">
        <w:rPr>
          <w:rFonts w:ascii="仿宋" w:eastAsia="仿宋" w:hAnsi="仿宋" w:cs="Arial" w:hint="eastAsia"/>
          <w:color w:val="000000"/>
          <w:kern w:val="0"/>
          <w:sz w:val="32"/>
          <w:szCs w:val="32"/>
        </w:rPr>
        <w:lastRenderedPageBreak/>
        <w:t>理，贯穿于办文、办会过程中，实施常态化管理，定期监督检查公开工作。</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（二）政府信息公开制度建设及监督保障情况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根据区政府制定下发的《临淄区人民政府办公室关于印发2019年临淄区政务公开工作方案的通知》（临政办发〔2019〕1号）和《临淄区人民政府办公室关于印发临淄区政务公开工作考核办法的通知》（临政办字〔2019〕26号），进一步明确我镇政务公开任务，细化政务公开工作要求，规范考核工作，督促我镇政务公开工作顺利开展。</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（三）政府信息公开的组织领导和制度建设情况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1.加强组织领导，建立健全工作机制。按照上级政府信息公开工作的要求，针对我镇工作实际，建立了由主要领导负责的组织推进机制，成立了政务信息公开工作领导小组，配备了1名专职工作人员和1名兼职人员。同时，明确了领导小组的职责和各人的工作任务，并将信息公开工作列入重要议事日程，实行目标管理，任务落实到人。开展了信息梳理工作，做到了有领导分管，工作有机构负责，工作责任有人落实，形成了政府信息工作内部运转机制。</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2.完善公开体系，建立健全相关制度。积极建立健全政府信息主动公开工作制度、保密审查制度、发布协调机制、社会评议制度、虚假及不完整信息澄清制度、重大突发公共</w:t>
      </w:r>
      <w:r w:rsidRPr="005574F4">
        <w:rPr>
          <w:rFonts w:ascii="仿宋" w:eastAsia="仿宋" w:hAnsi="仿宋" w:cs="Arial" w:hint="eastAsia"/>
          <w:color w:val="000000"/>
          <w:kern w:val="0"/>
          <w:sz w:val="32"/>
          <w:szCs w:val="32"/>
        </w:rPr>
        <w:lastRenderedPageBreak/>
        <w:t>事件及公共预警信息发布制度、工作考核和责任追究制度等一系列相关制度。</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（四）政府信息公开申请的办理情况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我镇按要求对机构职能、政策信息及政府管理、财政管理、监督方式及办事程序等信息的公开全面、及时，因此，本年度未接受任何政府信息公开咨询，未发生行政机关依申请公开政府信息情况。</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（五）政府信息公开的收费以及减免情况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镇政府及各部门未收取政府信息查询、申请公开的任何费用。</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（六）因政府信息公开申请提起行政复议、行政诉讼的情况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我镇高度重视政府信息公开工作，主动接受监督，2019年度没有发生有关政府信息公开事项的信息公开投诉、行政复议案、行政诉讼案和政府行政诉讼案。</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（七）政府信息公开保密审查及监督检查情况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我镇把政府信息公开中的保密审查看作是一项政治性、政策性和技术性都很强的工作，扎实做好信息公开保密审查及监督检查工作，消除各种失泄密隐患，确保秘密信息的安全。</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1.加强组织领导，逐步建立健全保密工作机制。按照《保密法》和《条例》的有关规定，我镇成立了政府信息公开保</w:t>
      </w:r>
      <w:r w:rsidRPr="005574F4">
        <w:rPr>
          <w:rFonts w:ascii="仿宋" w:eastAsia="仿宋" w:hAnsi="仿宋" w:cs="Arial" w:hint="eastAsia"/>
          <w:color w:val="000000"/>
          <w:kern w:val="0"/>
          <w:sz w:val="32"/>
          <w:szCs w:val="32"/>
        </w:rPr>
        <w:lastRenderedPageBreak/>
        <w:t>密审查小组，明确职责，有分管领导负责指导、管理、监督保密审查工作，确保涉密信息不公开，公开信息不涉密。</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2.规范审查程序，履行审查手续。在制作政府公开信息时，严格审查该信息是否应当公开，所有公开信息经镇保密审查小组审查后，报主管领导审核批准，未经批准不得对外发布。同时，做好信息发布日志，严格信息发布流程。</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3.加强监督检查，建立监管机制。采取定期与不定期的工作机制开展政府信息公开保密审查工作专项检查，确保涉密信息不公开。</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黑体" w:eastAsia="黑体" w:hAnsi="黑体" w:cs="Arial" w:hint="eastAsia"/>
          <w:b/>
          <w:bCs/>
          <w:color w:val="000000"/>
          <w:kern w:val="0"/>
          <w:sz w:val="32"/>
          <w:szCs w:val="32"/>
        </w:rPr>
        <w:t>二、主动公开政府信息情况</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 xml:space="preserve">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1.2019年度对政府信息进行了梳理和编目，全年累计报送业务信息176条。其中2019年镇政府信息公开年报1篇，2019年镇政府信息公开年报1篇，政策法规等其他信息174条。通过“齐都印象”微信公众平台，以数字化、图像、视频等形式，及时发布我镇出台的重大政策和相关政策解读，积极回应社会关切，得到了关注群众的广泛认可。极大地方便了群众、组织对政策的了解，对于帮助他们更好地把握党和国家的政策导向，及时获得政府资讯等都起到了积极的作用，真正做到便民、利民、惠民。</w:t>
      </w:r>
    </w:p>
    <w:p w:rsidR="005574F4" w:rsidRPr="005574F4" w:rsidRDefault="005574F4" w:rsidP="005574F4">
      <w:pPr>
        <w:widowControl/>
        <w:spacing w:before="75" w:after="75"/>
        <w:ind w:firstLine="480"/>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2.人大建议和政协提案。2019年，通过网站公开人大代表建议办理情况0件，公开政协委员提案办理情况0件。</w:t>
      </w:r>
    </w:p>
    <w:p w:rsidR="005574F4" w:rsidRPr="005574F4" w:rsidRDefault="005574F4" w:rsidP="005574F4">
      <w:pPr>
        <w:widowControl/>
        <w:spacing w:before="75" w:after="75"/>
        <w:ind w:firstLine="480"/>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lastRenderedPageBreak/>
        <w:t>3.依申请公开情况。2019年度收到依申请公开0件。</w:t>
      </w:r>
    </w:p>
    <w:p w:rsidR="005574F4" w:rsidRPr="005574F4" w:rsidRDefault="005574F4" w:rsidP="005574F4">
      <w:pPr>
        <w:widowControl/>
        <w:spacing w:before="75" w:after="75"/>
        <w:ind w:firstLine="480"/>
        <w:jc w:val="left"/>
        <w:rPr>
          <w:rFonts w:ascii="Arial" w:eastAsia="宋体" w:hAnsi="Arial" w:cs="Arial"/>
          <w:color w:val="000000"/>
          <w:kern w:val="0"/>
          <w:szCs w:val="21"/>
        </w:rPr>
      </w:pPr>
    </w:p>
    <w:tbl>
      <w:tblPr>
        <w:tblW w:w="8925" w:type="dxa"/>
        <w:tblCellMar>
          <w:top w:w="15" w:type="dxa"/>
          <w:left w:w="15" w:type="dxa"/>
          <w:bottom w:w="15" w:type="dxa"/>
          <w:right w:w="15" w:type="dxa"/>
        </w:tblCellMar>
        <w:tblLook w:val="04A0" w:firstRow="1" w:lastRow="0" w:firstColumn="1" w:lastColumn="0" w:noHBand="0" w:noVBand="1"/>
      </w:tblPr>
      <w:tblGrid>
        <w:gridCol w:w="2700"/>
        <w:gridCol w:w="1980"/>
        <w:gridCol w:w="2025"/>
        <w:gridCol w:w="2220"/>
      </w:tblGrid>
      <w:tr w:rsidR="005574F4" w:rsidRPr="005574F4" w:rsidTr="005574F4">
        <w:trPr>
          <w:trHeight w:val="480"/>
        </w:trPr>
        <w:tc>
          <w:tcPr>
            <w:tcW w:w="8925" w:type="dxa"/>
            <w:gridSpan w:val="4"/>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第二十条第（一）项</w:t>
            </w:r>
          </w:p>
        </w:tc>
      </w:tr>
      <w:tr w:rsidR="005574F4" w:rsidRPr="005574F4" w:rsidTr="005574F4">
        <w:trPr>
          <w:trHeight w:val="55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本年新制作数量</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本年新</w:t>
            </w:r>
          </w:p>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公开数量</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对外公开</w:t>
            </w:r>
          </w:p>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总数量</w:t>
            </w:r>
          </w:p>
        </w:tc>
      </w:tr>
      <w:tr w:rsidR="005574F4" w:rsidRPr="005574F4" w:rsidTr="005574F4">
        <w:trPr>
          <w:trHeight w:val="55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规章</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1</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55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规范性文件</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11</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4</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194</w:t>
            </w:r>
          </w:p>
        </w:tc>
      </w:tr>
      <w:tr w:rsidR="005574F4" w:rsidRPr="005574F4" w:rsidTr="005574F4">
        <w:trPr>
          <w:trHeight w:val="540"/>
        </w:trPr>
        <w:tc>
          <w:tcPr>
            <w:tcW w:w="8925" w:type="dxa"/>
            <w:gridSpan w:val="4"/>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第二十条第（五）项</w:t>
            </w:r>
          </w:p>
        </w:tc>
      </w:tr>
      <w:tr w:rsidR="005574F4" w:rsidRPr="005574F4" w:rsidTr="005574F4">
        <w:trPr>
          <w:trHeight w:val="630"/>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上一年项目数量</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本年增/减</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处理决定数量</w:t>
            </w:r>
          </w:p>
        </w:tc>
      </w:tr>
      <w:tr w:rsidR="005574F4" w:rsidRPr="005574F4" w:rsidTr="005574F4">
        <w:trPr>
          <w:trHeight w:val="540"/>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行政许可</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540"/>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其他对外管理服务事项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05"/>
        </w:trPr>
        <w:tc>
          <w:tcPr>
            <w:tcW w:w="8925" w:type="dxa"/>
            <w:gridSpan w:val="4"/>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第二十条第（六）项</w:t>
            </w:r>
          </w:p>
        </w:tc>
      </w:tr>
      <w:tr w:rsidR="005574F4" w:rsidRPr="005574F4" w:rsidTr="005574F4">
        <w:trPr>
          <w:trHeight w:val="480"/>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上一年项目数量</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本年增/减</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处理决定数量</w:t>
            </w:r>
          </w:p>
        </w:tc>
      </w:tr>
      <w:tr w:rsidR="005574F4" w:rsidRPr="005574F4" w:rsidTr="005574F4">
        <w:trPr>
          <w:trHeight w:val="43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行政处罚</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3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行政强制</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0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22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65"/>
        </w:trPr>
        <w:tc>
          <w:tcPr>
            <w:tcW w:w="8925" w:type="dxa"/>
            <w:gridSpan w:val="4"/>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第二十条第（八）项</w:t>
            </w:r>
          </w:p>
        </w:tc>
      </w:tr>
      <w:tr w:rsidR="005574F4" w:rsidRPr="005574F4" w:rsidTr="005574F4">
        <w:trPr>
          <w:trHeight w:val="49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上一年项目数量</w:t>
            </w:r>
          </w:p>
        </w:tc>
        <w:tc>
          <w:tcPr>
            <w:tcW w:w="4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本年增/减</w:t>
            </w:r>
          </w:p>
        </w:tc>
      </w:tr>
      <w:tr w:rsidR="005574F4" w:rsidRPr="005574F4" w:rsidTr="005574F4">
        <w:trPr>
          <w:trHeight w:val="49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行政事业性收费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4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80"/>
        </w:trPr>
        <w:tc>
          <w:tcPr>
            <w:tcW w:w="8925" w:type="dxa"/>
            <w:gridSpan w:val="4"/>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lastRenderedPageBreak/>
              <w:t>第二十条第（九）项</w:t>
            </w:r>
          </w:p>
        </w:tc>
      </w:tr>
      <w:tr w:rsidR="005574F4" w:rsidRPr="005574F4" w:rsidTr="005574F4">
        <w:trPr>
          <w:trHeight w:val="40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采购项目数量</w:t>
            </w:r>
          </w:p>
        </w:tc>
        <w:tc>
          <w:tcPr>
            <w:tcW w:w="4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采购总金额</w:t>
            </w:r>
          </w:p>
        </w:tc>
      </w:tr>
      <w:tr w:rsidR="005574F4" w:rsidRPr="005574F4" w:rsidTr="005574F4">
        <w:trPr>
          <w:trHeight w:val="435"/>
        </w:trPr>
        <w:tc>
          <w:tcPr>
            <w:tcW w:w="27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政府集中采购</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4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bl>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黑体" w:eastAsia="黑体" w:hAnsi="黑体" w:cs="Arial" w:hint="eastAsia"/>
          <w:b/>
          <w:bCs/>
          <w:color w:val="000000"/>
          <w:kern w:val="0"/>
          <w:sz w:val="32"/>
          <w:szCs w:val="32"/>
        </w:rPr>
        <w:t>三、收到和处理政府信息公开申请情况</w:t>
      </w:r>
    </w:p>
    <w:tbl>
      <w:tblPr>
        <w:tblW w:w="9780" w:type="dxa"/>
        <w:tblCellMar>
          <w:top w:w="15" w:type="dxa"/>
          <w:left w:w="15" w:type="dxa"/>
          <w:bottom w:w="15" w:type="dxa"/>
          <w:right w:w="15" w:type="dxa"/>
        </w:tblCellMar>
        <w:tblLook w:val="04A0" w:firstRow="1" w:lastRow="0" w:firstColumn="1" w:lastColumn="0" w:noHBand="0" w:noVBand="1"/>
      </w:tblPr>
      <w:tblGrid>
        <w:gridCol w:w="850"/>
        <w:gridCol w:w="1525"/>
        <w:gridCol w:w="2550"/>
        <w:gridCol w:w="566"/>
        <w:gridCol w:w="690"/>
        <w:gridCol w:w="690"/>
        <w:gridCol w:w="690"/>
        <w:gridCol w:w="690"/>
        <w:gridCol w:w="703"/>
        <w:gridCol w:w="826"/>
      </w:tblGrid>
      <w:tr w:rsidR="005574F4" w:rsidRPr="005574F4" w:rsidTr="005574F4">
        <w:trPr>
          <w:trHeight w:val="450"/>
        </w:trPr>
        <w:tc>
          <w:tcPr>
            <w:tcW w:w="4815"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（本列数据的勾稽关系为：第一项加第二项之和，等于第三项加第四项之和）</w:t>
            </w:r>
          </w:p>
        </w:tc>
        <w:tc>
          <w:tcPr>
            <w:tcW w:w="4965"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申请人情况</w:t>
            </w:r>
          </w:p>
        </w:tc>
      </w:tr>
      <w:tr w:rsidR="005574F4" w:rsidRPr="005574F4" w:rsidTr="005574F4">
        <w:trPr>
          <w:trHeight w:val="525"/>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57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自然人</w:t>
            </w:r>
          </w:p>
        </w:tc>
        <w:tc>
          <w:tcPr>
            <w:tcW w:w="354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法人或其他组织</w:t>
            </w: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总计</w:t>
            </w:r>
          </w:p>
        </w:tc>
      </w:tr>
      <w:tr w:rsidR="005574F4" w:rsidRPr="005574F4" w:rsidTr="005574F4">
        <w:trPr>
          <w:trHeight w:val="1125"/>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商业企业</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科研机构</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社会公益组织</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法律服务机构</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其他</w:t>
            </w: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r>
      <w:tr w:rsidR="005574F4" w:rsidRPr="005574F4" w:rsidTr="005574F4">
        <w:trPr>
          <w:trHeight w:val="450"/>
        </w:trPr>
        <w:tc>
          <w:tcPr>
            <w:tcW w:w="481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一、本年新收政府信息公开申请数量</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05"/>
        </w:trPr>
        <w:tc>
          <w:tcPr>
            <w:tcW w:w="481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二、上年结转政府信息公开申请数量</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57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三、本年度办</w:t>
            </w:r>
            <w:r w:rsidRPr="005574F4">
              <w:rPr>
                <w:rFonts w:ascii="仿宋" w:eastAsia="仿宋" w:hAnsi="仿宋" w:cs="Arial" w:hint="eastAsia"/>
                <w:color w:val="000000"/>
                <w:kern w:val="0"/>
                <w:sz w:val="32"/>
                <w:szCs w:val="32"/>
              </w:rPr>
              <w:lastRenderedPageBreak/>
              <w:t>理结果</w:t>
            </w:r>
          </w:p>
        </w:tc>
        <w:tc>
          <w:tcPr>
            <w:tcW w:w="4260" w:type="dxa"/>
            <w:gridSpan w:val="2"/>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lastRenderedPageBreak/>
              <w:t>（一）予以公开</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4260" w:type="dxa"/>
            <w:gridSpan w:val="2"/>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（二）部分公开（区分处理的，只计这一情形，不计其</w:t>
            </w:r>
            <w:r w:rsidRPr="005574F4">
              <w:rPr>
                <w:rFonts w:ascii="仿宋" w:eastAsia="仿宋" w:hAnsi="仿宋" w:cs="Arial" w:hint="eastAsia"/>
                <w:color w:val="000000"/>
                <w:kern w:val="0"/>
                <w:sz w:val="32"/>
                <w:szCs w:val="32"/>
              </w:rPr>
              <w:lastRenderedPageBreak/>
              <w:t>他情形）</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lastRenderedPageBreak/>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95"/>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15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（三）不予公开</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1．属于国家秘密</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2．其他法律行政法规禁止公开</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3．危及“三安全一稳定”</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39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4．保护第三方合法权益</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5．属于三类内部事务信息</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05"/>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6．属于四类过程性信息</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7．属于行政执法案卷</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8．属于行政查询事项</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05"/>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15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（四）无法提供</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1．本机关不掌握相关政府信息</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2．没有现成信息需要另行制作</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3．补正后申请内</w:t>
            </w:r>
            <w:r w:rsidRPr="005574F4">
              <w:rPr>
                <w:rFonts w:ascii="仿宋" w:eastAsia="仿宋" w:hAnsi="仿宋" w:cs="Arial" w:hint="eastAsia"/>
                <w:color w:val="000000"/>
                <w:kern w:val="0"/>
                <w:sz w:val="32"/>
                <w:szCs w:val="32"/>
              </w:rPr>
              <w:lastRenderedPageBreak/>
              <w:t>容仍不明确</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lastRenderedPageBreak/>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375"/>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15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（五）不予处理</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1．信访举报投诉类申请</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2．重复申请</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39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3．要求提供公开出版物</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4．无正当理由大量反复申请</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5．要求行政机关确认或重新出具已获取信息</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65"/>
        </w:trPr>
        <w:tc>
          <w:tcPr>
            <w:tcW w:w="5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jc w:val="left"/>
              <w:rPr>
                <w:rFonts w:ascii="Arial" w:eastAsia="宋体" w:hAnsi="Arial" w:cs="Arial"/>
                <w:color w:val="000000"/>
                <w:kern w:val="0"/>
                <w:szCs w:val="21"/>
              </w:rPr>
            </w:pPr>
          </w:p>
        </w:tc>
        <w:tc>
          <w:tcPr>
            <w:tcW w:w="42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（六）其他处理</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rPr>
          <w:trHeight w:val="420"/>
        </w:trPr>
        <w:tc>
          <w:tcPr>
            <w:tcW w:w="57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jc w:val="left"/>
              <w:rPr>
                <w:rFonts w:ascii="Arial" w:eastAsia="宋体" w:hAnsi="Arial" w:cs="Arial"/>
                <w:color w:val="000000"/>
                <w:kern w:val="0"/>
                <w:szCs w:val="21"/>
              </w:rPr>
            </w:pPr>
          </w:p>
        </w:tc>
        <w:tc>
          <w:tcPr>
            <w:tcW w:w="42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（七）总计</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r w:rsidR="005574F4" w:rsidRPr="005574F4" w:rsidTr="005574F4">
        <w:tc>
          <w:tcPr>
            <w:tcW w:w="481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四、结转下年度继续办理</w:t>
            </w:r>
          </w:p>
        </w:tc>
        <w:tc>
          <w:tcPr>
            <w:tcW w:w="570"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bl>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黑体" w:eastAsia="黑体" w:hAnsi="黑体" w:cs="Arial" w:hint="eastAsia"/>
          <w:b/>
          <w:bCs/>
          <w:color w:val="000000"/>
          <w:kern w:val="0"/>
          <w:sz w:val="32"/>
          <w:szCs w:val="32"/>
        </w:rPr>
        <w:t>四、政府信息公开行政复议、行政诉讼情况</w:t>
      </w:r>
    </w:p>
    <w:tbl>
      <w:tblPr>
        <w:tblW w:w="10200" w:type="dxa"/>
        <w:tblCellMar>
          <w:top w:w="15" w:type="dxa"/>
          <w:left w:w="15" w:type="dxa"/>
          <w:bottom w:w="15" w:type="dxa"/>
          <w:right w:w="15" w:type="dxa"/>
        </w:tblCellMar>
        <w:tblLook w:val="04A0" w:firstRow="1" w:lastRow="0" w:firstColumn="1" w:lastColumn="0" w:noHBand="0" w:noVBand="1"/>
      </w:tblPr>
      <w:tblGrid>
        <w:gridCol w:w="696"/>
        <w:gridCol w:w="697"/>
        <w:gridCol w:w="697"/>
        <w:gridCol w:w="668"/>
        <w:gridCol w:w="611"/>
        <w:gridCol w:w="697"/>
        <w:gridCol w:w="697"/>
        <w:gridCol w:w="697"/>
        <w:gridCol w:w="697"/>
        <w:gridCol w:w="582"/>
        <w:gridCol w:w="840"/>
        <w:gridCol w:w="640"/>
        <w:gridCol w:w="754"/>
        <w:gridCol w:w="697"/>
        <w:gridCol w:w="530"/>
      </w:tblGrid>
      <w:tr w:rsidR="005574F4" w:rsidRPr="005574F4" w:rsidTr="005574F4">
        <w:trPr>
          <w:trHeight w:val="465"/>
        </w:trPr>
        <w:tc>
          <w:tcPr>
            <w:tcW w:w="340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行政复议</w:t>
            </w:r>
          </w:p>
        </w:tc>
        <w:tc>
          <w:tcPr>
            <w:tcW w:w="681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行政诉讼</w:t>
            </w:r>
          </w:p>
        </w:tc>
      </w:tr>
      <w:tr w:rsidR="005574F4" w:rsidRPr="005574F4" w:rsidTr="005574F4">
        <w:trPr>
          <w:trHeight w:val="570"/>
        </w:trPr>
        <w:tc>
          <w:tcPr>
            <w:tcW w:w="70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结果维持</w:t>
            </w:r>
          </w:p>
        </w:tc>
        <w:tc>
          <w:tcPr>
            <w:tcW w:w="70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结果纠正</w:t>
            </w:r>
          </w:p>
        </w:tc>
        <w:tc>
          <w:tcPr>
            <w:tcW w:w="70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其他结果</w:t>
            </w:r>
          </w:p>
        </w:tc>
        <w:tc>
          <w:tcPr>
            <w:tcW w:w="6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尚未审结</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总计</w:t>
            </w:r>
          </w:p>
        </w:tc>
        <w:tc>
          <w:tcPr>
            <w:tcW w:w="3405"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未经复议直接起诉</w:t>
            </w:r>
          </w:p>
        </w:tc>
        <w:tc>
          <w:tcPr>
            <w:tcW w:w="3405"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复议后起诉</w:t>
            </w:r>
          </w:p>
        </w:tc>
      </w:tr>
      <w:tr w:rsidR="005574F4" w:rsidRPr="005574F4" w:rsidTr="005574F4">
        <w:tc>
          <w:tcPr>
            <w:tcW w:w="0" w:type="auto"/>
            <w:vMerge/>
            <w:tcBorders>
              <w:top w:val="nil"/>
              <w:left w:val="single" w:sz="6" w:space="0" w:color="auto"/>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0" w:type="auto"/>
            <w:vMerge/>
            <w:tcBorders>
              <w:top w:val="nil"/>
              <w:left w:val="nil"/>
              <w:bottom w:val="single" w:sz="6" w:space="0" w:color="auto"/>
              <w:right w:val="single" w:sz="6" w:space="0" w:color="auto"/>
            </w:tcBorders>
            <w:vAlign w:val="center"/>
            <w:hideMark/>
          </w:tcPr>
          <w:p w:rsidR="005574F4" w:rsidRPr="005574F4" w:rsidRDefault="005574F4" w:rsidP="005574F4">
            <w:pPr>
              <w:widowControl/>
              <w:jc w:val="left"/>
              <w:rPr>
                <w:rFonts w:ascii="Arial" w:eastAsia="宋体" w:hAnsi="Arial" w:cs="Arial"/>
                <w:color w:val="000000"/>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结果维持</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结果纠正</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其他结果</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尚未审结</w:t>
            </w:r>
          </w:p>
        </w:tc>
        <w:tc>
          <w:tcPr>
            <w:tcW w:w="5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总计</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结果维持</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结果纠正</w:t>
            </w: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其他结果</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尚未审结</w:t>
            </w:r>
          </w:p>
        </w:tc>
        <w:tc>
          <w:tcPr>
            <w:tcW w:w="4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总计</w:t>
            </w:r>
          </w:p>
        </w:tc>
      </w:tr>
      <w:tr w:rsidR="005574F4" w:rsidRPr="005574F4" w:rsidTr="005574F4">
        <w:trPr>
          <w:trHeight w:val="570"/>
        </w:trPr>
        <w:tc>
          <w:tcPr>
            <w:tcW w:w="70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lastRenderedPageBreak/>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5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8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c>
          <w:tcPr>
            <w:tcW w:w="4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5574F4" w:rsidRPr="005574F4" w:rsidRDefault="005574F4" w:rsidP="005574F4">
            <w:pPr>
              <w:widowControl/>
              <w:spacing w:line="360" w:lineRule="atLeast"/>
              <w:jc w:val="left"/>
              <w:rPr>
                <w:rFonts w:ascii="Arial" w:eastAsia="宋体" w:hAnsi="Arial" w:cs="Arial"/>
                <w:color w:val="000000"/>
                <w:kern w:val="0"/>
                <w:szCs w:val="21"/>
              </w:rPr>
            </w:pPr>
            <w:r w:rsidRPr="005574F4">
              <w:rPr>
                <w:rFonts w:ascii="仿宋" w:eastAsia="仿宋" w:hAnsi="仿宋" w:cs="Arial" w:hint="eastAsia"/>
                <w:color w:val="000000"/>
                <w:kern w:val="0"/>
                <w:sz w:val="32"/>
                <w:szCs w:val="32"/>
              </w:rPr>
              <w:t>0</w:t>
            </w:r>
          </w:p>
        </w:tc>
      </w:tr>
    </w:tbl>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黑体" w:eastAsia="黑体" w:hAnsi="黑体" w:cs="Arial" w:hint="eastAsia"/>
          <w:b/>
          <w:bCs/>
          <w:color w:val="000000"/>
          <w:kern w:val="0"/>
          <w:sz w:val="32"/>
          <w:szCs w:val="32"/>
        </w:rPr>
        <w:t>五、存在的主要问题及改进情况</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对照信息情况表，目前已自查整改完毕：更新了2个镇街部门公文和6项业务工作。齐都镇积极采取措施，以防政务公开不及时问题再次发生。</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1.提高认识，上报特色亮点工作。</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一年以来齐都镇做了哪些工作，更新政务信息是向老百姓汇报工作的形式之一，因此，政务信息的整理更新是重中之重的一项工作，是与群众交流的重要途径。今后，各委办每月2次上传工作汇报，选取有特色、有亮点的内容更新到政务公开平台，切实加强重视，让这项工作的真正渗透到齐都镇日常工作的方方面面。</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2.明确责任分工，长期整改落实。</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下一步工作中，齐都镇将政务信息更新上报工作，长期落实到专人负责，做好信息的汇总、上传、更新工作，打造好政务公开的窗口，切实虚心接受社会监督，保证工作保质保量开展。</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宋体" w:eastAsia="宋体" w:hAnsi="宋体" w:cs="宋体" w:hint="eastAsia"/>
          <w:color w:val="000000"/>
          <w:kern w:val="0"/>
          <w:sz w:val="32"/>
          <w:szCs w:val="32"/>
        </w:rPr>
        <w:t> </w:t>
      </w:r>
      <w:r w:rsidRPr="005574F4">
        <w:rPr>
          <w:rFonts w:ascii="仿宋" w:eastAsia="仿宋" w:hAnsi="仿宋" w:cs="Arial" w:hint="eastAsia"/>
          <w:color w:val="000000"/>
          <w:kern w:val="0"/>
          <w:sz w:val="32"/>
          <w:szCs w:val="32"/>
        </w:rPr>
        <w:t>3.纳入监督考核机制，专门成立督导组。</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齐都镇将更新情况纳入监督考核机制，工作由专人负责，也由专门的督导组进行不定时检查，对公文和业务工作更新情况进行每月通报，并纳入年底考核。</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lastRenderedPageBreak/>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在今后的工作中，齐都镇必将提高认识，明确责任分工，将这项工作扎实做好，以“钉钉子”的精神，将工作透明、完整的汇报给老百姓。</w:t>
      </w:r>
    </w:p>
    <w:p w:rsidR="005574F4" w:rsidRPr="005574F4" w:rsidRDefault="005574F4" w:rsidP="005574F4">
      <w:pPr>
        <w:widowControl/>
        <w:spacing w:before="75" w:after="75"/>
        <w:jc w:val="left"/>
        <w:rPr>
          <w:rFonts w:ascii="Arial" w:eastAsia="宋体" w:hAnsi="Arial" w:cs="Arial"/>
          <w:color w:val="000000"/>
          <w:kern w:val="0"/>
          <w:szCs w:val="21"/>
        </w:rPr>
      </w:pPr>
      <w:r w:rsidRPr="005574F4">
        <w:rPr>
          <w:rFonts w:ascii="黑体" w:eastAsia="黑体" w:hAnsi="黑体" w:cs="Arial" w:hint="eastAsia"/>
          <w:b/>
          <w:bCs/>
          <w:color w:val="000000"/>
          <w:kern w:val="0"/>
          <w:sz w:val="32"/>
          <w:szCs w:val="32"/>
        </w:rPr>
        <w:t>六、其他需要报告的事项</w:t>
      </w:r>
    </w:p>
    <w:p w:rsidR="005574F4" w:rsidRPr="005574F4" w:rsidRDefault="005574F4" w:rsidP="005574F4">
      <w:pPr>
        <w:widowControl/>
        <w:spacing w:before="75" w:after="75" w:line="360" w:lineRule="atLeast"/>
        <w:jc w:val="left"/>
        <w:rPr>
          <w:rFonts w:ascii="Arial" w:eastAsia="宋体" w:hAnsi="Arial" w:cs="Arial"/>
          <w:color w:val="000000"/>
          <w:kern w:val="0"/>
          <w:szCs w:val="21"/>
        </w:rPr>
      </w:pPr>
      <w:r w:rsidRPr="005574F4">
        <w:rPr>
          <w:rFonts w:ascii="宋体" w:eastAsia="宋体" w:hAnsi="宋体" w:cs="Arial" w:hint="eastAsia"/>
          <w:color w:val="000000"/>
          <w:kern w:val="0"/>
          <w:sz w:val="32"/>
          <w:szCs w:val="32"/>
        </w:rPr>
        <w:t> </w:t>
      </w:r>
      <w:r w:rsidRPr="005574F4">
        <w:rPr>
          <w:rFonts w:ascii="Arial" w:eastAsia="宋体" w:hAnsi="Arial" w:cs="Arial"/>
          <w:color w:val="000000"/>
          <w:kern w:val="0"/>
          <w:szCs w:val="21"/>
        </w:rPr>
        <w:t> </w:t>
      </w:r>
      <w:r w:rsidRPr="005574F4">
        <w:rPr>
          <w:rFonts w:ascii="仿宋" w:eastAsia="仿宋" w:hAnsi="仿宋" w:cs="Arial" w:hint="eastAsia"/>
          <w:color w:val="000000"/>
          <w:kern w:val="0"/>
          <w:sz w:val="32"/>
          <w:szCs w:val="32"/>
        </w:rPr>
        <w:t>无</w:t>
      </w:r>
    </w:p>
    <w:p w:rsidR="000920D2" w:rsidRDefault="000920D2" w:rsidP="005574F4">
      <w:pPr>
        <w:widowControl/>
        <w:spacing w:before="75" w:after="75"/>
        <w:jc w:val="left"/>
      </w:pPr>
    </w:p>
    <w:sectPr w:rsidR="000920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3AE8" w:rsidRDefault="00453AE8" w:rsidP="00421ECF">
      <w:r>
        <w:separator/>
      </w:r>
    </w:p>
  </w:endnote>
  <w:endnote w:type="continuationSeparator" w:id="0">
    <w:p w:rsidR="00453AE8" w:rsidRDefault="00453AE8" w:rsidP="0042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3AE8" w:rsidRDefault="00453AE8" w:rsidP="00421ECF">
      <w:r>
        <w:separator/>
      </w:r>
    </w:p>
  </w:footnote>
  <w:footnote w:type="continuationSeparator" w:id="0">
    <w:p w:rsidR="00453AE8" w:rsidRDefault="00453AE8" w:rsidP="00421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2EA"/>
    <w:rsid w:val="000920D2"/>
    <w:rsid w:val="00197227"/>
    <w:rsid w:val="00421ECF"/>
    <w:rsid w:val="00453AE8"/>
    <w:rsid w:val="005574F4"/>
    <w:rsid w:val="00A452EA"/>
    <w:rsid w:val="00CA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0B86"/>
  <w15:docId w15:val="{54E0F5F1-CF3B-4D74-8F99-1A75645C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E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ECF"/>
    <w:rPr>
      <w:sz w:val="18"/>
      <w:szCs w:val="18"/>
    </w:rPr>
  </w:style>
  <w:style w:type="paragraph" w:styleId="a5">
    <w:name w:val="footer"/>
    <w:basedOn w:val="a"/>
    <w:link w:val="a6"/>
    <w:uiPriority w:val="99"/>
    <w:unhideWhenUsed/>
    <w:rsid w:val="00421ECF"/>
    <w:pPr>
      <w:tabs>
        <w:tab w:val="center" w:pos="4153"/>
        <w:tab w:val="right" w:pos="8306"/>
      </w:tabs>
      <w:snapToGrid w:val="0"/>
      <w:jc w:val="left"/>
    </w:pPr>
    <w:rPr>
      <w:sz w:val="18"/>
      <w:szCs w:val="18"/>
    </w:rPr>
  </w:style>
  <w:style w:type="character" w:customStyle="1" w:styleId="a6">
    <w:name w:val="页脚 字符"/>
    <w:basedOn w:val="a0"/>
    <w:link w:val="a5"/>
    <w:uiPriority w:val="99"/>
    <w:rsid w:val="00421ECF"/>
    <w:rPr>
      <w:sz w:val="18"/>
      <w:szCs w:val="18"/>
    </w:rPr>
  </w:style>
  <w:style w:type="paragraph" w:styleId="a7">
    <w:name w:val="Normal (Web)"/>
    <w:basedOn w:val="a"/>
    <w:uiPriority w:val="99"/>
    <w:unhideWhenUsed/>
    <w:rsid w:val="00197227"/>
    <w:pPr>
      <w:widowControl/>
      <w:jc w:val="left"/>
    </w:pPr>
    <w:rPr>
      <w:rFonts w:ascii="宋体" w:eastAsia="宋体" w:hAnsi="宋体" w:cs="宋体"/>
      <w:kern w:val="0"/>
      <w:sz w:val="24"/>
      <w:szCs w:val="24"/>
    </w:rPr>
  </w:style>
  <w:style w:type="character" w:styleId="a8">
    <w:name w:val="Strong"/>
    <w:basedOn w:val="a0"/>
    <w:uiPriority w:val="22"/>
    <w:qFormat/>
    <w:rsid w:val="00557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560</Words>
  <Characters>3193</Characters>
  <Application>Microsoft Office Word</Application>
  <DocSecurity>0</DocSecurity>
  <Lines>26</Lines>
  <Paragraphs>7</Paragraphs>
  <ScaleCrop>false</ScaleCrop>
  <Company>Microsoft</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4</cp:revision>
  <dcterms:created xsi:type="dcterms:W3CDTF">2020-07-29T06:32:00Z</dcterms:created>
  <dcterms:modified xsi:type="dcterms:W3CDTF">2023-07-28T07:51:00Z</dcterms:modified>
</cp:coreProperties>
</file>