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640" w:lineRule="exact"/>
        <w:jc w:val="center"/>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rPr>
        <w:t>临淄区</w:t>
      </w:r>
      <w:r>
        <w:rPr>
          <w:rFonts w:hint="eastAsia" w:ascii="方正小标宋简体" w:hAnsi="黑体" w:eastAsia="方正小标宋简体"/>
          <w:sz w:val="44"/>
          <w:szCs w:val="44"/>
          <w:lang w:eastAsia="zh-CN"/>
        </w:rPr>
        <w:t>齐陵街道</w:t>
      </w:r>
    </w:p>
    <w:p>
      <w:pPr>
        <w:spacing w:line="6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w:t>
      </w:r>
      <w:r>
        <w:rPr>
          <w:rFonts w:ascii="方正小标宋简体" w:hAnsi="黑体" w:eastAsia="方正小标宋简体"/>
          <w:sz w:val="44"/>
          <w:szCs w:val="44"/>
        </w:rPr>
        <w:t>2</w:t>
      </w:r>
      <w:r>
        <w:rPr>
          <w:rFonts w:hint="eastAsia" w:ascii="方正小标宋简体" w:hAnsi="黑体" w:eastAsia="方正小标宋简体"/>
          <w:sz w:val="44"/>
          <w:szCs w:val="44"/>
          <w:lang w:val="en-US" w:eastAsia="zh-CN"/>
        </w:rPr>
        <w:t>2</w:t>
      </w:r>
      <w:r>
        <w:rPr>
          <w:rFonts w:hint="eastAsia" w:ascii="方正小标宋简体" w:hAnsi="黑体" w:eastAsia="方正小标宋简体"/>
          <w:sz w:val="44"/>
          <w:szCs w:val="44"/>
        </w:rPr>
        <w:t>年政府信息公开工作年度报告</w:t>
      </w:r>
    </w:p>
    <w:p>
      <w:pPr>
        <w:spacing w:line="640" w:lineRule="exact"/>
        <w:jc w:val="center"/>
        <w:rPr>
          <w:rFonts w:ascii="方正小标宋简体" w:hAnsi="黑体" w:eastAsia="方正小标宋简体"/>
          <w:sz w:val="44"/>
          <w:szCs w:val="44"/>
        </w:rPr>
      </w:pPr>
    </w:p>
    <w:p>
      <w:pPr>
        <w:ind w:firstLine="640" w:firstLineChars="200"/>
        <w:rPr>
          <w:rFonts w:ascii="仿宋" w:hAnsi="仿宋" w:eastAsia="仿宋"/>
          <w:color w:val="000000"/>
          <w:sz w:val="32"/>
          <w:szCs w:val="32"/>
        </w:rPr>
      </w:pPr>
      <w:r>
        <w:rPr>
          <w:rFonts w:hint="eastAsia" w:ascii="仿宋" w:hAnsi="仿宋" w:eastAsia="仿宋"/>
          <w:color w:val="000000"/>
          <w:sz w:val="32"/>
          <w:szCs w:val="32"/>
        </w:rPr>
        <w:t>本报告按照</w:t>
      </w:r>
      <w:r>
        <w:rPr>
          <w:rFonts w:ascii="Times New Roman" w:hAnsi="Times New Roman" w:eastAsia="仿宋_GB2312"/>
          <w:sz w:val="32"/>
          <w:szCs w:val="32"/>
        </w:rPr>
        <w:t>《关于转发〈中华人民共和国政府信息公开工作年度报告格式〉的通知》</w:t>
      </w:r>
      <w:r>
        <w:rPr>
          <w:rFonts w:hint="eastAsia" w:ascii="仿宋" w:hAnsi="仿宋" w:eastAsia="仿宋"/>
          <w:color w:val="000000"/>
          <w:sz w:val="32"/>
          <w:szCs w:val="32"/>
        </w:rPr>
        <w:t>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本年度报告中所列数据统计期限从</w:t>
      </w: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eastAsia" w:ascii="仿宋" w:hAnsi="仿宋" w:eastAsia="仿宋"/>
          <w:color w:val="000000"/>
          <w:sz w:val="32"/>
          <w:szCs w:val="32"/>
        </w:rPr>
        <w:t>年</w:t>
      </w:r>
      <w:r>
        <w:rPr>
          <w:rFonts w:hint="eastAsia" w:ascii="Times New Roman" w:hAnsi="Times New Roman" w:eastAsia="仿宋" w:cs="Times New Roman"/>
          <w:color w:val="000000"/>
          <w:sz w:val="32"/>
          <w:szCs w:val="32"/>
        </w:rPr>
        <w:t>1</w:t>
      </w:r>
      <w:r>
        <w:rPr>
          <w:rFonts w:hint="eastAsia" w:ascii="仿宋" w:hAnsi="仿宋" w:eastAsia="仿宋"/>
          <w:color w:val="000000"/>
          <w:sz w:val="32"/>
          <w:szCs w:val="32"/>
        </w:rPr>
        <w:t>月</w:t>
      </w:r>
      <w:r>
        <w:rPr>
          <w:rFonts w:hint="eastAsia" w:ascii="Times New Roman" w:hAnsi="Times New Roman" w:eastAsia="仿宋" w:cs="Times New Roman"/>
          <w:color w:val="000000"/>
          <w:sz w:val="32"/>
          <w:szCs w:val="32"/>
        </w:rPr>
        <w:t>1</w:t>
      </w:r>
      <w:r>
        <w:rPr>
          <w:rFonts w:hint="eastAsia" w:ascii="仿宋" w:hAnsi="仿宋" w:eastAsia="仿宋"/>
          <w:color w:val="000000"/>
          <w:sz w:val="32"/>
          <w:szCs w:val="32"/>
        </w:rPr>
        <w:t>日到</w:t>
      </w:r>
      <w:r>
        <w:rPr>
          <w:rFonts w:hint="eastAsia" w:ascii="Times New Roman" w:hAnsi="Times New Roman" w:eastAsia="仿宋" w:cs="Times New Roman"/>
          <w:color w:val="000000"/>
          <w:sz w:val="32"/>
          <w:szCs w:val="32"/>
        </w:rPr>
        <w:t>12</w:t>
      </w:r>
      <w:r>
        <w:rPr>
          <w:rFonts w:hint="eastAsia" w:ascii="仿宋" w:hAnsi="仿宋" w:eastAsia="仿宋"/>
          <w:color w:val="000000"/>
          <w:sz w:val="32"/>
          <w:szCs w:val="32"/>
        </w:rPr>
        <w:t>月</w:t>
      </w:r>
      <w:r>
        <w:rPr>
          <w:rFonts w:hint="eastAsia" w:ascii="Times New Roman" w:hAnsi="Times New Roman" w:eastAsia="仿宋" w:cs="Times New Roman"/>
          <w:color w:val="000000"/>
          <w:sz w:val="32"/>
          <w:szCs w:val="32"/>
        </w:rPr>
        <w:t>31</w:t>
      </w:r>
      <w:r>
        <w:rPr>
          <w:rFonts w:hint="eastAsia" w:ascii="仿宋" w:hAnsi="仿宋" w:eastAsia="仿宋"/>
          <w:color w:val="000000"/>
          <w:sz w:val="32"/>
          <w:szCs w:val="32"/>
        </w:rPr>
        <w:t>日止。</w:t>
      </w:r>
      <w:r>
        <w:rPr>
          <w:rFonts w:ascii="仿宋_GB2312" w:hAnsi="Times New Roman" w:eastAsia="仿宋_GB2312" w:cs="仿宋_GB2312"/>
          <w:i w:val="0"/>
          <w:iCs w:val="0"/>
          <w:caps w:val="0"/>
          <w:color w:val="000000"/>
          <w:spacing w:val="0"/>
          <w:sz w:val="32"/>
          <w:szCs w:val="32"/>
          <w:bdr w:val="none" w:color="auto" w:sz="0" w:space="0"/>
          <w:shd w:val="clear" w:fill="FFFFFF"/>
        </w:rPr>
        <w:t>如对报告内容有疑问，请与</w:t>
      </w:r>
      <w:r>
        <w:rPr>
          <w:rFonts w:hint="eastAsia" w:ascii="仿宋_GB2312" w:hAnsi="Times New Roman" w:eastAsia="仿宋_GB2312" w:cs="仿宋_GB2312"/>
          <w:i w:val="0"/>
          <w:iCs w:val="0"/>
          <w:caps w:val="0"/>
          <w:color w:val="000000"/>
          <w:spacing w:val="0"/>
          <w:sz w:val="32"/>
          <w:szCs w:val="32"/>
          <w:bdr w:val="none" w:color="auto" w:sz="0" w:space="0"/>
          <w:shd w:val="clear" w:fill="FFFFFF"/>
        </w:rPr>
        <w:t>临淄区</w:t>
      </w:r>
      <w:r>
        <w:rPr>
          <w:rFonts w:hint="eastAsia" w:ascii="仿宋_GB2312" w:hAnsi="Times New Roman" w:eastAsia="仿宋_GB2312" w:cs="仿宋_GB2312"/>
          <w:i w:val="0"/>
          <w:iCs w:val="0"/>
          <w:caps w:val="0"/>
          <w:color w:val="000000"/>
          <w:spacing w:val="0"/>
          <w:sz w:val="32"/>
          <w:szCs w:val="32"/>
          <w:bdr w:val="none" w:color="auto" w:sz="0" w:space="0"/>
          <w:shd w:val="clear" w:fill="FFFFFF"/>
          <w:lang w:val="en-US" w:eastAsia="zh-CN"/>
        </w:rPr>
        <w:t>齐陵街道办事处</w:t>
      </w:r>
      <w:r>
        <w:rPr>
          <w:rFonts w:hint="eastAsia" w:ascii="仿宋_GB2312" w:hAnsi="Times New Roman" w:eastAsia="仿宋_GB2312" w:cs="仿宋_GB2312"/>
          <w:i w:val="0"/>
          <w:iCs w:val="0"/>
          <w:caps w:val="0"/>
          <w:color w:val="000000"/>
          <w:spacing w:val="0"/>
          <w:sz w:val="32"/>
          <w:szCs w:val="32"/>
          <w:bdr w:val="none" w:color="auto" w:sz="0" w:space="0"/>
          <w:shd w:val="clear" w:fill="FFFFFF"/>
        </w:rPr>
        <w:t>联系（地址：临淄区</w:t>
      </w:r>
      <w:r>
        <w:rPr>
          <w:rFonts w:hint="eastAsia" w:ascii="仿宋_GB2312" w:hAnsi="Times New Roman" w:eastAsia="仿宋_GB2312" w:cs="仿宋_GB2312"/>
          <w:i w:val="0"/>
          <w:iCs w:val="0"/>
          <w:caps w:val="0"/>
          <w:color w:val="000000"/>
          <w:spacing w:val="0"/>
          <w:sz w:val="32"/>
          <w:szCs w:val="32"/>
          <w:bdr w:val="none" w:color="auto" w:sz="0" w:space="0"/>
          <w:shd w:val="clear" w:fill="FFFFFF"/>
          <w:lang w:val="en-US" w:eastAsia="zh-CN"/>
        </w:rPr>
        <w:t>齐陵路</w:t>
      </w:r>
      <w:r>
        <w:rPr>
          <w:rFonts w:hint="eastAsia" w:ascii="Times New Roman" w:hAnsi="Times New Roman" w:eastAsia="宋体" w:cs="Times New Roman"/>
          <w:i w:val="0"/>
          <w:iCs w:val="0"/>
          <w:caps w:val="0"/>
          <w:color w:val="000000"/>
          <w:spacing w:val="0"/>
          <w:sz w:val="32"/>
          <w:szCs w:val="32"/>
          <w:shd w:val="clear" w:fill="FFFFFF"/>
          <w:lang w:val="en-US" w:eastAsia="zh-CN"/>
        </w:rPr>
        <w:t>67</w:t>
      </w:r>
      <w:r>
        <w:rPr>
          <w:rFonts w:hint="eastAsia" w:ascii="仿宋_GB2312" w:hAnsi="Times New Roman" w:eastAsia="仿宋_GB2312" w:cs="仿宋_GB2312"/>
          <w:i w:val="0"/>
          <w:iCs w:val="0"/>
          <w:caps w:val="0"/>
          <w:color w:val="000000"/>
          <w:spacing w:val="0"/>
          <w:sz w:val="32"/>
          <w:szCs w:val="32"/>
          <w:bdr w:val="none" w:color="auto" w:sz="0" w:space="0"/>
          <w:shd w:val="clear" w:fill="FFFFFF"/>
          <w:lang w:val="en-US" w:eastAsia="zh-CN"/>
        </w:rPr>
        <w:t>号</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；邮编：</w:t>
      </w:r>
      <w:r>
        <w:rPr>
          <w:rFonts w:hint="default" w:ascii="Times New Roman" w:hAnsi="Times New Roman" w:eastAsia="宋体" w:cs="Times New Roman"/>
          <w:i w:val="0"/>
          <w:iCs w:val="0"/>
          <w:caps w:val="0"/>
          <w:color w:val="000000"/>
          <w:spacing w:val="0"/>
          <w:sz w:val="32"/>
          <w:szCs w:val="32"/>
          <w:bdr w:val="none" w:color="auto" w:sz="0" w:space="0"/>
          <w:shd w:val="clear" w:fill="FFFFFF"/>
        </w:rPr>
        <w:t>2554</w:t>
      </w:r>
      <w:r>
        <w:rPr>
          <w:rFonts w:hint="eastAsia" w:ascii="Times New Roman" w:hAnsi="Times New Roman" w:eastAsia="宋体" w:cs="Times New Roman"/>
          <w:i w:val="0"/>
          <w:iCs w:val="0"/>
          <w:caps w:val="0"/>
          <w:color w:val="000000"/>
          <w:spacing w:val="0"/>
          <w:sz w:val="32"/>
          <w:szCs w:val="32"/>
          <w:bdr w:val="none" w:color="auto" w:sz="0" w:space="0"/>
          <w:shd w:val="clear" w:fill="FFFFFF"/>
          <w:lang w:val="en-US" w:eastAsia="zh-CN"/>
        </w:rPr>
        <w:t>3</w:t>
      </w:r>
      <w:r>
        <w:rPr>
          <w:rFonts w:hint="default" w:ascii="Times New Roman" w:hAnsi="Times New Roman" w:eastAsia="宋体" w:cs="Times New Roman"/>
          <w:i w:val="0"/>
          <w:iCs w:val="0"/>
          <w:caps w:val="0"/>
          <w:color w:val="000000"/>
          <w:spacing w:val="0"/>
          <w:sz w:val="32"/>
          <w:szCs w:val="32"/>
          <w:bdr w:val="none" w:color="auto" w:sz="0" w:space="0"/>
          <w:shd w:val="clear" w:fill="FFFFFF"/>
        </w:rPr>
        <w:t>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；电话：</w:t>
      </w:r>
      <w:r>
        <w:rPr>
          <w:rFonts w:hint="default" w:ascii="Times New Roman" w:hAnsi="Times New Roman" w:eastAsia="宋体" w:cs="Times New Roman"/>
          <w:i w:val="0"/>
          <w:iCs w:val="0"/>
          <w:caps w:val="0"/>
          <w:color w:val="000000"/>
          <w:spacing w:val="0"/>
          <w:sz w:val="32"/>
          <w:szCs w:val="32"/>
          <w:bdr w:val="none" w:color="auto" w:sz="0" w:space="0"/>
          <w:shd w:val="clear" w:fill="FFFFFF"/>
        </w:rPr>
        <w:t>0533-</w:t>
      </w:r>
      <w:r>
        <w:rPr>
          <w:rFonts w:hint="eastAsia" w:ascii="Times New Roman" w:hAnsi="Times New Roman" w:eastAsia="宋体" w:cs="Times New Roman"/>
          <w:i w:val="0"/>
          <w:iCs w:val="0"/>
          <w:caps w:val="0"/>
          <w:color w:val="000000"/>
          <w:spacing w:val="0"/>
          <w:sz w:val="32"/>
          <w:szCs w:val="32"/>
          <w:bdr w:val="none" w:color="auto" w:sz="0" w:space="0"/>
          <w:shd w:val="clear" w:fill="FFFFFF"/>
          <w:lang w:val="en-US" w:eastAsia="zh-CN"/>
        </w:rPr>
        <w:t>7080070</w:t>
      </w:r>
      <w:r>
        <w:rPr>
          <w:rFonts w:hint="eastAsia" w:ascii="仿宋_GB2312" w:hAnsi="Times New Roman" w:eastAsia="仿宋_GB2312" w:cs="仿宋_GB2312"/>
          <w:i w:val="0"/>
          <w:iCs w:val="0"/>
          <w:caps w:val="0"/>
          <w:color w:val="000000"/>
          <w:spacing w:val="0"/>
          <w:sz w:val="32"/>
          <w:szCs w:val="32"/>
          <w:bdr w:val="none" w:color="auto" w:sz="0" w:space="0"/>
          <w:shd w:val="clear" w:fill="FFFFFF"/>
        </w:rPr>
        <w:t>；邮箱：</w:t>
      </w:r>
      <w:r>
        <w:rPr>
          <w:rFonts w:hint="eastAsia" w:ascii="Times New Roman" w:hAnsi="Times New Roman" w:eastAsia="宋体" w:cs="Times New Roman"/>
          <w:i w:val="0"/>
          <w:iCs w:val="0"/>
          <w:caps w:val="0"/>
          <w:color w:val="000000"/>
          <w:spacing w:val="0"/>
          <w:sz w:val="32"/>
          <w:szCs w:val="32"/>
          <w:shd w:val="clear" w:fill="FFFFFF"/>
        </w:rPr>
        <w:t>dangzhengbangonggongyou</w:t>
      </w:r>
      <w:r>
        <w:rPr>
          <w:rFonts w:hint="default" w:ascii="Times New Roman" w:hAnsi="Times New Roman" w:eastAsia="宋体" w:cs="Times New Roman"/>
          <w:i w:val="0"/>
          <w:iCs w:val="0"/>
          <w:caps w:val="0"/>
          <w:color w:val="000000"/>
          <w:spacing w:val="0"/>
          <w:sz w:val="32"/>
          <w:szCs w:val="32"/>
          <w:bdr w:val="none" w:color="auto" w:sz="0" w:space="0"/>
          <w:shd w:val="clear" w:fill="FFFFFF"/>
        </w:rPr>
        <w:t>@zb.shandong.cn</w:t>
      </w:r>
      <w:r>
        <w:rPr>
          <w:rFonts w:hint="eastAsia" w:ascii="仿宋_GB2312" w:hAnsi="Times New Roman" w:eastAsia="仿宋_GB2312" w:cs="仿宋_GB2312"/>
          <w:i w:val="0"/>
          <w:iCs w:val="0"/>
          <w:caps w:val="0"/>
          <w:color w:val="000000"/>
          <w:spacing w:val="0"/>
          <w:sz w:val="32"/>
          <w:szCs w:val="32"/>
          <w:bdr w:val="none" w:color="auto" w:sz="0" w:space="0"/>
          <w:shd w:val="clear" w:fill="FFFFFF"/>
        </w:rPr>
        <w:t>）</w:t>
      </w:r>
    </w:p>
    <w:p>
      <w:pPr>
        <w:rPr>
          <w:rFonts w:ascii="黑体" w:hAnsi="黑体" w:eastAsia="黑体"/>
          <w:sz w:val="32"/>
          <w:szCs w:val="32"/>
        </w:rPr>
      </w:pPr>
      <w:r>
        <w:rPr>
          <w:rFonts w:hint="eastAsia" w:ascii="黑体" w:hAnsi="黑体" w:eastAsia="黑体"/>
          <w:sz w:val="32"/>
          <w:szCs w:val="32"/>
        </w:rPr>
        <w:t xml:space="preserve">    一、总体情况</w:t>
      </w:r>
      <w:bookmarkStart w:id="0" w:name="_GoBack"/>
      <w:bookmarkEnd w:id="0"/>
    </w:p>
    <w:p>
      <w:pPr>
        <w:numPr>
          <w:ilvl w:val="0"/>
          <w:numId w:val="0"/>
        </w:numPr>
        <w:spacing w:line="560" w:lineRule="exact"/>
        <w:ind w:firstLine="640" w:firstLineChars="200"/>
        <w:rPr>
          <w:rFonts w:hint="eastAsia" w:ascii="楷体_GB2312" w:eastAsia="楷体_GB2312" w:cs="楷体_GB2312" w:hAnsiTheme="minorHAnsi"/>
          <w:kern w:val="0"/>
          <w:sz w:val="32"/>
          <w:szCs w:val="32"/>
          <w:lang w:val="en-US" w:eastAsia="zh-CN" w:bidi="ar-SA"/>
        </w:rPr>
      </w:pPr>
      <w:r>
        <w:rPr>
          <w:rFonts w:hint="eastAsia" w:ascii="楷体_GB2312" w:eastAsia="楷体_GB2312" w:cs="楷体_GB2312" w:hAnsiTheme="minorHAnsi"/>
          <w:kern w:val="0"/>
          <w:sz w:val="32"/>
          <w:szCs w:val="32"/>
          <w:lang w:val="en-US" w:eastAsia="zh-CN" w:bidi="ar-SA"/>
        </w:rPr>
        <w:t>（一）主动公开情况</w:t>
      </w:r>
    </w:p>
    <w:p>
      <w:pPr>
        <w:numPr>
          <w:ilvl w:val="0"/>
          <w:numId w:val="0"/>
        </w:numPr>
        <w:spacing w:line="560" w:lineRule="exact"/>
        <w:ind w:firstLine="640" w:firstLineChars="200"/>
        <w:rPr>
          <w:rFonts w:hint="default" w:ascii="仿宋_GB2312" w:hAnsi="宋体" w:eastAsia="仿宋_GB2312" w:cs="仿宋_GB2312"/>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rPr>
        <w:t>202</w:t>
      </w:r>
      <w:r>
        <w:rPr>
          <w:rFonts w:hint="default" w:ascii="Times New Roman" w:hAnsi="Times New Roman" w:eastAsia="仿宋_GB2312" w:cs="Times New Roman"/>
          <w:i w:val="0"/>
          <w:caps w:val="0"/>
          <w:color w:val="000000"/>
          <w:spacing w:val="0"/>
          <w:sz w:val="32"/>
          <w:szCs w:val="32"/>
          <w:lang w:val="en-US" w:eastAsia="zh-CN"/>
        </w:rPr>
        <w:t>2</w:t>
      </w:r>
      <w:r>
        <w:rPr>
          <w:rFonts w:hint="eastAsia" w:ascii="仿宋_GB2312" w:hAnsi="宋体" w:eastAsia="仿宋_GB2312" w:cs="仿宋_GB2312"/>
          <w:i w:val="0"/>
          <w:caps w:val="0"/>
          <w:color w:val="000000"/>
          <w:spacing w:val="0"/>
          <w:sz w:val="32"/>
          <w:szCs w:val="32"/>
        </w:rPr>
        <w:t>年通过临淄区人民政府门户网站主动公开信息</w:t>
      </w:r>
      <w:r>
        <w:rPr>
          <w:rFonts w:hint="default" w:ascii="Times New Roman" w:hAnsi="Times New Roman" w:eastAsia="仿宋_GB2312" w:cs="Times New Roman"/>
          <w:i w:val="0"/>
          <w:caps w:val="0"/>
          <w:color w:val="000000"/>
          <w:spacing w:val="0"/>
          <w:sz w:val="32"/>
          <w:szCs w:val="32"/>
          <w:lang w:val="en-US" w:eastAsia="zh-CN"/>
        </w:rPr>
        <w:t>137</w:t>
      </w:r>
      <w:r>
        <w:rPr>
          <w:rFonts w:hint="eastAsia" w:ascii="仿宋_GB2312" w:hAnsi="宋体" w:eastAsia="仿宋_GB2312" w:cs="仿宋_GB2312"/>
          <w:i w:val="0"/>
          <w:caps w:val="0"/>
          <w:color w:val="000000"/>
          <w:spacing w:val="0"/>
          <w:sz w:val="32"/>
          <w:szCs w:val="32"/>
        </w:rPr>
        <w:t>条；同时依托</w:t>
      </w:r>
      <w:r>
        <w:rPr>
          <w:rFonts w:hint="eastAsia" w:ascii="仿宋_GB2312" w:hAnsi="宋体" w:eastAsia="仿宋_GB2312" w:cs="仿宋_GB2312"/>
          <w:i w:val="0"/>
          <w:caps w:val="0"/>
          <w:color w:val="000000"/>
          <w:spacing w:val="0"/>
          <w:sz w:val="32"/>
          <w:szCs w:val="32"/>
          <w:lang w:val="en-US" w:eastAsia="zh-CN"/>
        </w:rPr>
        <w:t>齐陵街道办事处</w:t>
      </w:r>
      <w:r>
        <w:rPr>
          <w:rFonts w:hint="eastAsia" w:ascii="仿宋_GB2312" w:hAnsi="宋体" w:eastAsia="仿宋_GB2312" w:cs="仿宋_GB2312"/>
          <w:i w:val="0"/>
          <w:caps w:val="0"/>
          <w:color w:val="000000"/>
          <w:spacing w:val="0"/>
          <w:sz w:val="32"/>
          <w:szCs w:val="32"/>
        </w:rPr>
        <w:t>微信公众平台“</w:t>
      </w:r>
      <w:r>
        <w:rPr>
          <w:rFonts w:hint="eastAsia" w:ascii="仿宋_GB2312" w:hAnsi="宋体" w:eastAsia="仿宋_GB2312" w:cs="仿宋_GB2312"/>
          <w:i w:val="0"/>
          <w:caps w:val="0"/>
          <w:color w:val="000000"/>
          <w:spacing w:val="0"/>
          <w:sz w:val="32"/>
          <w:szCs w:val="32"/>
          <w:lang w:val="en-US" w:eastAsia="zh-CN"/>
        </w:rPr>
        <w:t>齐陵</w:t>
      </w:r>
      <w:r>
        <w:rPr>
          <w:rFonts w:hint="eastAsia" w:ascii="仿宋_GB2312" w:hAnsi="宋体" w:eastAsia="仿宋_GB2312" w:cs="仿宋_GB2312"/>
          <w:i w:val="0"/>
          <w:caps w:val="0"/>
          <w:color w:val="000000"/>
          <w:spacing w:val="0"/>
          <w:sz w:val="32"/>
          <w:szCs w:val="32"/>
        </w:rPr>
        <w:t>”及时发布</w:t>
      </w:r>
      <w:r>
        <w:rPr>
          <w:rFonts w:hint="eastAsia" w:ascii="仿宋_GB2312" w:hAnsi="宋体" w:eastAsia="仿宋_GB2312" w:cs="仿宋_GB2312"/>
          <w:i w:val="0"/>
          <w:caps w:val="0"/>
          <w:color w:val="000000"/>
          <w:spacing w:val="0"/>
          <w:sz w:val="32"/>
          <w:szCs w:val="32"/>
          <w:lang w:val="en-US" w:eastAsia="zh-CN"/>
        </w:rPr>
        <w:t>齐陵街道</w:t>
      </w:r>
      <w:r>
        <w:rPr>
          <w:rFonts w:hint="eastAsia" w:ascii="仿宋_GB2312" w:hAnsi="宋体" w:eastAsia="仿宋_GB2312" w:cs="仿宋_GB2312"/>
          <w:i w:val="0"/>
          <w:caps w:val="0"/>
          <w:color w:val="000000"/>
          <w:spacing w:val="0"/>
          <w:sz w:val="32"/>
          <w:szCs w:val="32"/>
        </w:rPr>
        <w:t>工作动态，</w:t>
      </w:r>
      <w:r>
        <w:rPr>
          <w:rFonts w:hint="default" w:ascii="Times New Roman" w:hAnsi="Times New Roman" w:eastAsia="仿宋_GB2312" w:cs="Times New Roman"/>
          <w:i w:val="0"/>
          <w:caps w:val="0"/>
          <w:color w:val="000000"/>
          <w:spacing w:val="0"/>
          <w:sz w:val="32"/>
          <w:szCs w:val="32"/>
        </w:rPr>
        <w:t>202</w:t>
      </w:r>
      <w:r>
        <w:rPr>
          <w:rFonts w:hint="default" w:ascii="Times New Roman" w:hAnsi="Times New Roman" w:eastAsia="仿宋_GB2312" w:cs="Times New Roman"/>
          <w:i w:val="0"/>
          <w:caps w:val="0"/>
          <w:color w:val="000000"/>
          <w:spacing w:val="0"/>
          <w:sz w:val="32"/>
          <w:szCs w:val="32"/>
          <w:lang w:val="en-US" w:eastAsia="zh-CN"/>
        </w:rPr>
        <w:t>2</w:t>
      </w:r>
      <w:r>
        <w:rPr>
          <w:rFonts w:hint="eastAsia" w:ascii="仿宋_GB2312" w:hAnsi="宋体" w:eastAsia="仿宋_GB2312" w:cs="仿宋_GB2312"/>
          <w:i w:val="0"/>
          <w:caps w:val="0"/>
          <w:color w:val="000000"/>
          <w:spacing w:val="0"/>
          <w:sz w:val="32"/>
          <w:szCs w:val="32"/>
        </w:rPr>
        <w:t>年微信公众号共推</w:t>
      </w:r>
      <w:r>
        <w:rPr>
          <w:rFonts w:hint="eastAsia" w:ascii="仿宋_GB2312" w:hAnsi="宋体" w:eastAsia="仿宋_GB2312" w:cs="仿宋_GB2312"/>
          <w:i w:val="0"/>
          <w:caps w:val="0"/>
          <w:color w:val="000000"/>
          <w:spacing w:val="0"/>
          <w:sz w:val="32"/>
          <w:szCs w:val="32"/>
          <w:lang w:val="en-US" w:eastAsia="zh-CN"/>
        </w:rPr>
        <w:t>送</w:t>
      </w:r>
      <w:r>
        <w:rPr>
          <w:rFonts w:hint="default" w:ascii="Times New Roman" w:hAnsi="Times New Roman" w:eastAsia="仿宋_GB2312" w:cs="Times New Roman"/>
          <w:i w:val="0"/>
          <w:caps w:val="0"/>
          <w:color w:val="000000"/>
          <w:spacing w:val="0"/>
          <w:sz w:val="32"/>
          <w:szCs w:val="32"/>
          <w:lang w:val="en-US" w:eastAsia="zh-CN"/>
        </w:rPr>
        <w:t>293</w:t>
      </w:r>
      <w:r>
        <w:rPr>
          <w:rFonts w:hint="eastAsia" w:ascii="仿宋_GB2312" w:hAnsi="宋体" w:eastAsia="仿宋_GB2312" w:cs="仿宋_GB2312"/>
          <w:i w:val="0"/>
          <w:caps w:val="0"/>
          <w:color w:val="000000"/>
          <w:spacing w:val="0"/>
          <w:sz w:val="32"/>
          <w:szCs w:val="32"/>
        </w:rPr>
        <w:t>篇</w:t>
      </w:r>
      <w:r>
        <w:rPr>
          <w:rFonts w:hint="eastAsia" w:ascii="仿宋_GB2312" w:hAnsi="宋体" w:eastAsia="仿宋_GB2312" w:cs="仿宋_GB2312"/>
          <w:i w:val="0"/>
          <w:caps w:val="0"/>
          <w:color w:val="000000"/>
          <w:spacing w:val="0"/>
          <w:sz w:val="32"/>
          <w:szCs w:val="32"/>
          <w:lang w:eastAsia="zh-CN"/>
        </w:rPr>
        <w:t>，“</w:t>
      </w:r>
      <w:r>
        <w:rPr>
          <w:rFonts w:hint="eastAsia" w:ascii="仿宋_GB2312" w:hAnsi="宋体" w:eastAsia="仿宋_GB2312" w:cs="仿宋_GB2312"/>
          <w:i w:val="0"/>
          <w:caps w:val="0"/>
          <w:color w:val="000000"/>
          <w:spacing w:val="0"/>
          <w:sz w:val="32"/>
          <w:szCs w:val="32"/>
          <w:lang w:val="en-US" w:eastAsia="zh-CN"/>
        </w:rPr>
        <w:t>齐陵印迹</w:t>
      </w:r>
      <w:r>
        <w:rPr>
          <w:rFonts w:hint="eastAsia" w:ascii="仿宋_GB2312" w:hAnsi="宋体" w:eastAsia="仿宋_GB2312" w:cs="仿宋_GB2312"/>
          <w:i w:val="0"/>
          <w:caps w:val="0"/>
          <w:color w:val="000000"/>
          <w:spacing w:val="0"/>
          <w:sz w:val="32"/>
          <w:szCs w:val="32"/>
          <w:lang w:eastAsia="zh-CN"/>
        </w:rPr>
        <w:t>”</w:t>
      </w:r>
      <w:r>
        <w:rPr>
          <w:rFonts w:hint="eastAsia" w:ascii="仿宋_GB2312" w:hAnsi="宋体" w:eastAsia="仿宋_GB2312" w:cs="仿宋_GB2312"/>
          <w:i w:val="0"/>
          <w:caps w:val="0"/>
          <w:color w:val="000000"/>
          <w:spacing w:val="0"/>
          <w:sz w:val="32"/>
          <w:szCs w:val="32"/>
          <w:lang w:val="en-US" w:eastAsia="zh-CN"/>
        </w:rPr>
        <w:t>视频号推送</w:t>
      </w:r>
      <w:r>
        <w:rPr>
          <w:rFonts w:hint="default" w:ascii="Times New Roman" w:hAnsi="Times New Roman" w:eastAsia="仿宋_GB2312" w:cs="Times New Roman"/>
          <w:i w:val="0"/>
          <w:caps w:val="0"/>
          <w:color w:val="000000"/>
          <w:spacing w:val="0"/>
          <w:sz w:val="32"/>
          <w:szCs w:val="32"/>
          <w:lang w:val="en-US" w:eastAsia="zh-CN"/>
        </w:rPr>
        <w:t>46</w:t>
      </w:r>
      <w:r>
        <w:rPr>
          <w:rFonts w:hint="eastAsia" w:ascii="仿宋_GB2312" w:hAnsi="宋体" w:eastAsia="仿宋_GB2312" w:cs="仿宋_GB2312"/>
          <w:i w:val="0"/>
          <w:caps w:val="0"/>
          <w:color w:val="000000"/>
          <w:spacing w:val="0"/>
          <w:sz w:val="32"/>
          <w:szCs w:val="32"/>
          <w:lang w:val="en-US" w:eastAsia="zh-CN"/>
        </w:rPr>
        <w:t>条</w:t>
      </w:r>
      <w:r>
        <w:rPr>
          <w:rFonts w:hint="eastAsia" w:ascii="仿宋_GB2312" w:hAnsi="宋体" w:eastAsia="仿宋_GB2312" w:cs="仿宋_GB2312"/>
          <w:i w:val="0"/>
          <w:caps w:val="0"/>
          <w:color w:val="000000"/>
          <w:spacing w:val="0"/>
          <w:sz w:val="32"/>
          <w:szCs w:val="32"/>
          <w:lang w:eastAsia="zh-CN"/>
        </w:rPr>
        <w:t>；</w:t>
      </w:r>
      <w:r>
        <w:rPr>
          <w:rFonts w:hint="eastAsia" w:ascii="仿宋_GB2312" w:hAnsi="宋体" w:eastAsia="仿宋_GB2312" w:cs="仿宋_GB2312"/>
          <w:i w:val="0"/>
          <w:caps w:val="0"/>
          <w:color w:val="000000"/>
          <w:spacing w:val="0"/>
          <w:sz w:val="32"/>
          <w:szCs w:val="32"/>
        </w:rPr>
        <w:t>撰写政务公开工作稿</w:t>
      </w:r>
      <w:r>
        <w:rPr>
          <w:rFonts w:hint="default" w:ascii="Times New Roman" w:hAnsi="Times New Roman" w:eastAsia="仿宋_GB2312" w:cs="Times New Roman"/>
          <w:i w:val="0"/>
          <w:caps w:val="0"/>
          <w:color w:val="000000"/>
          <w:spacing w:val="0"/>
          <w:sz w:val="32"/>
          <w:szCs w:val="32"/>
          <w:lang w:val="en-US" w:eastAsia="zh-CN"/>
        </w:rPr>
        <w:t>2</w:t>
      </w:r>
      <w:r>
        <w:rPr>
          <w:rFonts w:hint="default" w:ascii="Times New Roman" w:hAnsi="Times New Roman" w:eastAsia="仿宋_GB2312" w:cs="Times New Roman"/>
          <w:i w:val="0"/>
          <w:caps w:val="0"/>
          <w:color w:val="000000"/>
          <w:spacing w:val="0"/>
          <w:sz w:val="32"/>
          <w:szCs w:val="32"/>
        </w:rPr>
        <w:t>5</w:t>
      </w:r>
      <w:r>
        <w:rPr>
          <w:rFonts w:hint="eastAsia" w:ascii="仿宋_GB2312" w:hAnsi="宋体" w:eastAsia="仿宋_GB2312" w:cs="仿宋_GB2312"/>
          <w:i w:val="0"/>
          <w:caps w:val="0"/>
          <w:color w:val="000000"/>
          <w:spacing w:val="0"/>
          <w:sz w:val="32"/>
          <w:szCs w:val="32"/>
        </w:rPr>
        <w:t>篇</w:t>
      </w:r>
      <w:r>
        <w:rPr>
          <w:rFonts w:hint="eastAsia" w:ascii="仿宋_GB2312" w:hAnsi="宋体" w:eastAsia="仿宋_GB2312" w:cs="仿宋_GB2312"/>
          <w:i w:val="0"/>
          <w:caps w:val="0"/>
          <w:color w:val="000000"/>
          <w:spacing w:val="0"/>
          <w:sz w:val="32"/>
          <w:szCs w:val="32"/>
          <w:lang w:eastAsia="zh-CN"/>
        </w:rPr>
        <w:t>。</w:t>
      </w:r>
    </w:p>
    <w:p>
      <w:pPr>
        <w:numPr>
          <w:ilvl w:val="0"/>
          <w:numId w:val="0"/>
        </w:numPr>
        <w:spacing w:line="560" w:lineRule="exact"/>
        <w:rPr>
          <w:rFonts w:ascii="仿宋_GB2312" w:hAnsi="微软雅黑" w:eastAsia="仿宋_GB2312" w:cs="仿宋_GB2312"/>
          <w:i w:val="0"/>
          <w:caps w:val="0"/>
          <w:color w:val="000000"/>
          <w:spacing w:val="0"/>
          <w:sz w:val="31"/>
          <w:szCs w:val="31"/>
          <w:shd w:val="clear" w:fill="FFFFFF"/>
        </w:rPr>
      </w:pPr>
      <w:r>
        <w:rPr>
          <w:rFonts w:hint="eastAsia" w:ascii="仿宋_GB2312" w:hAnsi="宋体" w:eastAsia="仿宋_GB2312" w:cs="仿宋_GB2312"/>
          <w:i w:val="0"/>
          <w:caps w:val="0"/>
          <w:color w:val="000000"/>
          <w:spacing w:val="0"/>
          <w:sz w:val="32"/>
          <w:szCs w:val="32"/>
          <w:lang w:eastAsia="zh-CN"/>
        </w:rPr>
        <w:drawing>
          <wp:anchor distT="0" distB="0" distL="114300" distR="114300" simplePos="0" relativeHeight="251659264" behindDoc="0" locked="0" layoutInCell="1" allowOverlap="1">
            <wp:simplePos x="0" y="0"/>
            <wp:positionH relativeFrom="column">
              <wp:posOffset>-85725</wp:posOffset>
            </wp:positionH>
            <wp:positionV relativeFrom="page">
              <wp:posOffset>962025</wp:posOffset>
            </wp:positionV>
            <wp:extent cx="5269865" cy="2787650"/>
            <wp:effectExtent l="0" t="0" r="6985" b="12700"/>
            <wp:wrapSquare wrapText="bothSides"/>
            <wp:docPr id="6" name="图片 6" descr="lQLPJwDv9IXIZpDNAj_NBD-wkksSgCVSQ5kDtZuDh0DaAA_1087_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QLPJwDv9IXIZpDNAj_NBD-wkksSgCVSQ5kDtZuDh0DaAA_1087_575"/>
                    <pic:cNvPicPr>
                      <a:picLocks noChangeAspect="1"/>
                    </pic:cNvPicPr>
                  </pic:nvPicPr>
                  <pic:blipFill>
                    <a:blip r:embed="rId5"/>
                    <a:stretch>
                      <a:fillRect/>
                    </a:stretch>
                  </pic:blipFill>
                  <pic:spPr>
                    <a:xfrm>
                      <a:off x="0" y="0"/>
                      <a:ext cx="5269865" cy="2787650"/>
                    </a:xfrm>
                    <a:prstGeom prst="rect">
                      <a:avLst/>
                    </a:prstGeom>
                  </pic:spPr>
                </pic:pic>
              </a:graphicData>
            </a:graphic>
          </wp:anchor>
        </w:drawing>
      </w:r>
      <w:r>
        <w:rPr>
          <w:rFonts w:hint="eastAsia" w:ascii="仿宋_GB2312" w:hAnsi="宋体" w:eastAsia="仿宋_GB2312" w:cs="仿宋_GB2312"/>
          <w:i w:val="0"/>
          <w:caps w:val="0"/>
          <w:color w:val="000000"/>
          <w:spacing w:val="0"/>
          <w:sz w:val="32"/>
          <w:szCs w:val="32"/>
          <w:lang w:eastAsia="zh-CN"/>
        </w:rPr>
        <w:drawing>
          <wp:anchor distT="0" distB="0" distL="114300" distR="114300" simplePos="0" relativeHeight="251660288" behindDoc="0" locked="0" layoutInCell="1" allowOverlap="1">
            <wp:simplePos x="0" y="0"/>
            <wp:positionH relativeFrom="column">
              <wp:posOffset>38100</wp:posOffset>
            </wp:positionH>
            <wp:positionV relativeFrom="page">
              <wp:posOffset>4155440</wp:posOffset>
            </wp:positionV>
            <wp:extent cx="4191000" cy="1971675"/>
            <wp:effectExtent l="0" t="0" r="0" b="9525"/>
            <wp:wrapTopAndBottom/>
            <wp:docPr id="7" name="图片 7" descr="lQLPJwTPTc0OoFDNAhbNAbiw3S2PU9jQAEADtZvC2sDvAA_440_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lQLPJwTPTc0OoFDNAhbNAbiw3S2PU9jQAEADtZvC2sDvAA_440_534"/>
                    <pic:cNvPicPr>
                      <a:picLocks noChangeAspect="1"/>
                    </pic:cNvPicPr>
                  </pic:nvPicPr>
                  <pic:blipFill>
                    <a:blip r:embed="rId6"/>
                    <a:srcRect b="61235"/>
                    <a:stretch>
                      <a:fillRect/>
                    </a:stretch>
                  </pic:blipFill>
                  <pic:spPr>
                    <a:xfrm>
                      <a:off x="0" y="0"/>
                      <a:ext cx="4191000" cy="1971675"/>
                    </a:xfrm>
                    <a:prstGeom prst="rect">
                      <a:avLst/>
                    </a:prstGeom>
                  </pic:spPr>
                </pic:pic>
              </a:graphicData>
            </a:graphic>
          </wp:anchor>
        </w:drawing>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 w:leftChars="0" w:right="0" w:firstLine="620" w:firstLineChars="0"/>
        <w:jc w:val="left"/>
        <w:rPr>
          <w:rFonts w:hint="eastAsia" w:ascii="楷体_GB2312" w:eastAsia="楷体_GB2312" w:cs="楷体_GB2312" w:hAnsiTheme="minorHAnsi"/>
          <w:kern w:val="0"/>
          <w:sz w:val="32"/>
          <w:szCs w:val="32"/>
          <w:lang w:val="en-US" w:eastAsia="zh-CN" w:bidi="ar-SA"/>
        </w:rPr>
      </w:pPr>
      <w:r>
        <w:rPr>
          <w:rFonts w:hint="eastAsia" w:ascii="楷体_GB2312" w:eastAsia="楷体_GB2312" w:cs="楷体_GB2312" w:hAnsiTheme="minorHAnsi"/>
          <w:kern w:val="0"/>
          <w:sz w:val="32"/>
          <w:szCs w:val="32"/>
          <w:lang w:val="en-US" w:eastAsia="zh-CN" w:bidi="ar-SA"/>
        </w:rPr>
        <w:t>依申请公开情况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rightChars="0" w:firstLine="640" w:firstLineChars="200"/>
        <w:jc w:val="left"/>
        <w:rPr>
          <w:rFonts w:hint="eastAsia" w:ascii="仿宋_GB2312" w:hAnsi="仿宋_GB2312" w:eastAsia="仿宋_GB2312" w:cs="仿宋_GB2312"/>
          <w:i w:val="0"/>
          <w:caps w:val="0"/>
          <w:color w:val="000000"/>
          <w:spacing w:val="0"/>
          <w:sz w:val="32"/>
          <w:szCs w:val="32"/>
        </w:rPr>
      </w:pPr>
      <w:r>
        <w:rPr>
          <w:rFonts w:hint="default" w:ascii="Times New Roman" w:hAnsi="Times New Roman" w:eastAsia="仿宋_GB2312" w:cs="Times New Roman"/>
          <w:i w:val="0"/>
          <w:caps w:val="0"/>
          <w:color w:val="000000"/>
          <w:spacing w:val="0"/>
          <w:sz w:val="32"/>
          <w:szCs w:val="32"/>
          <w:shd w:val="clear" w:fill="FFFFFF"/>
        </w:rPr>
        <w:t>202</w:t>
      </w:r>
      <w:r>
        <w:rPr>
          <w:rFonts w:hint="default" w:ascii="Times New Roman" w:hAnsi="Times New Roman" w:eastAsia="仿宋_GB2312" w:cs="Times New Roman"/>
          <w:i w:val="0"/>
          <w:caps w:val="0"/>
          <w:color w:val="000000"/>
          <w:spacing w:val="0"/>
          <w:sz w:val="32"/>
          <w:szCs w:val="32"/>
          <w:shd w:val="clear" w:fill="FFFFFF"/>
          <w:lang w:val="en-US" w:eastAsia="zh-CN"/>
        </w:rPr>
        <w:t>1</w:t>
      </w:r>
      <w:r>
        <w:rPr>
          <w:rFonts w:hint="eastAsia" w:ascii="仿宋_GB2312" w:hAnsi="仿宋_GB2312" w:eastAsia="仿宋_GB2312" w:cs="仿宋_GB2312"/>
          <w:i w:val="0"/>
          <w:caps w:val="0"/>
          <w:color w:val="000000"/>
          <w:spacing w:val="0"/>
          <w:sz w:val="32"/>
          <w:szCs w:val="32"/>
          <w:shd w:val="clear" w:fill="FFFFFF"/>
        </w:rPr>
        <w:t>年共受理</w:t>
      </w:r>
      <w:r>
        <w:rPr>
          <w:rFonts w:hint="eastAsia" w:ascii="Times New Roman" w:hAnsi="Times New Roman" w:eastAsia="仿宋_GB2312" w:cs="Times New Roman"/>
          <w:i w:val="0"/>
          <w:caps w:val="0"/>
          <w:color w:val="000000"/>
          <w:spacing w:val="0"/>
          <w:sz w:val="32"/>
          <w:szCs w:val="32"/>
          <w:shd w:val="clear" w:fill="FFFFFF"/>
          <w:lang w:val="en-US" w:eastAsia="zh-CN"/>
        </w:rPr>
        <w:t>0</w:t>
      </w:r>
      <w:r>
        <w:rPr>
          <w:rFonts w:hint="eastAsia" w:ascii="仿宋_GB2312" w:hAnsi="仿宋_GB2312" w:eastAsia="仿宋_GB2312" w:cs="仿宋_GB2312"/>
          <w:i w:val="0"/>
          <w:caps w:val="0"/>
          <w:color w:val="000000"/>
          <w:spacing w:val="0"/>
          <w:sz w:val="32"/>
          <w:szCs w:val="32"/>
          <w:shd w:val="clear" w:fill="FFFFFF"/>
        </w:rPr>
        <w:t>件政府信息公开申请。</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 w:leftChars="0" w:right="0" w:firstLine="620" w:firstLineChars="0"/>
        <w:jc w:val="left"/>
        <w:rPr>
          <w:rFonts w:hint="eastAsia" w:ascii="仿宋_GB2312" w:hAnsi="仿宋_GB2312" w:eastAsia="仿宋_GB2312" w:cs="仿宋_GB2312"/>
          <w:i w:val="0"/>
          <w:caps w:val="0"/>
          <w:color w:val="000000"/>
          <w:spacing w:val="0"/>
          <w:sz w:val="32"/>
          <w:szCs w:val="32"/>
          <w:shd w:val="clear" w:fill="FFFFFF"/>
        </w:rPr>
      </w:pPr>
      <w:r>
        <w:rPr>
          <w:rFonts w:hint="eastAsia" w:ascii="楷体_GB2312" w:eastAsia="楷体_GB2312" w:cs="楷体_GB2312" w:hAnsiTheme="minorHAnsi"/>
          <w:kern w:val="0"/>
          <w:sz w:val="32"/>
          <w:szCs w:val="32"/>
          <w:lang w:val="en-US" w:eastAsia="zh-CN" w:bidi="ar-SA"/>
        </w:rPr>
        <w:t>政府信息管理情况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leftChars="0" w:right="0" w:rightChars="0" w:firstLine="640" w:firstLineChars="200"/>
        <w:textAlignment w:val="auto"/>
        <w:rPr>
          <w:rFonts w:hint="eastAsia" w:ascii="仿宋_GB2312" w:hAnsi="宋体" w:eastAsia="仿宋_GB2312" w:cs="仿宋_GB2312"/>
          <w:i w:val="0"/>
          <w:caps w:val="0"/>
          <w:color w:val="000000"/>
          <w:spacing w:val="0"/>
          <w:kern w:val="2"/>
          <w:sz w:val="32"/>
          <w:szCs w:val="32"/>
          <w:lang w:val="en-US" w:eastAsia="zh-CN" w:bidi="ar-SA"/>
        </w:rPr>
      </w:pPr>
      <w:r>
        <w:rPr>
          <w:rFonts w:hint="eastAsia" w:ascii="仿宋_GB2312" w:hAnsi="宋体" w:eastAsia="仿宋_GB2312" w:cs="仿宋_GB2312"/>
          <w:i w:val="0"/>
          <w:caps w:val="0"/>
          <w:color w:val="000000"/>
          <w:spacing w:val="0"/>
          <w:kern w:val="2"/>
          <w:sz w:val="32"/>
          <w:szCs w:val="32"/>
          <w:lang w:val="en-US" w:eastAsia="zh-CN" w:bidi="ar-SA"/>
        </w:rPr>
        <w:t>一是加强组织领导。明确政务公开的内容、形式和制度，由街道主要领导亲自抓，分管负责人具体抓，具办人员落实。要求各部门协调配合，及时提供相关信息，形成“一级抓一级，层层抓落实”的工作格局。二是严格把关审查。对拟公开的信息先审后发，严把政治关、法律关、政策关、保密关、文字关，确保信息发布的权威性、安全性和公信力，坚决杜绝信息更新不及时、发布存在严重表述错误等问题的发生。三是紧盯重点领域。及时发布更新政策文件解读、重大决策公开、安全生产、民政各项救助资金公示、民生热点问题回应等重点领域内容，确保政府权力运行公开透明。</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 w:leftChars="0" w:right="0" w:firstLine="620" w:firstLineChars="0"/>
        <w:jc w:val="left"/>
        <w:rPr>
          <w:rFonts w:hint="eastAsia" w:ascii="楷体_GB2312" w:eastAsia="楷体_GB2312" w:cs="楷体_GB2312" w:hAnsiTheme="minorHAnsi"/>
          <w:kern w:val="0"/>
          <w:sz w:val="32"/>
          <w:szCs w:val="32"/>
          <w:lang w:val="en-US" w:eastAsia="zh-CN" w:bidi="ar-SA"/>
        </w:rPr>
      </w:pPr>
      <w:r>
        <w:rPr>
          <w:rFonts w:hint="eastAsia" w:ascii="楷体_GB2312" w:eastAsia="楷体_GB2312" w:cs="楷体_GB2312" w:hAnsiTheme="minorHAnsi"/>
          <w:kern w:val="0"/>
          <w:sz w:val="32"/>
          <w:szCs w:val="32"/>
          <w:lang w:val="en-US" w:eastAsia="zh-CN" w:bidi="ar-SA"/>
        </w:rPr>
        <w:t>政府信息公开平台建设情况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leftChars="0" w:right="0" w:rightChars="0" w:firstLine="640" w:firstLineChars="200"/>
        <w:jc w:val="left"/>
        <w:textAlignment w:val="auto"/>
        <w:rPr>
          <w:rFonts w:hint="eastAsia" w:ascii="仿宋_GB2312" w:hAnsi="微软雅黑"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32"/>
          <w:szCs w:val="32"/>
          <w:shd w:val="clear" w:fill="FFFFFF"/>
          <w:lang w:val="en-US" w:eastAsia="zh-CN"/>
        </w:rPr>
        <w:t>一是</w:t>
      </w:r>
      <w:r>
        <w:rPr>
          <w:rFonts w:ascii="仿宋_GB2312" w:hAnsi="宋体" w:eastAsia="仿宋_GB2312" w:cs="仿宋_GB2312"/>
          <w:i w:val="0"/>
          <w:iCs w:val="0"/>
          <w:caps w:val="0"/>
          <w:color w:val="333333"/>
          <w:spacing w:val="0"/>
          <w:sz w:val="31"/>
          <w:szCs w:val="31"/>
          <w:shd w:val="clear" w:fill="FFFFFF"/>
        </w:rPr>
        <w:t>对政务公开网站实行常态化管理，明确专人负责发布与维护各个领域相关信息，对无发布内容的栏目及时发布情况说明，确保网站内容发布准确、权威、及时、便民</w:t>
      </w:r>
      <w:r>
        <w:rPr>
          <w:rFonts w:hint="eastAsia" w:ascii="仿宋_GB2312" w:eastAsia="仿宋_GB2312" w:cs="仿宋_GB2312"/>
          <w:i w:val="0"/>
          <w:iCs w:val="0"/>
          <w:caps w:val="0"/>
          <w:color w:val="333333"/>
          <w:spacing w:val="0"/>
          <w:sz w:val="31"/>
          <w:szCs w:val="31"/>
          <w:shd w:val="clear" w:fill="FFFFFF"/>
          <w:lang w:eastAsia="zh-CN"/>
        </w:rPr>
        <w:t>；</w:t>
      </w:r>
      <w:r>
        <w:rPr>
          <w:rFonts w:hint="eastAsia" w:ascii="仿宋_GB2312" w:eastAsia="仿宋_GB2312" w:cs="仿宋_GB2312"/>
          <w:i w:val="0"/>
          <w:iCs w:val="0"/>
          <w:caps w:val="0"/>
          <w:color w:val="333333"/>
          <w:spacing w:val="0"/>
          <w:sz w:val="31"/>
          <w:szCs w:val="31"/>
          <w:shd w:val="clear" w:fill="FFFFFF"/>
          <w:lang w:val="en-US" w:eastAsia="zh-CN"/>
        </w:rPr>
        <w:t>二</w:t>
      </w:r>
      <w:r>
        <w:rPr>
          <w:rFonts w:hint="eastAsia" w:ascii="仿宋_GB2312" w:hAnsi="仿宋_GB2312" w:eastAsia="仿宋_GB2312" w:cs="仿宋_GB2312"/>
          <w:i w:val="0"/>
          <w:iCs w:val="0"/>
          <w:caps w:val="0"/>
          <w:color w:val="000000"/>
          <w:spacing w:val="0"/>
          <w:sz w:val="32"/>
          <w:szCs w:val="32"/>
          <w:shd w:val="clear" w:fill="FFFFFF"/>
        </w:rPr>
        <w:t>是利用线下公示栏、</w:t>
      </w:r>
      <w:r>
        <w:rPr>
          <w:rFonts w:hint="default" w:ascii="Times New Roman" w:hAnsi="Times New Roman" w:eastAsia="仿宋_GB2312" w:cs="Times New Roman"/>
          <w:i w:val="0"/>
          <w:iCs w:val="0"/>
          <w:caps w:val="0"/>
          <w:color w:val="000000"/>
          <w:spacing w:val="0"/>
          <w:sz w:val="32"/>
          <w:szCs w:val="32"/>
          <w:shd w:val="clear" w:fill="FFFFFF"/>
        </w:rPr>
        <w:t>LED</w:t>
      </w:r>
      <w:r>
        <w:rPr>
          <w:rFonts w:hint="eastAsia" w:ascii="仿宋_GB2312" w:hAnsi="仿宋_GB2312" w:eastAsia="仿宋_GB2312" w:cs="仿宋_GB2312"/>
          <w:i w:val="0"/>
          <w:iCs w:val="0"/>
          <w:caps w:val="0"/>
          <w:color w:val="000000"/>
          <w:spacing w:val="0"/>
          <w:sz w:val="32"/>
          <w:szCs w:val="32"/>
          <w:shd w:val="clear" w:fill="FFFFFF"/>
        </w:rPr>
        <w:t>显示屏，</w:t>
      </w:r>
      <w:r>
        <w:rPr>
          <w:rFonts w:hint="eastAsia" w:ascii="仿宋_GB2312" w:hAnsi="仿宋_GB2312" w:eastAsia="仿宋_GB2312" w:cs="仿宋_GB2312"/>
          <w:i w:val="0"/>
          <w:iCs w:val="0"/>
          <w:caps w:val="0"/>
          <w:color w:val="000000"/>
          <w:spacing w:val="0"/>
          <w:sz w:val="32"/>
          <w:szCs w:val="32"/>
          <w:shd w:val="clear" w:fill="FFFFFF"/>
          <w:lang w:val="en-US" w:eastAsia="zh-CN"/>
        </w:rPr>
        <w:t>“齐陵”公众号、“齐陵印迹”</w:t>
      </w:r>
      <w:r>
        <w:rPr>
          <w:rFonts w:hint="eastAsia" w:ascii="仿宋_GB2312" w:hAnsi="仿宋_GB2312" w:eastAsia="仿宋_GB2312" w:cs="仿宋_GB2312"/>
          <w:i w:val="0"/>
          <w:iCs w:val="0"/>
          <w:caps w:val="0"/>
          <w:color w:val="000000"/>
          <w:spacing w:val="0"/>
          <w:sz w:val="32"/>
          <w:szCs w:val="32"/>
          <w:shd w:val="clear" w:fill="FFFFFF"/>
        </w:rPr>
        <w:t>视频号等新媒体及时发布政府工作动态，加大宣传力度。</w:t>
      </w:r>
      <w:r>
        <w:rPr>
          <w:rFonts w:hint="eastAsia" w:ascii="仿宋_GB2312" w:hAnsi="微软雅黑" w:eastAsia="仿宋_GB2312" w:cs="仿宋_GB2312"/>
          <w:i w:val="0"/>
          <w:caps w:val="0"/>
          <w:color w:val="000000"/>
          <w:spacing w:val="0"/>
          <w:sz w:val="32"/>
          <w:szCs w:val="32"/>
          <w:shd w:val="clear" w:fill="FFFFFF"/>
          <w:lang w:eastAsia="zh-CN"/>
        </w:rPr>
        <w:drawing>
          <wp:inline distT="0" distB="0" distL="114300" distR="114300">
            <wp:extent cx="5264785" cy="3083560"/>
            <wp:effectExtent l="0" t="0" r="12065" b="2540"/>
            <wp:docPr id="2" name="图片 2" descr="1673574904603_4CE71FB8-B403-49a1-B85E-1E7EFC0174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3574904603_4CE71FB8-B403-49a1-B85E-1E7EFC0174EB"/>
                    <pic:cNvPicPr>
                      <a:picLocks noChangeAspect="1"/>
                    </pic:cNvPicPr>
                  </pic:nvPicPr>
                  <pic:blipFill>
                    <a:blip r:embed="rId7"/>
                    <a:stretch>
                      <a:fillRect/>
                    </a:stretch>
                  </pic:blipFill>
                  <pic:spPr>
                    <a:xfrm>
                      <a:off x="0" y="0"/>
                      <a:ext cx="5264785" cy="3083560"/>
                    </a:xfrm>
                    <a:prstGeom prst="rect">
                      <a:avLst/>
                    </a:prstGeom>
                  </pic:spPr>
                </pic:pic>
              </a:graphicData>
            </a:graphic>
          </wp:inline>
        </w:drawing>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640" w:leftChars="0" w:right="0" w:rightChars="0"/>
        <w:jc w:val="left"/>
        <w:rPr>
          <w:rFonts w:hint="default" w:ascii="楷体_GB2312" w:eastAsia="楷体_GB2312" w:cs="楷体_GB2312" w:hAnsiTheme="minorHAnsi"/>
          <w:kern w:val="0"/>
          <w:sz w:val="32"/>
          <w:szCs w:val="32"/>
          <w:lang w:val="en-US" w:eastAsia="zh-CN" w:bidi="ar-SA"/>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楷体_GB2312" w:eastAsia="楷体_GB2312" w:cs="楷体_GB2312" w:hAnsiTheme="minorHAnsi"/>
          <w:kern w:val="0"/>
          <w:sz w:val="32"/>
          <w:szCs w:val="32"/>
          <w:lang w:val="en-US" w:eastAsia="zh-CN" w:bidi="ar-SA"/>
        </w:rPr>
        <w:t>监督保障情况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leftChars="0" w:right="0" w:rightChars="0" w:firstLine="620" w:firstLineChars="200"/>
        <w:jc w:val="left"/>
        <w:textAlignment w:val="auto"/>
        <w:rPr>
          <w:rFonts w:hint="eastAsia" w:ascii="仿宋_GB2312" w:hAnsi="仿宋_GB2312" w:eastAsia="仿宋_GB2312" w:cs="仿宋_GB2312"/>
          <w:i w:val="0"/>
          <w:caps w:val="0"/>
          <w:color w:val="000000"/>
          <w:spacing w:val="0"/>
          <w:sz w:val="32"/>
          <w:szCs w:val="32"/>
          <w:lang w:eastAsia="zh-CN"/>
        </w:rPr>
      </w:pPr>
      <w:r>
        <w:rPr>
          <w:rFonts w:ascii="仿宋_GB2312" w:hAnsi="宋体" w:eastAsia="仿宋_GB2312" w:cs="仿宋_GB2312"/>
          <w:i w:val="0"/>
          <w:iCs w:val="0"/>
          <w:caps w:val="0"/>
          <w:color w:val="333333"/>
          <w:spacing w:val="0"/>
          <w:sz w:val="31"/>
          <w:szCs w:val="31"/>
          <w:shd w:val="clear" w:fill="FFFFFF"/>
        </w:rPr>
        <w:t>一是健全工作机制，由专人负责政务公开门户网站的维护工作，每日自查，重点关注依申请公开受理每日更新情况，重点信息每月按时更新，确保信息公开及时。</w:t>
      </w:r>
      <w:r>
        <w:rPr>
          <w:rFonts w:hint="eastAsia" w:ascii="仿宋_GB2312" w:hAnsi="宋体" w:eastAsia="仿宋_GB2312" w:cs="仿宋_GB2312"/>
          <w:i w:val="0"/>
          <w:iCs w:val="0"/>
          <w:caps w:val="0"/>
          <w:color w:val="333333"/>
          <w:spacing w:val="0"/>
          <w:sz w:val="31"/>
          <w:szCs w:val="31"/>
          <w:shd w:val="clear" w:fill="FFFFFF"/>
          <w:lang w:val="en-US" w:eastAsia="zh-CN"/>
        </w:rPr>
        <w:t>二</w:t>
      </w:r>
      <w:r>
        <w:rPr>
          <w:rFonts w:hint="eastAsia" w:ascii="仿宋_GB2312" w:hAnsi="宋体" w:eastAsia="仿宋_GB2312" w:cs="仿宋_GB2312"/>
          <w:i w:val="0"/>
          <w:iCs w:val="0"/>
          <w:caps w:val="0"/>
          <w:color w:val="333333"/>
          <w:spacing w:val="0"/>
          <w:sz w:val="31"/>
          <w:szCs w:val="31"/>
          <w:shd w:val="clear" w:fill="FFFFFF"/>
        </w:rPr>
        <w:t>是组织各</w:t>
      </w:r>
      <w:r>
        <w:rPr>
          <w:rFonts w:hint="eastAsia" w:ascii="仿宋_GB2312" w:hAnsi="宋体" w:eastAsia="仿宋_GB2312" w:cs="仿宋_GB2312"/>
          <w:i w:val="0"/>
          <w:iCs w:val="0"/>
          <w:caps w:val="0"/>
          <w:color w:val="333333"/>
          <w:spacing w:val="0"/>
          <w:sz w:val="31"/>
          <w:szCs w:val="31"/>
          <w:shd w:val="clear" w:fill="FFFFFF"/>
          <w:lang w:val="en-US" w:eastAsia="zh-CN"/>
        </w:rPr>
        <w:t>委办</w:t>
      </w:r>
      <w:r>
        <w:rPr>
          <w:rFonts w:hint="eastAsia" w:ascii="仿宋_GB2312" w:hAnsi="宋体" w:eastAsia="仿宋_GB2312" w:cs="仿宋_GB2312"/>
          <w:i w:val="0"/>
          <w:iCs w:val="0"/>
          <w:caps w:val="0"/>
          <w:color w:val="333333"/>
          <w:spacing w:val="0"/>
          <w:sz w:val="31"/>
          <w:szCs w:val="31"/>
          <w:shd w:val="clear" w:fill="FFFFFF"/>
        </w:rPr>
        <w:t>负责政务信息公开人员开展培训，按时传达上级最新政策，确保政府信息公开工作的顺利开展。强化考核机制，按季度开展考核自查，坚持自查与他查相结合，提高政府信息公开质量。</w:t>
      </w:r>
      <w:r>
        <w:rPr>
          <w:rFonts w:hint="eastAsia" w:ascii="仿宋_GB2312" w:hAnsi="宋体" w:eastAsia="仿宋_GB2312" w:cs="仿宋_GB2312"/>
          <w:i w:val="0"/>
          <w:iCs w:val="0"/>
          <w:caps w:val="0"/>
          <w:color w:val="333333"/>
          <w:spacing w:val="0"/>
          <w:sz w:val="31"/>
          <w:szCs w:val="31"/>
          <w:shd w:val="clear" w:fill="FFFFFF"/>
          <w:lang w:val="en-US" w:eastAsia="zh-CN"/>
        </w:rPr>
        <w:t>三</w:t>
      </w:r>
      <w:r>
        <w:rPr>
          <w:rFonts w:hint="eastAsia" w:ascii="仿宋_GB2312" w:hAnsi="宋体" w:eastAsia="仿宋_GB2312" w:cs="仿宋_GB2312"/>
          <w:i w:val="0"/>
          <w:iCs w:val="0"/>
          <w:caps w:val="0"/>
          <w:color w:val="333333"/>
          <w:spacing w:val="0"/>
          <w:sz w:val="31"/>
          <w:szCs w:val="31"/>
          <w:shd w:val="clear" w:fill="FFFFFF"/>
        </w:rPr>
        <w:t>是及时整改上报反馈政务公开测评问题，抓好政务信息常态化公开，保证数量、追求质量。</w:t>
      </w:r>
    </w:p>
    <w:p>
      <w:pPr>
        <w:ind w:firstLine="648"/>
        <w:rPr>
          <w:rFonts w:ascii="黑体" w:hAnsi="黑体" w:eastAsia="黑体"/>
          <w:sz w:val="32"/>
          <w:szCs w:val="32"/>
        </w:rPr>
      </w:pPr>
      <w:r>
        <w:rPr>
          <w:rFonts w:hint="eastAsia" w:ascii="黑体" w:hAnsi="黑体" w:eastAsia="黑体"/>
          <w:sz w:val="32"/>
          <w:szCs w:val="32"/>
        </w:rPr>
        <w:t>二、主动公开政府信息情况</w:t>
      </w:r>
    </w:p>
    <w:p>
      <w:pPr>
        <w:spacing w:before="9"/>
        <w:jc w:val="left"/>
        <w:rPr>
          <w:rFonts w:ascii="宋体" w:hAnsi="宋体" w:eastAsia="宋体" w:cs="宋体"/>
          <w:kern w:val="0"/>
          <w:szCs w:val="21"/>
        </w:rPr>
      </w:pPr>
    </w:p>
    <w:tbl>
      <w:tblPr>
        <w:tblStyle w:val="11"/>
        <w:tblW w:w="8124" w:type="dxa"/>
        <w:tblInd w:w="106" w:type="dxa"/>
        <w:tblLayout w:type="fixed"/>
        <w:tblCellMar>
          <w:top w:w="0" w:type="dxa"/>
          <w:left w:w="0" w:type="dxa"/>
          <w:bottom w:w="0" w:type="dxa"/>
          <w:right w:w="0" w:type="dxa"/>
        </w:tblCellMar>
      </w:tblPr>
      <w:tblGrid>
        <w:gridCol w:w="3284"/>
        <w:gridCol w:w="1686"/>
        <w:gridCol w:w="1803"/>
        <w:gridCol w:w="1351"/>
      </w:tblGrid>
      <w:tr>
        <w:tblPrEx>
          <w:tblCellMar>
            <w:top w:w="0" w:type="dxa"/>
            <w:left w:w="0" w:type="dxa"/>
            <w:bottom w:w="0" w:type="dxa"/>
            <w:right w:w="0" w:type="dxa"/>
          </w:tblCellMar>
        </w:tblPrEx>
        <w:trPr>
          <w:trHeight w:val="621" w:hRule="exact"/>
        </w:trPr>
        <w:tc>
          <w:tcPr>
            <w:tcW w:w="8124" w:type="dxa"/>
            <w:gridSpan w:val="4"/>
            <w:tcBorders>
              <w:top w:val="single" w:color="2B283F" w:sz="8" w:space="0"/>
              <w:left w:val="single" w:color="3B3B44" w:sz="6" w:space="0"/>
              <w:bottom w:val="single" w:color="64647C" w:sz="4" w:space="0"/>
              <w:right w:val="single" w:color="3B3B44" w:sz="8" w:space="0"/>
            </w:tcBorders>
          </w:tcPr>
          <w:p>
            <w:pPr>
              <w:tabs>
                <w:tab w:val="left" w:pos="1048"/>
              </w:tabs>
              <w:spacing w:before="142"/>
              <w:ind w:left="-1" w:right="1"/>
              <w:jc w:val="center"/>
              <w:rPr>
                <w:sz w:val="21"/>
                <w:lang w:eastAsia="zh-CN"/>
              </w:rPr>
            </w:pPr>
            <w:r>
              <w:rPr>
                <w:sz w:val="21"/>
                <w:lang w:eastAsia="zh-CN"/>
              </w:rPr>
              <w:t>第二十条</w:t>
            </w:r>
            <w:r>
              <w:rPr>
                <w:sz w:val="21"/>
                <w:lang w:eastAsia="zh-CN"/>
              </w:rPr>
              <w:tab/>
            </w:r>
            <w:r>
              <w:rPr>
                <w:sz w:val="21"/>
                <w:lang w:eastAsia="zh-CN"/>
              </w:rPr>
              <w:t>第 （一</w:t>
            </w:r>
            <w:r>
              <w:rPr>
                <w:rFonts w:hint="eastAsia"/>
                <w:sz w:val="21"/>
                <w:lang w:eastAsia="zh-CN"/>
              </w:rPr>
              <w:t>）</w:t>
            </w:r>
            <w:r>
              <w:rPr>
                <w:sz w:val="21"/>
                <w:lang w:eastAsia="zh-CN"/>
              </w:rPr>
              <w:t xml:space="preserve"> 项</w:t>
            </w:r>
          </w:p>
        </w:tc>
      </w:tr>
      <w:tr>
        <w:tblPrEx>
          <w:tblCellMar>
            <w:top w:w="0" w:type="dxa"/>
            <w:left w:w="0" w:type="dxa"/>
            <w:bottom w:w="0" w:type="dxa"/>
            <w:right w:w="0" w:type="dxa"/>
          </w:tblCellMar>
        </w:tblPrEx>
        <w:trPr>
          <w:trHeight w:val="616" w:hRule="exact"/>
        </w:trPr>
        <w:tc>
          <w:tcPr>
            <w:tcW w:w="3284" w:type="dxa"/>
            <w:tcBorders>
              <w:top w:val="single" w:color="64647C" w:sz="4" w:space="0"/>
              <w:left w:val="single" w:color="3B3B44" w:sz="6" w:space="0"/>
              <w:bottom w:val="single" w:color="707790" w:sz="4" w:space="0"/>
              <w:right w:val="single" w:color="7C7C83" w:sz="4" w:space="0"/>
            </w:tcBorders>
          </w:tcPr>
          <w:p>
            <w:pPr>
              <w:spacing w:before="135"/>
              <w:ind w:right="27"/>
              <w:jc w:val="center"/>
              <w:rPr>
                <w:sz w:val="21"/>
                <w:lang w:eastAsia="zh-CN"/>
              </w:rPr>
            </w:pPr>
            <w:r>
              <w:rPr>
                <w:sz w:val="21"/>
                <w:lang w:eastAsia="zh-CN"/>
              </w:rPr>
              <w:t>信息内容</w:t>
            </w:r>
          </w:p>
        </w:tc>
        <w:tc>
          <w:tcPr>
            <w:tcW w:w="1686" w:type="dxa"/>
            <w:tcBorders>
              <w:top w:val="single" w:color="64647C" w:sz="4" w:space="0"/>
              <w:left w:val="single" w:color="7C7C83" w:sz="4" w:space="0"/>
              <w:bottom w:val="single" w:color="707790" w:sz="4" w:space="0"/>
              <w:right w:val="single" w:color="777780" w:sz="4" w:space="0"/>
            </w:tcBorders>
          </w:tcPr>
          <w:p>
            <w:pPr>
              <w:spacing w:before="135"/>
              <w:ind w:left="216"/>
              <w:jc w:val="left"/>
              <w:rPr>
                <w:sz w:val="21"/>
                <w:lang w:eastAsia="zh-CN"/>
              </w:rPr>
            </w:pPr>
            <w:r>
              <w:rPr>
                <w:sz w:val="21"/>
                <w:lang w:eastAsia="zh-CN"/>
              </w:rPr>
              <w:t>本年制发件数</w:t>
            </w:r>
          </w:p>
        </w:tc>
        <w:tc>
          <w:tcPr>
            <w:tcW w:w="1803" w:type="dxa"/>
            <w:tcBorders>
              <w:top w:val="single" w:color="64647C" w:sz="4" w:space="0"/>
              <w:left w:val="single" w:color="777780" w:sz="4" w:space="0"/>
              <w:bottom w:val="single" w:color="835B67" w:sz="4" w:space="0"/>
              <w:right w:val="single" w:color="606064" w:sz="2" w:space="0"/>
            </w:tcBorders>
          </w:tcPr>
          <w:p>
            <w:pPr>
              <w:spacing w:before="135"/>
              <w:ind w:left="275"/>
              <w:jc w:val="left"/>
              <w:rPr>
                <w:sz w:val="21"/>
                <w:lang w:eastAsia="zh-CN"/>
              </w:rPr>
            </w:pPr>
            <w:r>
              <w:rPr>
                <w:sz w:val="21"/>
                <w:lang w:eastAsia="zh-CN"/>
              </w:rPr>
              <w:t>本年废止件数</w:t>
            </w:r>
          </w:p>
        </w:tc>
        <w:tc>
          <w:tcPr>
            <w:tcW w:w="1351" w:type="dxa"/>
            <w:tcBorders>
              <w:top w:val="single" w:color="64647C" w:sz="4" w:space="0"/>
              <w:left w:val="single" w:color="606064" w:sz="2" w:space="0"/>
              <w:bottom w:val="single" w:color="835B67" w:sz="4" w:space="0"/>
              <w:right w:val="single" w:color="3B3B44" w:sz="8" w:space="0"/>
            </w:tcBorders>
          </w:tcPr>
          <w:p>
            <w:pPr>
              <w:spacing w:before="130"/>
              <w:jc w:val="center"/>
              <w:rPr>
                <w:sz w:val="21"/>
                <w:lang w:eastAsia="zh-CN"/>
              </w:rPr>
            </w:pPr>
            <w:r>
              <w:rPr>
                <w:sz w:val="21"/>
                <w:lang w:eastAsia="zh-CN"/>
              </w:rPr>
              <w:t>现行有效件数</w:t>
            </w:r>
          </w:p>
        </w:tc>
      </w:tr>
      <w:tr>
        <w:tblPrEx>
          <w:tblCellMar>
            <w:top w:w="0" w:type="dxa"/>
            <w:left w:w="0" w:type="dxa"/>
            <w:bottom w:w="0" w:type="dxa"/>
            <w:right w:w="0" w:type="dxa"/>
          </w:tblCellMar>
        </w:tblPrEx>
        <w:trPr>
          <w:trHeight w:val="628" w:hRule="exact"/>
        </w:trPr>
        <w:tc>
          <w:tcPr>
            <w:tcW w:w="3284" w:type="dxa"/>
            <w:tcBorders>
              <w:top w:val="single" w:color="707790" w:sz="4" w:space="0"/>
              <w:left w:val="single" w:color="3B3B44" w:sz="6" w:space="0"/>
              <w:bottom w:val="single" w:color="747487" w:sz="4" w:space="0"/>
              <w:right w:val="single" w:color="97979C" w:sz="4" w:space="0"/>
            </w:tcBorders>
          </w:tcPr>
          <w:p>
            <w:pPr>
              <w:spacing w:before="147"/>
              <w:ind w:left="93"/>
              <w:jc w:val="left"/>
              <w:rPr>
                <w:sz w:val="21"/>
                <w:lang w:eastAsia="zh-CN"/>
              </w:rPr>
            </w:pPr>
            <w:r>
              <w:rPr>
                <w:sz w:val="21"/>
                <w:lang w:eastAsia="zh-CN"/>
              </w:rPr>
              <w:t>规章</w:t>
            </w:r>
          </w:p>
        </w:tc>
        <w:tc>
          <w:tcPr>
            <w:tcW w:w="1686" w:type="dxa"/>
            <w:tcBorders>
              <w:top w:val="single" w:color="707790" w:sz="4" w:space="0"/>
              <w:left w:val="single" w:color="97979C" w:sz="4" w:space="0"/>
              <w:bottom w:val="single" w:color="747487" w:sz="4" w:space="0"/>
              <w:right w:val="single" w:color="939397" w:sz="4" w:space="0"/>
            </w:tcBorders>
            <w:vAlign w:val="center"/>
          </w:tcPr>
          <w:p>
            <w:pPr>
              <w:jc w:val="center"/>
              <w:rPr>
                <w:rFonts w:hint="default"/>
                <w:sz w:val="21"/>
                <w:lang w:val="en-US" w:eastAsia="zh-CN"/>
              </w:rPr>
            </w:pPr>
            <w:r>
              <w:rPr>
                <w:rFonts w:hint="eastAsia"/>
                <w:sz w:val="21"/>
                <w:lang w:val="en-US" w:eastAsia="zh-CN"/>
              </w:rPr>
              <w:t>0</w:t>
            </w:r>
          </w:p>
        </w:tc>
        <w:tc>
          <w:tcPr>
            <w:tcW w:w="1803" w:type="dxa"/>
            <w:tcBorders>
              <w:top w:val="single" w:color="835B67" w:sz="4" w:space="0"/>
              <w:left w:val="single" w:color="939397" w:sz="4" w:space="0"/>
              <w:bottom w:val="single" w:color="546080" w:sz="2" w:space="0"/>
              <w:right w:val="single" w:color="97939C" w:sz="4" w:space="0"/>
            </w:tcBorders>
            <w:vAlign w:val="center"/>
          </w:tcPr>
          <w:p>
            <w:pPr>
              <w:jc w:val="center"/>
              <w:rPr>
                <w:rFonts w:hint="default"/>
                <w:sz w:val="21"/>
                <w:lang w:val="en-US" w:eastAsia="zh-CN"/>
              </w:rPr>
            </w:pPr>
            <w:r>
              <w:rPr>
                <w:rFonts w:hint="eastAsia"/>
                <w:sz w:val="21"/>
                <w:lang w:val="en-US" w:eastAsia="zh-CN"/>
              </w:rPr>
              <w:t>0</w:t>
            </w:r>
          </w:p>
        </w:tc>
        <w:tc>
          <w:tcPr>
            <w:tcW w:w="1351" w:type="dxa"/>
            <w:tcBorders>
              <w:top w:val="single" w:color="835B67" w:sz="4" w:space="0"/>
              <w:left w:val="single" w:color="97939C" w:sz="4" w:space="0"/>
              <w:bottom w:val="single" w:color="74778C" w:sz="4" w:space="0"/>
              <w:right w:val="single" w:color="3B3B3F" w:sz="8" w:space="0"/>
            </w:tcBorders>
            <w:vAlign w:val="center"/>
          </w:tcPr>
          <w:p>
            <w:pPr>
              <w:jc w:val="center"/>
              <w:rPr>
                <w:rFonts w:hint="default"/>
                <w:sz w:val="21"/>
                <w:lang w:val="en-US" w:eastAsia="zh-CN"/>
              </w:rPr>
            </w:pPr>
            <w:r>
              <w:rPr>
                <w:rFonts w:hint="eastAsia"/>
                <w:sz w:val="21"/>
                <w:lang w:val="en-US" w:eastAsia="zh-CN"/>
              </w:rPr>
              <w:t>0</w:t>
            </w:r>
          </w:p>
        </w:tc>
      </w:tr>
      <w:tr>
        <w:tblPrEx>
          <w:tblCellMar>
            <w:top w:w="0" w:type="dxa"/>
            <w:left w:w="0" w:type="dxa"/>
            <w:bottom w:w="0" w:type="dxa"/>
            <w:right w:w="0" w:type="dxa"/>
          </w:tblCellMar>
        </w:tblPrEx>
        <w:trPr>
          <w:trHeight w:val="621" w:hRule="exact"/>
        </w:trPr>
        <w:tc>
          <w:tcPr>
            <w:tcW w:w="3284" w:type="dxa"/>
            <w:tcBorders>
              <w:top w:val="single" w:color="747487" w:sz="4" w:space="0"/>
              <w:left w:val="single" w:color="3B3B44" w:sz="6" w:space="0"/>
              <w:bottom w:val="single" w:color="5B6080" w:sz="4" w:space="0"/>
              <w:right w:val="single" w:color="97979C" w:sz="4" w:space="0"/>
            </w:tcBorders>
          </w:tcPr>
          <w:p>
            <w:pPr>
              <w:spacing w:before="138"/>
              <w:ind w:left="93"/>
              <w:jc w:val="left"/>
              <w:rPr>
                <w:sz w:val="21"/>
                <w:lang w:eastAsia="zh-CN"/>
              </w:rPr>
            </w:pPr>
            <w:r>
              <w:rPr>
                <w:sz w:val="21"/>
                <w:lang w:eastAsia="zh-CN"/>
              </w:rPr>
              <w:t>行政规范性文件</w:t>
            </w:r>
          </w:p>
        </w:tc>
        <w:tc>
          <w:tcPr>
            <w:tcW w:w="1686" w:type="dxa"/>
            <w:tcBorders>
              <w:top w:val="single" w:color="747487" w:sz="4" w:space="0"/>
              <w:left w:val="single" w:color="97979C" w:sz="4" w:space="0"/>
              <w:bottom w:val="single" w:color="5B6080" w:sz="4" w:space="0"/>
              <w:right w:val="single" w:color="939397" w:sz="4" w:space="0"/>
            </w:tcBorders>
            <w:vAlign w:val="center"/>
          </w:tcPr>
          <w:p>
            <w:pPr>
              <w:jc w:val="center"/>
              <w:rPr>
                <w:rFonts w:hint="default"/>
                <w:sz w:val="21"/>
                <w:lang w:val="en-US" w:eastAsia="zh-CN"/>
              </w:rPr>
            </w:pPr>
            <w:r>
              <w:rPr>
                <w:rFonts w:hint="eastAsia"/>
                <w:sz w:val="21"/>
                <w:lang w:val="en-US" w:eastAsia="zh-CN"/>
              </w:rPr>
              <w:t>0</w:t>
            </w:r>
          </w:p>
        </w:tc>
        <w:tc>
          <w:tcPr>
            <w:tcW w:w="1803" w:type="dxa"/>
            <w:tcBorders>
              <w:top w:val="single" w:color="546080" w:sz="2" w:space="0"/>
              <w:left w:val="single" w:color="939397" w:sz="4" w:space="0"/>
              <w:bottom w:val="single" w:color="5B6080" w:sz="4" w:space="0"/>
              <w:right w:val="single" w:color="97939C" w:sz="4" w:space="0"/>
            </w:tcBorders>
            <w:vAlign w:val="center"/>
          </w:tcPr>
          <w:p>
            <w:pPr>
              <w:jc w:val="center"/>
              <w:rPr>
                <w:rFonts w:hint="default"/>
                <w:sz w:val="21"/>
                <w:lang w:val="en-US" w:eastAsia="zh-CN"/>
              </w:rPr>
            </w:pPr>
            <w:r>
              <w:rPr>
                <w:rFonts w:hint="eastAsia"/>
                <w:sz w:val="21"/>
                <w:lang w:val="en-US" w:eastAsia="zh-CN"/>
              </w:rPr>
              <w:t>0</w:t>
            </w:r>
          </w:p>
        </w:tc>
        <w:tc>
          <w:tcPr>
            <w:tcW w:w="1351" w:type="dxa"/>
            <w:tcBorders>
              <w:top w:val="single" w:color="74778C" w:sz="4" w:space="0"/>
              <w:left w:val="single" w:color="97939C" w:sz="4" w:space="0"/>
              <w:bottom w:val="single" w:color="5B6080" w:sz="4" w:space="0"/>
              <w:right w:val="single" w:color="3B3B3F" w:sz="8" w:space="0"/>
            </w:tcBorders>
            <w:vAlign w:val="center"/>
          </w:tcPr>
          <w:p>
            <w:pPr>
              <w:jc w:val="center"/>
              <w:rPr>
                <w:rFonts w:hint="default"/>
                <w:sz w:val="21"/>
                <w:lang w:val="en-US" w:eastAsia="zh-CN"/>
              </w:rPr>
            </w:pPr>
            <w:r>
              <w:rPr>
                <w:rFonts w:hint="eastAsia"/>
                <w:sz w:val="21"/>
                <w:lang w:val="en-US" w:eastAsia="zh-CN"/>
              </w:rPr>
              <w:t>0</w:t>
            </w:r>
          </w:p>
        </w:tc>
      </w:tr>
      <w:tr>
        <w:tblPrEx>
          <w:tblCellMar>
            <w:top w:w="0" w:type="dxa"/>
            <w:left w:w="0" w:type="dxa"/>
            <w:bottom w:w="0" w:type="dxa"/>
            <w:right w:w="0" w:type="dxa"/>
          </w:tblCellMar>
        </w:tblPrEx>
        <w:trPr>
          <w:trHeight w:val="621" w:hRule="exact"/>
        </w:trPr>
        <w:tc>
          <w:tcPr>
            <w:tcW w:w="8124" w:type="dxa"/>
            <w:gridSpan w:val="4"/>
            <w:tcBorders>
              <w:top w:val="single" w:color="5B6080" w:sz="4" w:space="0"/>
              <w:left w:val="single" w:color="3B3B44" w:sz="6" w:space="0"/>
              <w:bottom w:val="single" w:color="646B80" w:sz="4" w:space="0"/>
              <w:right w:val="single" w:color="3B3B3F" w:sz="8" w:space="0"/>
            </w:tcBorders>
          </w:tcPr>
          <w:p>
            <w:pPr>
              <w:tabs>
                <w:tab w:val="left" w:pos="1049"/>
              </w:tabs>
              <w:spacing w:before="140"/>
              <w:ind w:left="5"/>
              <w:jc w:val="center"/>
              <w:rPr>
                <w:sz w:val="21"/>
                <w:lang w:eastAsia="zh-CN"/>
              </w:rPr>
            </w:pPr>
            <w:r>
              <w:rPr>
                <w:sz w:val="21"/>
                <w:lang w:eastAsia="zh-CN"/>
              </w:rPr>
              <w:t>第二十条</w:t>
            </w:r>
            <w:r>
              <w:rPr>
                <w:sz w:val="21"/>
                <w:lang w:eastAsia="zh-CN"/>
              </w:rPr>
              <w:tab/>
            </w:r>
            <w:r>
              <w:rPr>
                <w:sz w:val="21"/>
                <w:lang w:eastAsia="zh-CN"/>
              </w:rPr>
              <w:t>第 （五</w:t>
            </w:r>
            <w:r>
              <w:rPr>
                <w:rFonts w:hint="eastAsia"/>
                <w:sz w:val="21"/>
                <w:lang w:eastAsia="zh-CN"/>
              </w:rPr>
              <w:t>）</w:t>
            </w:r>
            <w:r>
              <w:rPr>
                <w:sz w:val="21"/>
                <w:lang w:eastAsia="zh-CN"/>
              </w:rPr>
              <w:t xml:space="preserve"> 项</w:t>
            </w:r>
          </w:p>
        </w:tc>
      </w:tr>
      <w:tr>
        <w:tblPrEx>
          <w:tblCellMar>
            <w:top w:w="0" w:type="dxa"/>
            <w:left w:w="0" w:type="dxa"/>
            <w:bottom w:w="0" w:type="dxa"/>
            <w:right w:w="0" w:type="dxa"/>
          </w:tblCellMar>
        </w:tblPrEx>
        <w:trPr>
          <w:trHeight w:val="621" w:hRule="exact"/>
        </w:trPr>
        <w:tc>
          <w:tcPr>
            <w:tcW w:w="3284" w:type="dxa"/>
            <w:tcBorders>
              <w:top w:val="single" w:color="646B80" w:sz="4" w:space="0"/>
              <w:left w:val="single" w:color="3B3B44" w:sz="6" w:space="0"/>
              <w:bottom w:val="single" w:color="80676B" w:sz="4" w:space="0"/>
              <w:right w:val="single" w:color="878787" w:sz="4" w:space="0"/>
            </w:tcBorders>
          </w:tcPr>
          <w:p>
            <w:pPr>
              <w:spacing w:before="138"/>
              <w:ind w:right="17"/>
              <w:jc w:val="center"/>
              <w:rPr>
                <w:sz w:val="21"/>
                <w:lang w:eastAsia="zh-CN"/>
              </w:rPr>
            </w:pPr>
            <w:r>
              <w:rPr>
                <w:sz w:val="21"/>
                <w:lang w:eastAsia="zh-CN"/>
              </w:rPr>
              <w:t>信息内容</w:t>
            </w:r>
          </w:p>
        </w:tc>
        <w:tc>
          <w:tcPr>
            <w:tcW w:w="4840" w:type="dxa"/>
            <w:gridSpan w:val="3"/>
            <w:tcBorders>
              <w:top w:val="single" w:color="646B80" w:sz="4" w:space="0"/>
              <w:left w:val="single" w:color="878787" w:sz="4" w:space="0"/>
              <w:bottom w:val="single" w:color="7C7474" w:sz="4" w:space="0"/>
              <w:right w:val="single" w:color="3B3B3F" w:sz="8" w:space="0"/>
            </w:tcBorders>
          </w:tcPr>
          <w:p>
            <w:pPr>
              <w:spacing w:before="142"/>
              <w:ind w:right="16"/>
              <w:jc w:val="center"/>
              <w:rPr>
                <w:sz w:val="21"/>
                <w:lang w:eastAsia="zh-CN"/>
              </w:rPr>
            </w:pPr>
            <w:r>
              <w:rPr>
                <w:sz w:val="21"/>
                <w:lang w:eastAsia="zh-CN"/>
              </w:rPr>
              <w:t>本年处理决定数量</w:t>
            </w:r>
          </w:p>
        </w:tc>
      </w:tr>
      <w:tr>
        <w:tblPrEx>
          <w:tblCellMar>
            <w:top w:w="0" w:type="dxa"/>
            <w:left w:w="0" w:type="dxa"/>
            <w:bottom w:w="0" w:type="dxa"/>
            <w:right w:w="0" w:type="dxa"/>
          </w:tblCellMar>
        </w:tblPrEx>
        <w:trPr>
          <w:trHeight w:val="621" w:hRule="exact"/>
        </w:trPr>
        <w:tc>
          <w:tcPr>
            <w:tcW w:w="3284" w:type="dxa"/>
            <w:tcBorders>
              <w:top w:val="single" w:color="80676B" w:sz="4" w:space="0"/>
              <w:left w:val="single" w:color="3B3B44" w:sz="6" w:space="0"/>
              <w:bottom w:val="single" w:color="646487" w:sz="4" w:space="0"/>
              <w:right w:val="single" w:color="878787" w:sz="4" w:space="0"/>
            </w:tcBorders>
          </w:tcPr>
          <w:p>
            <w:pPr>
              <w:spacing w:before="140"/>
              <w:ind w:left="98"/>
              <w:jc w:val="left"/>
              <w:rPr>
                <w:sz w:val="21"/>
                <w:lang w:eastAsia="zh-CN"/>
              </w:rPr>
            </w:pPr>
            <w:r>
              <w:rPr>
                <w:sz w:val="21"/>
                <w:lang w:eastAsia="zh-CN"/>
              </w:rPr>
              <w:t>行政许可</w:t>
            </w:r>
          </w:p>
        </w:tc>
        <w:tc>
          <w:tcPr>
            <w:tcW w:w="4840" w:type="dxa"/>
            <w:gridSpan w:val="3"/>
            <w:tcBorders>
              <w:top w:val="single" w:color="7C7474" w:sz="4" w:space="0"/>
              <w:left w:val="single" w:color="878787" w:sz="4" w:space="0"/>
              <w:bottom w:val="single" w:color="646487" w:sz="4" w:space="0"/>
              <w:right w:val="single" w:color="3B3B3F" w:sz="8" w:space="0"/>
            </w:tcBorders>
            <w:vAlign w:val="center"/>
          </w:tcPr>
          <w:p>
            <w:pPr>
              <w:jc w:val="center"/>
              <w:rPr>
                <w:rFonts w:hint="default"/>
                <w:sz w:val="21"/>
                <w:lang w:val="en-US" w:eastAsia="zh-CN"/>
              </w:rPr>
            </w:pPr>
            <w:r>
              <w:rPr>
                <w:rFonts w:hint="eastAsia"/>
                <w:sz w:val="21"/>
                <w:lang w:val="en-US" w:eastAsia="zh-CN"/>
              </w:rPr>
              <w:t>0</w:t>
            </w:r>
          </w:p>
        </w:tc>
      </w:tr>
      <w:tr>
        <w:tblPrEx>
          <w:tblCellMar>
            <w:top w:w="0" w:type="dxa"/>
            <w:left w:w="0" w:type="dxa"/>
            <w:bottom w:w="0" w:type="dxa"/>
            <w:right w:w="0" w:type="dxa"/>
          </w:tblCellMar>
        </w:tblPrEx>
        <w:trPr>
          <w:trHeight w:val="623" w:hRule="exact"/>
        </w:trPr>
        <w:tc>
          <w:tcPr>
            <w:tcW w:w="8124" w:type="dxa"/>
            <w:gridSpan w:val="4"/>
            <w:tcBorders>
              <w:top w:val="single" w:color="646487" w:sz="4" w:space="0"/>
              <w:left w:val="single" w:color="3B3B44" w:sz="6" w:space="0"/>
              <w:bottom w:val="single" w:color="607087" w:sz="4" w:space="0"/>
              <w:right w:val="single" w:color="3B3B3F" w:sz="8" w:space="0"/>
            </w:tcBorders>
          </w:tcPr>
          <w:p>
            <w:pPr>
              <w:tabs>
                <w:tab w:val="left" w:pos="1059"/>
              </w:tabs>
              <w:spacing w:before="142"/>
              <w:ind w:left="15"/>
              <w:jc w:val="center"/>
              <w:rPr>
                <w:sz w:val="21"/>
                <w:lang w:eastAsia="zh-CN"/>
              </w:rPr>
            </w:pPr>
            <w:r>
              <w:rPr>
                <w:sz w:val="21"/>
                <w:lang w:eastAsia="zh-CN"/>
              </w:rPr>
              <w:t>第二十条</w:t>
            </w:r>
            <w:r>
              <w:rPr>
                <w:sz w:val="21"/>
                <w:lang w:eastAsia="zh-CN"/>
              </w:rPr>
              <w:tab/>
            </w:r>
            <w:r>
              <w:rPr>
                <w:sz w:val="21"/>
                <w:lang w:eastAsia="zh-CN"/>
              </w:rPr>
              <w:t>第 （六</w:t>
            </w:r>
            <w:r>
              <w:rPr>
                <w:rFonts w:hint="eastAsia"/>
                <w:sz w:val="21"/>
                <w:lang w:eastAsia="zh-CN"/>
              </w:rPr>
              <w:t>）</w:t>
            </w:r>
            <w:r>
              <w:rPr>
                <w:sz w:val="21"/>
                <w:lang w:eastAsia="zh-CN"/>
              </w:rPr>
              <w:t xml:space="preserve"> 项</w:t>
            </w:r>
          </w:p>
        </w:tc>
      </w:tr>
      <w:tr>
        <w:tblPrEx>
          <w:tblCellMar>
            <w:top w:w="0" w:type="dxa"/>
            <w:left w:w="0" w:type="dxa"/>
            <w:bottom w:w="0" w:type="dxa"/>
            <w:right w:w="0" w:type="dxa"/>
          </w:tblCellMar>
        </w:tblPrEx>
        <w:trPr>
          <w:trHeight w:val="627" w:hRule="exact"/>
        </w:trPr>
        <w:tc>
          <w:tcPr>
            <w:tcW w:w="3284" w:type="dxa"/>
            <w:tcBorders>
              <w:top w:val="single" w:color="607087" w:sz="4" w:space="0"/>
              <w:left w:val="single" w:color="3B3B44" w:sz="6" w:space="0"/>
              <w:bottom w:val="single" w:color="8C7774" w:sz="4" w:space="0"/>
              <w:right w:val="single" w:color="909093" w:sz="4" w:space="0"/>
            </w:tcBorders>
          </w:tcPr>
          <w:p>
            <w:pPr>
              <w:spacing w:before="142"/>
              <w:ind w:right="8"/>
              <w:jc w:val="center"/>
              <w:rPr>
                <w:sz w:val="21"/>
                <w:lang w:eastAsia="zh-CN"/>
              </w:rPr>
            </w:pPr>
            <w:r>
              <w:rPr>
                <w:sz w:val="21"/>
                <w:lang w:eastAsia="zh-CN"/>
              </w:rPr>
              <w:t>信息内容</w:t>
            </w:r>
          </w:p>
        </w:tc>
        <w:tc>
          <w:tcPr>
            <w:tcW w:w="4840" w:type="dxa"/>
            <w:gridSpan w:val="3"/>
            <w:tcBorders>
              <w:top w:val="single" w:color="607087" w:sz="4" w:space="0"/>
              <w:left w:val="single" w:color="909093" w:sz="4" w:space="0"/>
              <w:bottom w:val="single" w:color="747074" w:sz="4" w:space="0"/>
              <w:right w:val="single" w:color="3B3B3F" w:sz="8" w:space="0"/>
            </w:tcBorders>
          </w:tcPr>
          <w:p>
            <w:pPr>
              <w:spacing w:before="142"/>
              <w:ind w:right="13"/>
              <w:jc w:val="center"/>
              <w:rPr>
                <w:sz w:val="21"/>
                <w:lang w:eastAsia="zh-CN"/>
              </w:rPr>
            </w:pPr>
            <w:r>
              <w:rPr>
                <w:sz w:val="21"/>
                <w:lang w:eastAsia="zh-CN"/>
              </w:rPr>
              <w:t>本年处理决定数量</w:t>
            </w:r>
          </w:p>
        </w:tc>
      </w:tr>
      <w:tr>
        <w:tblPrEx>
          <w:tblCellMar>
            <w:top w:w="0" w:type="dxa"/>
            <w:left w:w="0" w:type="dxa"/>
            <w:bottom w:w="0" w:type="dxa"/>
            <w:right w:w="0" w:type="dxa"/>
          </w:tblCellMar>
        </w:tblPrEx>
        <w:trPr>
          <w:trHeight w:val="624" w:hRule="exact"/>
        </w:trPr>
        <w:tc>
          <w:tcPr>
            <w:tcW w:w="3284" w:type="dxa"/>
            <w:tcBorders>
              <w:top w:val="single" w:color="8C7774" w:sz="4" w:space="0"/>
              <w:left w:val="single" w:color="3B3B44" w:sz="6" w:space="0"/>
              <w:bottom w:val="single" w:color="7C6B74" w:sz="4" w:space="0"/>
              <w:right w:val="single" w:color="909093" w:sz="4" w:space="0"/>
            </w:tcBorders>
          </w:tcPr>
          <w:p>
            <w:pPr>
              <w:spacing w:before="139"/>
              <w:ind w:left="102"/>
              <w:jc w:val="left"/>
              <w:rPr>
                <w:sz w:val="21"/>
                <w:lang w:eastAsia="zh-CN"/>
              </w:rPr>
            </w:pPr>
            <w:r>
              <w:rPr>
                <w:sz w:val="21"/>
                <w:lang w:eastAsia="zh-CN"/>
              </w:rPr>
              <w:t>行政处罚</w:t>
            </w:r>
          </w:p>
        </w:tc>
        <w:tc>
          <w:tcPr>
            <w:tcW w:w="4840" w:type="dxa"/>
            <w:gridSpan w:val="3"/>
            <w:tcBorders>
              <w:top w:val="single" w:color="747074" w:sz="4" w:space="0"/>
              <w:left w:val="single" w:color="909093" w:sz="4" w:space="0"/>
              <w:bottom w:val="single" w:color="7C6B74" w:sz="4" w:space="0"/>
              <w:right w:val="single" w:color="3B3B3F" w:sz="8" w:space="0"/>
            </w:tcBorders>
            <w:vAlign w:val="center"/>
          </w:tcPr>
          <w:p>
            <w:pPr>
              <w:jc w:val="center"/>
              <w:rPr>
                <w:rFonts w:hint="default"/>
                <w:sz w:val="21"/>
                <w:lang w:val="en-US" w:eastAsia="zh-CN"/>
              </w:rPr>
            </w:pPr>
            <w:r>
              <w:rPr>
                <w:rFonts w:hint="eastAsia"/>
                <w:sz w:val="21"/>
                <w:lang w:val="en-US" w:eastAsia="zh-CN"/>
              </w:rPr>
              <w:t>0</w:t>
            </w:r>
          </w:p>
        </w:tc>
      </w:tr>
      <w:tr>
        <w:tblPrEx>
          <w:tblCellMar>
            <w:top w:w="0" w:type="dxa"/>
            <w:left w:w="0" w:type="dxa"/>
            <w:bottom w:w="0" w:type="dxa"/>
            <w:right w:w="0" w:type="dxa"/>
          </w:tblCellMar>
        </w:tblPrEx>
        <w:trPr>
          <w:trHeight w:val="618" w:hRule="exact"/>
        </w:trPr>
        <w:tc>
          <w:tcPr>
            <w:tcW w:w="3284" w:type="dxa"/>
            <w:tcBorders>
              <w:top w:val="single" w:color="7C6B74" w:sz="4" w:space="0"/>
              <w:left w:val="single" w:color="3B3B44" w:sz="6" w:space="0"/>
              <w:bottom w:val="single" w:color="646080" w:sz="4" w:space="0"/>
              <w:right w:val="single" w:color="909093" w:sz="4" w:space="0"/>
            </w:tcBorders>
          </w:tcPr>
          <w:p>
            <w:pPr>
              <w:spacing w:before="138"/>
              <w:ind w:left="107"/>
              <w:jc w:val="left"/>
              <w:rPr>
                <w:sz w:val="21"/>
                <w:lang w:eastAsia="zh-CN"/>
              </w:rPr>
            </w:pPr>
            <w:r>
              <w:rPr>
                <w:sz w:val="21"/>
                <w:lang w:eastAsia="zh-CN"/>
              </w:rPr>
              <w:t>行政强制</w:t>
            </w:r>
          </w:p>
        </w:tc>
        <w:tc>
          <w:tcPr>
            <w:tcW w:w="4840" w:type="dxa"/>
            <w:gridSpan w:val="3"/>
            <w:tcBorders>
              <w:top w:val="single" w:color="7C6B74" w:sz="4" w:space="0"/>
              <w:left w:val="single" w:color="909093" w:sz="4" w:space="0"/>
              <w:bottom w:val="single" w:color="646080" w:sz="4" w:space="0"/>
              <w:right w:val="single" w:color="3B3B3F" w:sz="8" w:space="0"/>
            </w:tcBorders>
            <w:vAlign w:val="center"/>
          </w:tcPr>
          <w:p>
            <w:pPr>
              <w:jc w:val="center"/>
              <w:rPr>
                <w:rFonts w:hint="default"/>
                <w:sz w:val="21"/>
                <w:lang w:val="en-US" w:eastAsia="zh-CN"/>
              </w:rPr>
            </w:pPr>
            <w:r>
              <w:rPr>
                <w:rFonts w:hint="eastAsia"/>
                <w:sz w:val="21"/>
                <w:lang w:val="en-US" w:eastAsia="zh-CN"/>
              </w:rPr>
              <w:t>0</w:t>
            </w:r>
          </w:p>
        </w:tc>
      </w:tr>
      <w:tr>
        <w:tblPrEx>
          <w:tblCellMar>
            <w:top w:w="0" w:type="dxa"/>
            <w:left w:w="0" w:type="dxa"/>
            <w:bottom w:w="0" w:type="dxa"/>
            <w:right w:w="0" w:type="dxa"/>
          </w:tblCellMar>
        </w:tblPrEx>
        <w:trPr>
          <w:trHeight w:val="626" w:hRule="exact"/>
        </w:trPr>
        <w:tc>
          <w:tcPr>
            <w:tcW w:w="8124" w:type="dxa"/>
            <w:gridSpan w:val="4"/>
            <w:tcBorders>
              <w:top w:val="single" w:color="646080" w:sz="4" w:space="0"/>
              <w:left w:val="single" w:color="3B3B44" w:sz="6" w:space="0"/>
              <w:bottom w:val="nil"/>
              <w:right w:val="single" w:color="3B3B3F" w:sz="8" w:space="0"/>
            </w:tcBorders>
          </w:tcPr>
          <w:p>
            <w:pPr>
              <w:tabs>
                <w:tab w:val="left" w:pos="1068"/>
              </w:tabs>
              <w:spacing w:before="142"/>
              <w:ind w:left="25"/>
              <w:jc w:val="center"/>
              <w:rPr>
                <w:sz w:val="21"/>
                <w:lang w:eastAsia="zh-CN"/>
              </w:rPr>
            </w:pPr>
            <w:r>
              <w:rPr>
                <w:sz w:val="21"/>
                <w:lang w:eastAsia="zh-CN"/>
              </w:rPr>
              <w:t>第二十条</w:t>
            </w:r>
            <w:r>
              <w:rPr>
                <w:sz w:val="21"/>
                <w:lang w:eastAsia="zh-CN"/>
              </w:rPr>
              <w:tab/>
            </w:r>
            <w:r>
              <w:rPr>
                <w:sz w:val="21"/>
                <w:lang w:eastAsia="zh-CN"/>
              </w:rPr>
              <w:t>第 （八） 项</w:t>
            </w:r>
          </w:p>
        </w:tc>
      </w:tr>
      <w:tr>
        <w:tblPrEx>
          <w:tblCellMar>
            <w:top w:w="0" w:type="dxa"/>
            <w:left w:w="0" w:type="dxa"/>
            <w:bottom w:w="0" w:type="dxa"/>
            <w:right w:w="0" w:type="dxa"/>
          </w:tblCellMar>
        </w:tblPrEx>
        <w:trPr>
          <w:trHeight w:val="621" w:hRule="exact"/>
        </w:trPr>
        <w:tc>
          <w:tcPr>
            <w:tcW w:w="3284" w:type="dxa"/>
            <w:tcBorders>
              <w:top w:val="single" w:color="6B747C" w:sz="4" w:space="0"/>
              <w:left w:val="single" w:color="5B5B60" w:sz="6" w:space="0"/>
              <w:bottom w:val="single" w:color="77778C" w:sz="4" w:space="0"/>
              <w:right w:val="single" w:color="auto" w:sz="4" w:space="0"/>
            </w:tcBorders>
          </w:tcPr>
          <w:p>
            <w:pPr>
              <w:spacing w:before="135"/>
              <w:ind w:right="1"/>
              <w:jc w:val="center"/>
              <w:rPr>
                <w:sz w:val="21"/>
                <w:lang w:eastAsia="zh-CN"/>
              </w:rPr>
            </w:pPr>
            <w:r>
              <w:rPr>
                <w:sz w:val="21"/>
                <w:lang w:eastAsia="zh-CN"/>
              </w:rPr>
              <w:t>信息内容</w:t>
            </w:r>
          </w:p>
        </w:tc>
        <w:tc>
          <w:tcPr>
            <w:tcW w:w="4840" w:type="dxa"/>
            <w:gridSpan w:val="3"/>
            <w:tcBorders>
              <w:top w:val="single" w:color="auto" w:sz="4" w:space="0"/>
              <w:left w:val="single" w:color="auto" w:sz="4" w:space="0"/>
              <w:bottom w:val="single" w:color="auto" w:sz="4" w:space="0"/>
              <w:right w:val="single" w:color="auto" w:sz="4" w:space="0"/>
            </w:tcBorders>
          </w:tcPr>
          <w:p>
            <w:pPr>
              <w:spacing w:before="145"/>
              <w:ind w:left="1446"/>
              <w:jc w:val="left"/>
              <w:rPr>
                <w:sz w:val="21"/>
                <w:lang w:eastAsia="zh-CN"/>
              </w:rPr>
            </w:pPr>
            <w:r>
              <w:rPr>
                <w:sz w:val="21"/>
                <w:lang w:eastAsia="zh-CN"/>
              </w:rPr>
              <w:t>本年收费金额  （单位 ：万元</w:t>
            </w:r>
            <w:r>
              <w:rPr>
                <w:rFonts w:hint="eastAsia"/>
                <w:sz w:val="21"/>
                <w:lang w:eastAsia="zh-CN"/>
              </w:rPr>
              <w:t>）</w:t>
            </w:r>
          </w:p>
        </w:tc>
      </w:tr>
      <w:tr>
        <w:tblPrEx>
          <w:tblCellMar>
            <w:top w:w="0" w:type="dxa"/>
            <w:left w:w="0" w:type="dxa"/>
            <w:bottom w:w="0" w:type="dxa"/>
            <w:right w:w="0" w:type="dxa"/>
          </w:tblCellMar>
        </w:tblPrEx>
        <w:trPr>
          <w:trHeight w:val="626" w:hRule="exact"/>
        </w:trPr>
        <w:tc>
          <w:tcPr>
            <w:tcW w:w="3284" w:type="dxa"/>
            <w:tcBorders>
              <w:top w:val="single" w:color="77778C" w:sz="4" w:space="0"/>
              <w:left w:val="single" w:color="5B5B60" w:sz="6" w:space="0"/>
              <w:bottom w:val="single" w:color="3B383F" w:sz="8" w:space="0"/>
              <w:right w:val="single" w:color="8C8C93" w:sz="2" w:space="0"/>
            </w:tcBorders>
          </w:tcPr>
          <w:p>
            <w:pPr>
              <w:spacing w:before="138"/>
              <w:ind w:left="107"/>
              <w:jc w:val="left"/>
              <w:rPr>
                <w:sz w:val="21"/>
                <w:lang w:eastAsia="zh-CN"/>
              </w:rPr>
            </w:pPr>
            <w:r>
              <w:rPr>
                <w:sz w:val="21"/>
                <w:lang w:eastAsia="zh-CN"/>
              </w:rPr>
              <w:t>行政事业性收费</w:t>
            </w:r>
          </w:p>
        </w:tc>
        <w:tc>
          <w:tcPr>
            <w:tcW w:w="4840" w:type="dxa"/>
            <w:gridSpan w:val="3"/>
            <w:tcBorders>
              <w:top w:val="single" w:color="77778C" w:sz="4" w:space="0"/>
              <w:left w:val="single" w:color="8C8C93" w:sz="2" w:space="0"/>
              <w:bottom w:val="single" w:color="3B383F" w:sz="8" w:space="0"/>
              <w:right w:val="single" w:color="3B3B44" w:sz="8" w:space="0"/>
            </w:tcBorders>
            <w:vAlign w:val="center"/>
          </w:tcPr>
          <w:p>
            <w:pPr>
              <w:jc w:val="center"/>
              <w:rPr>
                <w:rFonts w:hint="default"/>
                <w:sz w:val="21"/>
                <w:lang w:val="en-US" w:eastAsia="zh-CN"/>
              </w:rPr>
            </w:pPr>
            <w:r>
              <w:rPr>
                <w:rFonts w:hint="eastAsia"/>
                <w:sz w:val="21"/>
                <w:lang w:val="en-US" w:eastAsia="zh-CN"/>
              </w:rPr>
              <w:t>0</w:t>
            </w:r>
          </w:p>
        </w:tc>
      </w:tr>
    </w:tbl>
    <w:p>
      <w:pP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三、收到和处理政府信息公开申请情况</w:t>
      </w:r>
    </w:p>
    <w:tbl>
      <w:tblPr>
        <w:tblStyle w:val="6"/>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5"/>
        <w:gridCol w:w="2634"/>
        <w:gridCol w:w="554"/>
        <w:gridCol w:w="693"/>
        <w:gridCol w:w="692"/>
        <w:gridCol w:w="693"/>
        <w:gridCol w:w="693"/>
        <w:gridCol w:w="69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13" w:type="dxa"/>
            <w:gridSpan w:val="3"/>
            <w:vMerge w:val="restart"/>
            <w:vAlign w:val="center"/>
          </w:tcPr>
          <w:p>
            <w:r>
              <w:rPr>
                <w:rFonts w:hint="eastAsia"/>
              </w:rPr>
              <w:t>（本列数据的勾稽关系为：第一项加第二项之和，等于第三项加第四项之和）</w:t>
            </w:r>
          </w:p>
        </w:tc>
        <w:tc>
          <w:tcPr>
            <w:tcW w:w="4685" w:type="dxa"/>
            <w:gridSpan w:val="7"/>
            <w:vAlign w:val="center"/>
          </w:tcPr>
          <w:p>
            <w:pPr>
              <w:jc w:val="center"/>
              <w:rPr>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3" w:type="dxa"/>
            <w:gridSpan w:val="3"/>
            <w:vMerge w:val="continue"/>
          </w:tcPr>
          <w:p/>
        </w:tc>
        <w:tc>
          <w:tcPr>
            <w:tcW w:w="554" w:type="dxa"/>
            <w:vMerge w:val="restart"/>
            <w:vAlign w:val="center"/>
          </w:tcPr>
          <w:p>
            <w:pPr>
              <w:jc w:val="center"/>
              <w:rPr>
                <w:sz w:val="18"/>
                <w:szCs w:val="18"/>
              </w:rPr>
            </w:pPr>
            <w:r>
              <w:rPr>
                <w:rFonts w:hint="eastAsia"/>
                <w:szCs w:val="21"/>
              </w:rPr>
              <w:t>自然人</w:t>
            </w:r>
          </w:p>
        </w:tc>
        <w:tc>
          <w:tcPr>
            <w:tcW w:w="3466" w:type="dxa"/>
            <w:gridSpan w:val="5"/>
            <w:vAlign w:val="center"/>
          </w:tcPr>
          <w:p>
            <w:pPr>
              <w:jc w:val="center"/>
              <w:rPr>
                <w:szCs w:val="21"/>
              </w:rPr>
            </w:pPr>
            <w:r>
              <w:rPr>
                <w:rFonts w:hint="eastAsia"/>
                <w:szCs w:val="21"/>
              </w:rPr>
              <w:t>法人或其他组织</w:t>
            </w:r>
          </w:p>
        </w:tc>
        <w:tc>
          <w:tcPr>
            <w:tcW w:w="665" w:type="dxa"/>
            <w:vMerge w:val="restart"/>
            <w:vAlign w:val="center"/>
          </w:tcPr>
          <w:p>
            <w:pP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13" w:type="dxa"/>
            <w:gridSpan w:val="3"/>
            <w:vMerge w:val="continue"/>
          </w:tcPr>
          <w:p/>
        </w:tc>
        <w:tc>
          <w:tcPr>
            <w:tcW w:w="554" w:type="dxa"/>
            <w:vMerge w:val="continue"/>
          </w:tcPr>
          <w:p>
            <w:pPr>
              <w:rPr>
                <w:sz w:val="18"/>
                <w:szCs w:val="18"/>
              </w:rPr>
            </w:pPr>
          </w:p>
        </w:tc>
        <w:tc>
          <w:tcPr>
            <w:tcW w:w="693" w:type="dxa"/>
            <w:vAlign w:val="center"/>
          </w:tcPr>
          <w:p>
            <w:pPr>
              <w:rPr>
                <w:szCs w:val="21"/>
              </w:rPr>
            </w:pPr>
            <w:r>
              <w:rPr>
                <w:rFonts w:hint="eastAsia"/>
                <w:szCs w:val="21"/>
              </w:rPr>
              <w:t>商业企业</w:t>
            </w:r>
          </w:p>
        </w:tc>
        <w:tc>
          <w:tcPr>
            <w:tcW w:w="692" w:type="dxa"/>
            <w:vAlign w:val="center"/>
          </w:tcPr>
          <w:p>
            <w:pPr>
              <w:rPr>
                <w:szCs w:val="21"/>
              </w:rPr>
            </w:pPr>
            <w:r>
              <w:rPr>
                <w:rFonts w:hint="eastAsia"/>
                <w:szCs w:val="21"/>
              </w:rPr>
              <w:t>科研机构</w:t>
            </w:r>
          </w:p>
        </w:tc>
        <w:tc>
          <w:tcPr>
            <w:tcW w:w="693" w:type="dxa"/>
            <w:vAlign w:val="center"/>
          </w:tcPr>
          <w:p>
            <w:pPr>
              <w:rPr>
                <w:szCs w:val="21"/>
              </w:rPr>
            </w:pPr>
            <w:r>
              <w:rPr>
                <w:rFonts w:hint="eastAsia"/>
                <w:szCs w:val="21"/>
              </w:rPr>
              <w:t>社会公益组织</w:t>
            </w:r>
          </w:p>
        </w:tc>
        <w:tc>
          <w:tcPr>
            <w:tcW w:w="693" w:type="dxa"/>
            <w:vAlign w:val="center"/>
          </w:tcPr>
          <w:p>
            <w:pPr>
              <w:rPr>
                <w:szCs w:val="21"/>
              </w:rPr>
            </w:pPr>
            <w:r>
              <w:rPr>
                <w:rFonts w:hint="eastAsia"/>
                <w:szCs w:val="21"/>
              </w:rPr>
              <w:t>法律服务机构</w:t>
            </w:r>
          </w:p>
        </w:tc>
        <w:tc>
          <w:tcPr>
            <w:tcW w:w="695" w:type="dxa"/>
            <w:vAlign w:val="center"/>
          </w:tcPr>
          <w:p>
            <w:pPr>
              <w:rPr>
                <w:szCs w:val="21"/>
              </w:rPr>
            </w:pPr>
            <w:r>
              <w:rPr>
                <w:rFonts w:hint="eastAsia"/>
                <w:szCs w:val="21"/>
              </w:rPr>
              <w:t>其他</w:t>
            </w:r>
          </w:p>
        </w:tc>
        <w:tc>
          <w:tcPr>
            <w:tcW w:w="665"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13" w:type="dxa"/>
            <w:gridSpan w:val="3"/>
          </w:tcPr>
          <w:p>
            <w:r>
              <w:rPr>
                <w:rFonts w:hint="eastAsia"/>
              </w:rPr>
              <w:t>一、本年新收政府信息公开申请数量</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szCs w:val="21"/>
                <w:lang w:val="en-US" w:eastAsia="zh-CN"/>
              </w:rPr>
            </w:pPr>
            <w:r>
              <w:rPr>
                <w:rFonts w:hint="eastAsia"/>
                <w:szCs w:val="21"/>
                <w:lang w:val="en-US" w:eastAsia="zh-CN"/>
              </w:rPr>
              <w:t>0</w:t>
            </w:r>
          </w:p>
        </w:tc>
        <w:tc>
          <w:tcPr>
            <w:tcW w:w="692" w:type="dxa"/>
            <w:vAlign w:val="center"/>
          </w:tcPr>
          <w:p>
            <w:pPr>
              <w:jc w:val="center"/>
              <w:rPr>
                <w:rFonts w:hint="eastAsia" w:eastAsiaTheme="minorEastAsia"/>
                <w:szCs w:val="21"/>
                <w:lang w:val="en-US" w:eastAsia="zh-CN"/>
              </w:rPr>
            </w:pPr>
            <w:r>
              <w:rPr>
                <w:rFonts w:hint="eastAsia"/>
                <w:szCs w:val="21"/>
                <w:lang w:val="en-US" w:eastAsia="zh-CN"/>
              </w:rPr>
              <w:t>0</w:t>
            </w:r>
          </w:p>
        </w:tc>
        <w:tc>
          <w:tcPr>
            <w:tcW w:w="693" w:type="dxa"/>
            <w:vAlign w:val="center"/>
          </w:tcPr>
          <w:p>
            <w:pPr>
              <w:jc w:val="center"/>
              <w:rPr>
                <w:rFonts w:hint="eastAsia" w:eastAsiaTheme="minorEastAsia"/>
                <w:szCs w:val="21"/>
                <w:lang w:val="en-US" w:eastAsia="zh-CN"/>
              </w:rPr>
            </w:pPr>
            <w:r>
              <w:rPr>
                <w:rFonts w:hint="eastAsia"/>
                <w:szCs w:val="21"/>
                <w:lang w:val="en-US" w:eastAsia="zh-CN"/>
              </w:rPr>
              <w:t>0</w:t>
            </w:r>
          </w:p>
        </w:tc>
        <w:tc>
          <w:tcPr>
            <w:tcW w:w="693" w:type="dxa"/>
            <w:vAlign w:val="center"/>
          </w:tcPr>
          <w:p>
            <w:pPr>
              <w:jc w:val="center"/>
              <w:rPr>
                <w:rFonts w:hint="eastAsia" w:eastAsiaTheme="minorEastAsia"/>
                <w:szCs w:val="21"/>
                <w:lang w:val="en-US" w:eastAsia="zh-CN"/>
              </w:rPr>
            </w:pPr>
            <w:r>
              <w:rPr>
                <w:rFonts w:hint="eastAsia"/>
                <w:szCs w:val="21"/>
                <w:lang w:val="en-US" w:eastAsia="zh-CN"/>
              </w:rPr>
              <w:t>0</w:t>
            </w:r>
          </w:p>
        </w:tc>
        <w:tc>
          <w:tcPr>
            <w:tcW w:w="695" w:type="dxa"/>
            <w:vAlign w:val="center"/>
          </w:tcPr>
          <w:p>
            <w:pPr>
              <w:jc w:val="center"/>
              <w:rPr>
                <w:rFonts w:hint="eastAsia" w:eastAsiaTheme="minorEastAsia"/>
                <w:szCs w:val="21"/>
                <w:lang w:val="en-US" w:eastAsia="zh-CN"/>
              </w:rPr>
            </w:pPr>
            <w:r>
              <w:rPr>
                <w:rFonts w:hint="eastAsia"/>
                <w:szCs w:val="21"/>
                <w:lang w:val="en-US" w:eastAsia="zh-CN"/>
              </w:rPr>
              <w:t>0</w:t>
            </w:r>
          </w:p>
        </w:tc>
        <w:tc>
          <w:tcPr>
            <w:tcW w:w="665" w:type="dxa"/>
            <w:vAlign w:val="center"/>
          </w:tcPr>
          <w:p>
            <w:pPr>
              <w:jc w:val="center"/>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13" w:type="dxa"/>
            <w:gridSpan w:val="3"/>
          </w:tcPr>
          <w:p>
            <w:r>
              <w:rPr>
                <w:rFonts w:hint="eastAsia"/>
              </w:rPr>
              <w:t>二、上年结转政府信息公开申请数量</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restart"/>
            <w:vAlign w:val="center"/>
          </w:tcPr>
          <w:p>
            <w:r>
              <w:rPr>
                <w:rFonts w:hint="eastAsia"/>
              </w:rPr>
              <w:t>三、本年度办理结果</w:t>
            </w:r>
          </w:p>
        </w:tc>
        <w:tc>
          <w:tcPr>
            <w:tcW w:w="4159" w:type="dxa"/>
            <w:gridSpan w:val="2"/>
          </w:tcPr>
          <w:p>
            <w:pPr>
              <w:rPr>
                <w:rFonts w:asciiTheme="minorEastAsia" w:hAnsiTheme="minorEastAsia"/>
                <w:sz w:val="18"/>
                <w:szCs w:val="18"/>
              </w:rPr>
            </w:pPr>
            <w:r>
              <w:rPr>
                <w:rFonts w:hint="eastAsia" w:asciiTheme="minorEastAsia" w:hAnsiTheme="minorEastAsia"/>
                <w:sz w:val="18"/>
                <w:szCs w:val="18"/>
              </w:rPr>
              <w:t>（一）予以公开</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4159" w:type="dxa"/>
            <w:gridSpan w:val="2"/>
          </w:tcPr>
          <w:p>
            <w:pPr>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default"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4" w:type="dxa"/>
            <w:vMerge w:val="continue"/>
          </w:tcPr>
          <w:p/>
        </w:tc>
        <w:tc>
          <w:tcPr>
            <w:tcW w:w="1525" w:type="dxa"/>
            <w:vMerge w:val="restart"/>
            <w:vAlign w:val="center"/>
          </w:tcPr>
          <w:p>
            <w:pPr>
              <w:rPr>
                <w:rFonts w:asciiTheme="minorEastAsia" w:hAnsiTheme="minorEastAsia"/>
                <w:sz w:val="18"/>
                <w:szCs w:val="18"/>
              </w:rPr>
            </w:pPr>
            <w:r>
              <w:rPr>
                <w:rFonts w:hint="eastAsia" w:asciiTheme="minorEastAsia" w:hAnsiTheme="minorEastAsia"/>
                <w:sz w:val="18"/>
                <w:szCs w:val="18"/>
              </w:rPr>
              <w:t>（三）不予公开</w:t>
            </w:r>
          </w:p>
        </w:tc>
        <w:tc>
          <w:tcPr>
            <w:tcW w:w="2634" w:type="dxa"/>
          </w:tcPr>
          <w:p>
            <w:pPr>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4" w:type="dxa"/>
            <w:vMerge w:val="continue"/>
          </w:tcPr>
          <w:p/>
        </w:tc>
        <w:tc>
          <w:tcPr>
            <w:tcW w:w="1525" w:type="dxa"/>
            <w:vMerge w:val="continue"/>
            <w:vAlign w:val="center"/>
          </w:tcPr>
          <w:p>
            <w:pPr>
              <w:rPr>
                <w:rFonts w:asciiTheme="minorEastAsia" w:hAnsiTheme="minorEastAsia"/>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2．其他法律行政法规禁止公开</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3．危及“三安全一稳定”</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4．保护第三方合法权益</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5．属于三类内部事务信息</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6．属于四类过程性信息</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7．属于行政执法案卷</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8．属于行政查询事项</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4" w:type="dxa"/>
            <w:vMerge w:val="continue"/>
          </w:tcPr>
          <w:p/>
        </w:tc>
        <w:tc>
          <w:tcPr>
            <w:tcW w:w="1525" w:type="dxa"/>
            <w:vMerge w:val="restart"/>
            <w:vAlign w:val="center"/>
          </w:tcPr>
          <w:p>
            <w:pPr>
              <w:rPr>
                <w:sz w:val="18"/>
                <w:szCs w:val="18"/>
              </w:rPr>
            </w:pPr>
            <w:r>
              <w:rPr>
                <w:rFonts w:hint="eastAsia"/>
                <w:sz w:val="18"/>
                <w:szCs w:val="18"/>
              </w:rPr>
              <w:t>（四）无法提供</w:t>
            </w:r>
          </w:p>
        </w:tc>
        <w:tc>
          <w:tcPr>
            <w:tcW w:w="2634" w:type="dxa"/>
          </w:tcPr>
          <w:p>
            <w:pPr>
              <w:rPr>
                <w:rFonts w:asciiTheme="minorEastAsia" w:hAnsiTheme="minorEastAsia"/>
                <w:sz w:val="18"/>
                <w:szCs w:val="18"/>
              </w:rPr>
            </w:pPr>
            <w:r>
              <w:rPr>
                <w:rFonts w:hint="eastAsia" w:asciiTheme="minorEastAsia" w:hAnsiTheme="minorEastAsia"/>
                <w:sz w:val="18"/>
                <w:szCs w:val="18"/>
              </w:rPr>
              <w:t>1．本机关不掌握相关政府信息</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2．没有现成信息需要另行制作</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vAlign w:val="center"/>
          </w:tcPr>
          <w:p>
            <w:pPr>
              <w:rPr>
                <w:sz w:val="18"/>
                <w:szCs w:val="18"/>
              </w:rPr>
            </w:pPr>
          </w:p>
        </w:tc>
        <w:tc>
          <w:tcPr>
            <w:tcW w:w="2634" w:type="dxa"/>
          </w:tcPr>
          <w:p>
            <w:pPr>
              <w:rPr>
                <w:rFonts w:asciiTheme="minorEastAsia" w:hAnsiTheme="minorEastAsia"/>
                <w:sz w:val="18"/>
                <w:szCs w:val="18"/>
              </w:rPr>
            </w:pPr>
            <w:r>
              <w:rPr>
                <w:rFonts w:hint="eastAsia" w:asciiTheme="minorEastAsia" w:hAnsiTheme="minorEastAsia"/>
                <w:sz w:val="18"/>
                <w:szCs w:val="18"/>
              </w:rPr>
              <w:t>3．补正后申请内容仍不明确</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Merge w:val="continue"/>
          </w:tcPr>
          <w:p/>
        </w:tc>
        <w:tc>
          <w:tcPr>
            <w:tcW w:w="1525" w:type="dxa"/>
            <w:vMerge w:val="restart"/>
            <w:vAlign w:val="center"/>
          </w:tcPr>
          <w:p>
            <w:pPr>
              <w:rPr>
                <w:sz w:val="18"/>
                <w:szCs w:val="18"/>
              </w:rPr>
            </w:pPr>
            <w:r>
              <w:rPr>
                <w:rFonts w:hint="eastAsia"/>
                <w:sz w:val="18"/>
                <w:szCs w:val="18"/>
              </w:rPr>
              <w:t>（五）</w:t>
            </w:r>
            <w:r>
              <w:rPr>
                <w:rFonts w:hint="eastAsia" w:asciiTheme="minorEastAsia" w:hAnsiTheme="minorEastAsia"/>
                <w:sz w:val="18"/>
                <w:szCs w:val="18"/>
              </w:rPr>
              <w:t>不予处理</w:t>
            </w:r>
          </w:p>
        </w:tc>
        <w:tc>
          <w:tcPr>
            <w:tcW w:w="2634" w:type="dxa"/>
          </w:tcPr>
          <w:p>
            <w:pPr>
              <w:rPr>
                <w:rFonts w:asciiTheme="minorEastAsia" w:hAnsiTheme="minorEastAsia"/>
                <w:sz w:val="18"/>
                <w:szCs w:val="18"/>
              </w:rPr>
            </w:pPr>
            <w:r>
              <w:rPr>
                <w:rFonts w:hint="eastAsia" w:asciiTheme="minorEastAsia" w:hAnsiTheme="minorEastAsia"/>
                <w:sz w:val="18"/>
                <w:szCs w:val="18"/>
              </w:rPr>
              <w:t>1．信访举报投诉类申请</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4" w:type="dxa"/>
          </w:tcPr>
          <w:p>
            <w:pPr>
              <w:rPr>
                <w:rFonts w:asciiTheme="minorEastAsia" w:hAnsiTheme="minorEastAsia"/>
                <w:sz w:val="18"/>
                <w:szCs w:val="18"/>
              </w:rPr>
            </w:pPr>
            <w:r>
              <w:rPr>
                <w:rFonts w:hint="eastAsia" w:asciiTheme="minorEastAsia" w:hAnsiTheme="minorEastAsia"/>
                <w:sz w:val="18"/>
                <w:szCs w:val="18"/>
              </w:rPr>
              <w:t>2．重复申请</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4" w:type="dxa"/>
            <w:vMerge w:val="continue"/>
          </w:tcPr>
          <w:p/>
        </w:tc>
        <w:tc>
          <w:tcPr>
            <w:tcW w:w="1525" w:type="dxa"/>
            <w:vMerge w:val="continue"/>
          </w:tcPr>
          <w:p/>
        </w:tc>
        <w:tc>
          <w:tcPr>
            <w:tcW w:w="2634" w:type="dxa"/>
          </w:tcPr>
          <w:p>
            <w:pPr>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tc>
        <w:tc>
          <w:tcPr>
            <w:tcW w:w="1525" w:type="dxa"/>
            <w:vMerge w:val="continue"/>
          </w:tcPr>
          <w:p/>
        </w:tc>
        <w:tc>
          <w:tcPr>
            <w:tcW w:w="2634" w:type="dxa"/>
          </w:tcPr>
          <w:p>
            <w:pPr>
              <w:rPr>
                <w:rFonts w:asciiTheme="minorEastAsia" w:hAnsiTheme="minorEastAsia"/>
                <w:sz w:val="18"/>
                <w:szCs w:val="18"/>
              </w:rPr>
            </w:pPr>
            <w:r>
              <w:rPr>
                <w:rFonts w:hint="eastAsia" w:asciiTheme="minorEastAsia" w:hAnsiTheme="minorEastAsia"/>
                <w:sz w:val="18"/>
                <w:szCs w:val="18"/>
              </w:rPr>
              <w:t>4．无正当理由大量反复申请</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4" w:type="dxa"/>
          </w:tcPr>
          <w:p>
            <w:pPr>
              <w:ind w:left="180" w:hanging="180" w:hangingChars="100"/>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restart"/>
            <w:vAlign w:val="center"/>
          </w:tcPr>
          <w:p>
            <w:r>
              <w:rPr>
                <w:rFonts w:hint="eastAsia"/>
                <w:sz w:val="18"/>
                <w:szCs w:val="18"/>
              </w:rPr>
              <w:t>（六）其他处理</w:t>
            </w:r>
          </w:p>
        </w:tc>
        <w:tc>
          <w:tcPr>
            <w:tcW w:w="2634" w:type="dxa"/>
          </w:tcPr>
          <w:p>
            <w:pPr>
              <w:ind w:left="180" w:hanging="180" w:hangingChars="100"/>
              <w:rPr>
                <w:rFonts w:asciiTheme="minorEastAsia" w:hAnsiTheme="minorEastAsia"/>
                <w:sz w:val="18"/>
                <w:szCs w:val="18"/>
              </w:rPr>
            </w:pPr>
            <w:r>
              <w:rPr>
                <w:rFonts w:hint="eastAsia" w:asciiTheme="minorEastAsia" w:hAnsiTheme="minorEastAsia"/>
                <w:sz w:val="18"/>
                <w:szCs w:val="18"/>
              </w:rPr>
              <w:t>1</w:t>
            </w:r>
            <w:r>
              <w:rPr>
                <w:rFonts w:asciiTheme="minorEastAsia" w:hAnsiTheme="minorEastAsia"/>
                <w:sz w:val="18"/>
                <w:szCs w:val="18"/>
              </w:rPr>
              <w:t>.</w:t>
            </w:r>
            <w:r>
              <w:rPr>
                <w:rFonts w:hint="eastAsia" w:asciiTheme="minorEastAsia" w:hAnsiTheme="minorEastAsia"/>
                <w:sz w:val="18"/>
                <w:szCs w:val="18"/>
              </w:rPr>
              <w:t>申请人无正当理由逾期不补正、行政机关不再处理其政府信息公开申请</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4" w:type="dxa"/>
          </w:tcPr>
          <w:p>
            <w:pPr>
              <w:ind w:left="180" w:hanging="180" w:hangingChars="100"/>
              <w:rPr>
                <w:rFonts w:asciiTheme="minorEastAsia" w:hAnsiTheme="minorEastAsia"/>
                <w:sz w:val="18"/>
                <w:szCs w:val="18"/>
              </w:rPr>
            </w:pPr>
            <w:r>
              <w:rPr>
                <w:rFonts w:hint="eastAsia" w:asciiTheme="minorEastAsia" w:hAnsiTheme="minorEastAsia"/>
                <w:sz w:val="18"/>
                <w:szCs w:val="18"/>
              </w:rPr>
              <w:t>2</w:t>
            </w:r>
            <w:r>
              <w:rPr>
                <w:rFonts w:asciiTheme="minorEastAsia" w:hAnsiTheme="minorEastAsia"/>
                <w:sz w:val="18"/>
                <w:szCs w:val="18"/>
              </w:rPr>
              <w:t>.</w:t>
            </w:r>
            <w:r>
              <w:rPr>
                <w:rFonts w:hint="eastAsia" w:asciiTheme="minorEastAsia" w:hAnsiTheme="minorEastAsia"/>
                <w:sz w:val="18"/>
                <w:szCs w:val="18"/>
              </w:rPr>
              <w:t>申请人逾期未按收费通知 要求缴纳费用、行政机关不再处理其政府信息公开申请</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tc>
        <w:tc>
          <w:tcPr>
            <w:tcW w:w="1525" w:type="dxa"/>
            <w:vMerge w:val="continue"/>
          </w:tcPr>
          <w:p/>
        </w:tc>
        <w:tc>
          <w:tcPr>
            <w:tcW w:w="2634" w:type="dxa"/>
          </w:tcPr>
          <w:p>
            <w:pPr>
              <w:ind w:left="180" w:hanging="180" w:hangingChars="100"/>
              <w:rPr>
                <w:rFonts w:asciiTheme="minorEastAsia" w:hAnsiTheme="minorEastAsia"/>
                <w:sz w:val="18"/>
                <w:szCs w:val="18"/>
              </w:rPr>
            </w:pPr>
            <w:r>
              <w:rPr>
                <w:rFonts w:hint="eastAsia" w:asciiTheme="minorEastAsia" w:hAnsiTheme="minorEastAsia"/>
                <w:sz w:val="18"/>
                <w:szCs w:val="18"/>
              </w:rPr>
              <w:t>3</w:t>
            </w:r>
            <w:r>
              <w:rPr>
                <w:rFonts w:asciiTheme="minorEastAsia" w:hAnsiTheme="minorEastAsia"/>
                <w:sz w:val="18"/>
                <w:szCs w:val="18"/>
              </w:rPr>
              <w:t>.</w:t>
            </w:r>
            <w:r>
              <w:rPr>
                <w:rFonts w:hint="eastAsia" w:asciiTheme="minorEastAsia" w:hAnsiTheme="minorEastAsia"/>
                <w:sz w:val="18"/>
                <w:szCs w:val="18"/>
              </w:rPr>
              <w:t>其他</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tc>
        <w:tc>
          <w:tcPr>
            <w:tcW w:w="4159" w:type="dxa"/>
            <w:gridSpan w:val="2"/>
            <w:vAlign w:val="center"/>
          </w:tcPr>
          <w:p>
            <w:pPr>
              <w:rPr>
                <w:sz w:val="18"/>
                <w:szCs w:val="18"/>
              </w:rPr>
            </w:pPr>
            <w:r>
              <w:rPr>
                <w:rFonts w:hint="eastAsia"/>
                <w:sz w:val="18"/>
                <w:szCs w:val="18"/>
              </w:rPr>
              <w:t>（七）总计</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13" w:type="dxa"/>
            <w:gridSpan w:val="3"/>
            <w:vAlign w:val="center"/>
          </w:tcPr>
          <w:p>
            <w:r>
              <w:rPr>
                <w:rFonts w:hint="eastAsia"/>
              </w:rPr>
              <w:t>四、结转下年度继续办理</w:t>
            </w:r>
          </w:p>
        </w:tc>
        <w:tc>
          <w:tcPr>
            <w:tcW w:w="554"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2"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3" w:type="dxa"/>
            <w:vAlign w:val="center"/>
          </w:tcPr>
          <w:p>
            <w:pPr>
              <w:jc w:val="center"/>
              <w:rPr>
                <w:rFonts w:hint="eastAsia" w:eastAsiaTheme="minorEastAsia"/>
                <w:lang w:val="en-US" w:eastAsia="zh-CN"/>
              </w:rPr>
            </w:pPr>
            <w:r>
              <w:rPr>
                <w:rFonts w:hint="eastAsia"/>
                <w:lang w:val="en-US" w:eastAsia="zh-CN"/>
              </w:rPr>
              <w:t>0</w:t>
            </w:r>
          </w:p>
        </w:tc>
        <w:tc>
          <w:tcPr>
            <w:tcW w:w="695" w:type="dxa"/>
            <w:vAlign w:val="center"/>
          </w:tcPr>
          <w:p>
            <w:pPr>
              <w:jc w:val="center"/>
              <w:rPr>
                <w:rFonts w:hint="eastAsia" w:eastAsiaTheme="minorEastAsia"/>
                <w:lang w:val="en-US" w:eastAsia="zh-CN"/>
              </w:rPr>
            </w:pPr>
            <w:r>
              <w:rPr>
                <w:rFonts w:hint="eastAsia"/>
                <w:lang w:val="en-US" w:eastAsia="zh-CN"/>
              </w:rPr>
              <w:t>0</w:t>
            </w:r>
          </w:p>
        </w:tc>
        <w:tc>
          <w:tcPr>
            <w:tcW w:w="665" w:type="dxa"/>
            <w:vAlign w:val="center"/>
          </w:tcPr>
          <w:p>
            <w:pPr>
              <w:jc w:val="center"/>
              <w:rPr>
                <w:rFonts w:hint="eastAsia" w:eastAsiaTheme="minorEastAsia"/>
                <w:lang w:val="en-US" w:eastAsia="zh-CN"/>
              </w:rPr>
            </w:pPr>
            <w:r>
              <w:rPr>
                <w:rFonts w:hint="eastAsia"/>
                <w:lang w:val="en-US" w:eastAsia="zh-CN"/>
              </w:rPr>
              <w:t>0</w:t>
            </w:r>
          </w:p>
        </w:tc>
      </w:tr>
    </w:tbl>
    <w:p/>
    <w:p>
      <w:pPr>
        <w:ind w:firstLine="640" w:firstLineChars="200"/>
        <w:rPr>
          <w:rFonts w:ascii="黑体" w:hAnsi="黑体" w:eastAsia="黑体"/>
          <w:sz w:val="32"/>
          <w:szCs w:val="32"/>
        </w:rPr>
      </w:pPr>
      <w:r>
        <w:rPr>
          <w:rFonts w:hint="eastAsia" w:ascii="黑体" w:hAnsi="黑体" w:eastAsia="黑体"/>
          <w:sz w:val="32"/>
          <w:szCs w:val="32"/>
        </w:rPr>
        <w:t>四、政府信息公开行政复议、行政诉讼情况</w:t>
      </w:r>
    </w:p>
    <w:tbl>
      <w:tblPr>
        <w:tblStyle w:val="6"/>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09"/>
        <w:gridCol w:w="709"/>
        <w:gridCol w:w="706"/>
        <w:gridCol w:w="428"/>
        <w:gridCol w:w="708"/>
        <w:gridCol w:w="709"/>
        <w:gridCol w:w="709"/>
        <w:gridCol w:w="709"/>
        <w:gridCol w:w="425"/>
        <w:gridCol w:w="709"/>
        <w:gridCol w:w="708"/>
        <w:gridCol w:w="709"/>
        <w:gridCol w:w="69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207" w:type="dxa"/>
            <w:gridSpan w:val="5"/>
            <w:vAlign w:val="center"/>
          </w:tcPr>
          <w:p>
            <w:pPr>
              <w:jc w:val="center"/>
              <w:rPr>
                <w:szCs w:val="21"/>
              </w:rPr>
            </w:pPr>
            <w:r>
              <w:rPr>
                <w:rFonts w:hint="eastAsia"/>
                <w:szCs w:val="21"/>
              </w:rPr>
              <w:t>行政复议</w:t>
            </w:r>
          </w:p>
        </w:tc>
        <w:tc>
          <w:tcPr>
            <w:tcW w:w="6505" w:type="dxa"/>
            <w:gridSpan w:val="10"/>
            <w:vAlign w:val="center"/>
          </w:tcPr>
          <w:p>
            <w:pPr>
              <w:jc w:val="center"/>
              <w:rPr>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5" w:type="dxa"/>
            <w:vMerge w:val="restart"/>
            <w:vAlign w:val="center"/>
          </w:tcPr>
          <w:p>
            <w:pPr>
              <w:jc w:val="center"/>
              <w:rPr>
                <w:szCs w:val="21"/>
              </w:rPr>
            </w:pPr>
            <w:r>
              <w:rPr>
                <w:rFonts w:hint="eastAsia"/>
                <w:szCs w:val="21"/>
              </w:rPr>
              <w:t>结果维持</w:t>
            </w:r>
          </w:p>
        </w:tc>
        <w:tc>
          <w:tcPr>
            <w:tcW w:w="709" w:type="dxa"/>
            <w:vMerge w:val="restart"/>
            <w:vAlign w:val="center"/>
          </w:tcPr>
          <w:p>
            <w:pPr>
              <w:jc w:val="center"/>
              <w:rPr>
                <w:szCs w:val="21"/>
              </w:rPr>
            </w:pPr>
            <w:r>
              <w:rPr>
                <w:rFonts w:hint="eastAsia"/>
                <w:szCs w:val="21"/>
              </w:rPr>
              <w:t>结果纠正</w:t>
            </w:r>
          </w:p>
        </w:tc>
        <w:tc>
          <w:tcPr>
            <w:tcW w:w="709" w:type="dxa"/>
            <w:vMerge w:val="restart"/>
            <w:vAlign w:val="center"/>
          </w:tcPr>
          <w:p>
            <w:pPr>
              <w:jc w:val="center"/>
              <w:rPr>
                <w:szCs w:val="21"/>
              </w:rPr>
            </w:pPr>
            <w:r>
              <w:rPr>
                <w:rFonts w:hint="eastAsia"/>
                <w:szCs w:val="21"/>
              </w:rPr>
              <w:t>其他结果</w:t>
            </w:r>
          </w:p>
        </w:tc>
        <w:tc>
          <w:tcPr>
            <w:tcW w:w="706" w:type="dxa"/>
            <w:vMerge w:val="restart"/>
            <w:vAlign w:val="center"/>
          </w:tcPr>
          <w:p>
            <w:pPr>
              <w:jc w:val="center"/>
              <w:rPr>
                <w:szCs w:val="21"/>
              </w:rPr>
            </w:pPr>
            <w:r>
              <w:rPr>
                <w:rFonts w:hint="eastAsia"/>
                <w:szCs w:val="21"/>
              </w:rPr>
              <w:t>尚未审结</w:t>
            </w:r>
          </w:p>
        </w:tc>
        <w:tc>
          <w:tcPr>
            <w:tcW w:w="428" w:type="dxa"/>
            <w:vMerge w:val="restart"/>
            <w:vAlign w:val="center"/>
          </w:tcPr>
          <w:p>
            <w:pPr>
              <w:jc w:val="center"/>
              <w:rPr>
                <w:szCs w:val="21"/>
              </w:rPr>
            </w:pPr>
            <w:r>
              <w:rPr>
                <w:rFonts w:hint="eastAsia"/>
                <w:szCs w:val="21"/>
              </w:rPr>
              <w:t>总计</w:t>
            </w:r>
          </w:p>
        </w:tc>
        <w:tc>
          <w:tcPr>
            <w:tcW w:w="3260" w:type="dxa"/>
            <w:gridSpan w:val="5"/>
            <w:vAlign w:val="center"/>
          </w:tcPr>
          <w:p>
            <w:pPr>
              <w:jc w:val="center"/>
              <w:rPr>
                <w:szCs w:val="21"/>
              </w:rPr>
            </w:pPr>
            <w:r>
              <w:rPr>
                <w:rFonts w:hint="eastAsia"/>
                <w:szCs w:val="21"/>
              </w:rPr>
              <w:t>未经复议直接起诉</w:t>
            </w:r>
          </w:p>
        </w:tc>
        <w:tc>
          <w:tcPr>
            <w:tcW w:w="3245" w:type="dxa"/>
            <w:gridSpan w:val="5"/>
            <w:vAlign w:val="center"/>
          </w:tcPr>
          <w:p>
            <w:pPr>
              <w:jc w:val="center"/>
              <w:rPr>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55"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706" w:type="dxa"/>
            <w:vMerge w:val="continue"/>
            <w:vAlign w:val="center"/>
          </w:tcPr>
          <w:p>
            <w:pPr>
              <w:jc w:val="center"/>
              <w:rPr>
                <w:szCs w:val="21"/>
              </w:rPr>
            </w:pPr>
          </w:p>
        </w:tc>
        <w:tc>
          <w:tcPr>
            <w:tcW w:w="428" w:type="dxa"/>
            <w:vMerge w:val="continue"/>
            <w:vAlign w:val="center"/>
          </w:tcPr>
          <w:p>
            <w:pPr>
              <w:jc w:val="center"/>
              <w:rPr>
                <w:szCs w:val="21"/>
              </w:rPr>
            </w:pPr>
          </w:p>
        </w:tc>
        <w:tc>
          <w:tcPr>
            <w:tcW w:w="708" w:type="dxa"/>
            <w:vAlign w:val="center"/>
          </w:tcPr>
          <w:p>
            <w:pPr>
              <w:jc w:val="center"/>
              <w:rPr>
                <w:szCs w:val="21"/>
              </w:rPr>
            </w:pPr>
            <w:r>
              <w:rPr>
                <w:rFonts w:hint="eastAsia"/>
                <w:szCs w:val="21"/>
              </w:rPr>
              <w:t>结果维持</w:t>
            </w:r>
          </w:p>
        </w:tc>
        <w:tc>
          <w:tcPr>
            <w:tcW w:w="709" w:type="dxa"/>
            <w:vAlign w:val="center"/>
          </w:tcPr>
          <w:p>
            <w:pPr>
              <w:jc w:val="center"/>
              <w:rPr>
                <w:szCs w:val="21"/>
              </w:rPr>
            </w:pPr>
            <w:r>
              <w:rPr>
                <w:rFonts w:hint="eastAsia"/>
                <w:szCs w:val="21"/>
              </w:rPr>
              <w:t>结果纠正</w:t>
            </w:r>
          </w:p>
        </w:tc>
        <w:tc>
          <w:tcPr>
            <w:tcW w:w="709" w:type="dxa"/>
            <w:vAlign w:val="center"/>
          </w:tcPr>
          <w:p>
            <w:pPr>
              <w:jc w:val="center"/>
              <w:rPr>
                <w:szCs w:val="21"/>
              </w:rPr>
            </w:pPr>
            <w:r>
              <w:rPr>
                <w:rFonts w:hint="eastAsia"/>
                <w:szCs w:val="21"/>
              </w:rPr>
              <w:t>其他结果</w:t>
            </w:r>
          </w:p>
        </w:tc>
        <w:tc>
          <w:tcPr>
            <w:tcW w:w="709" w:type="dxa"/>
            <w:vAlign w:val="center"/>
          </w:tcPr>
          <w:p>
            <w:pPr>
              <w:jc w:val="center"/>
              <w:rPr>
                <w:szCs w:val="21"/>
              </w:rPr>
            </w:pPr>
            <w:r>
              <w:rPr>
                <w:rFonts w:hint="eastAsia"/>
                <w:szCs w:val="21"/>
              </w:rPr>
              <w:t>尚未审结</w:t>
            </w:r>
          </w:p>
        </w:tc>
        <w:tc>
          <w:tcPr>
            <w:tcW w:w="425" w:type="dxa"/>
            <w:vAlign w:val="center"/>
          </w:tcPr>
          <w:p>
            <w:pPr>
              <w:jc w:val="center"/>
              <w:rPr>
                <w:szCs w:val="21"/>
              </w:rPr>
            </w:pPr>
            <w:r>
              <w:rPr>
                <w:rFonts w:hint="eastAsia"/>
                <w:szCs w:val="21"/>
              </w:rPr>
              <w:t>总计</w:t>
            </w:r>
          </w:p>
        </w:tc>
        <w:tc>
          <w:tcPr>
            <w:tcW w:w="709" w:type="dxa"/>
            <w:vAlign w:val="center"/>
          </w:tcPr>
          <w:p>
            <w:pPr>
              <w:jc w:val="center"/>
              <w:rPr>
                <w:szCs w:val="21"/>
              </w:rPr>
            </w:pPr>
            <w:r>
              <w:rPr>
                <w:rFonts w:hint="eastAsia"/>
                <w:szCs w:val="21"/>
              </w:rPr>
              <w:t>结果维持</w:t>
            </w:r>
          </w:p>
        </w:tc>
        <w:tc>
          <w:tcPr>
            <w:tcW w:w="708" w:type="dxa"/>
            <w:vAlign w:val="center"/>
          </w:tcPr>
          <w:p>
            <w:pPr>
              <w:jc w:val="center"/>
              <w:rPr>
                <w:szCs w:val="21"/>
              </w:rPr>
            </w:pPr>
            <w:r>
              <w:rPr>
                <w:rFonts w:hint="eastAsia"/>
                <w:szCs w:val="21"/>
              </w:rPr>
              <w:t>结果纠正</w:t>
            </w:r>
          </w:p>
        </w:tc>
        <w:tc>
          <w:tcPr>
            <w:tcW w:w="709" w:type="dxa"/>
            <w:vAlign w:val="center"/>
          </w:tcPr>
          <w:p>
            <w:pPr>
              <w:jc w:val="center"/>
              <w:rPr>
                <w:szCs w:val="21"/>
              </w:rPr>
            </w:pPr>
            <w:r>
              <w:rPr>
                <w:rFonts w:hint="eastAsia"/>
                <w:szCs w:val="21"/>
              </w:rPr>
              <w:t>其他结果</w:t>
            </w:r>
          </w:p>
        </w:tc>
        <w:tc>
          <w:tcPr>
            <w:tcW w:w="694" w:type="dxa"/>
            <w:vAlign w:val="center"/>
          </w:tcPr>
          <w:p>
            <w:pPr>
              <w:jc w:val="center"/>
              <w:rPr>
                <w:szCs w:val="21"/>
              </w:rPr>
            </w:pPr>
            <w:r>
              <w:rPr>
                <w:rFonts w:hint="eastAsia"/>
                <w:szCs w:val="21"/>
              </w:rPr>
              <w:t>尚未审结</w:t>
            </w:r>
          </w:p>
        </w:tc>
        <w:tc>
          <w:tcPr>
            <w:tcW w:w="425" w:type="dxa"/>
            <w:vAlign w:val="center"/>
          </w:tcPr>
          <w:p>
            <w:pPr>
              <w:jc w:val="cente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pPr>
              <w:jc w:val="center"/>
              <w:rPr>
                <w:rFonts w:hint="eastAsia" w:eastAsiaTheme="minorEastAsia"/>
                <w:sz w:val="18"/>
                <w:szCs w:val="18"/>
                <w:lang w:val="en-US" w:eastAsia="zh-CN"/>
              </w:rPr>
            </w:pPr>
            <w:r>
              <w:rPr>
                <w:rFonts w:hint="eastAsia"/>
                <w:sz w:val="18"/>
                <w:szCs w:val="18"/>
                <w:lang w:val="en-US" w:eastAsia="zh-CN"/>
              </w:rPr>
              <w:t>0</w:t>
            </w:r>
          </w:p>
        </w:tc>
        <w:tc>
          <w:tcPr>
            <w:tcW w:w="709" w:type="dxa"/>
            <w:vAlign w:val="center"/>
          </w:tcPr>
          <w:p>
            <w:pPr>
              <w:jc w:val="center"/>
              <w:rPr>
                <w:rFonts w:hint="eastAsia" w:eastAsiaTheme="minorEastAsia"/>
                <w:sz w:val="18"/>
                <w:szCs w:val="18"/>
                <w:lang w:val="en-US" w:eastAsia="zh-CN"/>
              </w:rPr>
            </w:pPr>
            <w:r>
              <w:rPr>
                <w:rFonts w:hint="eastAsia"/>
                <w:sz w:val="18"/>
                <w:szCs w:val="18"/>
                <w:lang w:val="en-US" w:eastAsia="zh-CN"/>
              </w:rPr>
              <w:t>0</w:t>
            </w:r>
          </w:p>
        </w:tc>
        <w:tc>
          <w:tcPr>
            <w:tcW w:w="709" w:type="dxa"/>
            <w:vAlign w:val="center"/>
          </w:tcPr>
          <w:p>
            <w:pPr>
              <w:jc w:val="center"/>
              <w:rPr>
                <w:rFonts w:hint="eastAsia" w:eastAsiaTheme="minorEastAsia"/>
                <w:sz w:val="18"/>
                <w:szCs w:val="18"/>
                <w:lang w:val="en-US" w:eastAsia="zh-CN"/>
              </w:rPr>
            </w:pPr>
            <w:r>
              <w:rPr>
                <w:rFonts w:hint="eastAsia"/>
                <w:sz w:val="18"/>
                <w:szCs w:val="18"/>
                <w:lang w:val="en-US" w:eastAsia="zh-CN"/>
              </w:rPr>
              <w:t>0</w:t>
            </w:r>
          </w:p>
        </w:tc>
        <w:tc>
          <w:tcPr>
            <w:tcW w:w="706" w:type="dxa"/>
            <w:vAlign w:val="center"/>
          </w:tcPr>
          <w:p>
            <w:pPr>
              <w:jc w:val="center"/>
              <w:rPr>
                <w:rFonts w:hint="eastAsia" w:eastAsiaTheme="minorEastAsia"/>
                <w:szCs w:val="21"/>
                <w:lang w:val="en-US" w:eastAsia="zh-CN"/>
              </w:rPr>
            </w:pPr>
            <w:r>
              <w:rPr>
                <w:rFonts w:hint="eastAsia"/>
                <w:szCs w:val="21"/>
                <w:lang w:val="en-US" w:eastAsia="zh-CN"/>
              </w:rPr>
              <w:t>0</w:t>
            </w:r>
          </w:p>
        </w:tc>
        <w:tc>
          <w:tcPr>
            <w:tcW w:w="428" w:type="dxa"/>
            <w:vAlign w:val="center"/>
          </w:tcPr>
          <w:p>
            <w:pPr>
              <w:jc w:val="center"/>
              <w:rPr>
                <w:rFonts w:hint="eastAsia" w:eastAsiaTheme="minorEastAsia"/>
                <w:szCs w:val="21"/>
                <w:lang w:val="en-US" w:eastAsia="zh-CN"/>
              </w:rPr>
            </w:pPr>
            <w:r>
              <w:rPr>
                <w:rFonts w:hint="eastAsia"/>
                <w:szCs w:val="21"/>
                <w:lang w:val="en-US" w:eastAsia="zh-CN"/>
              </w:rPr>
              <w:t>0</w:t>
            </w:r>
          </w:p>
        </w:tc>
        <w:tc>
          <w:tcPr>
            <w:tcW w:w="708" w:type="dxa"/>
            <w:vAlign w:val="center"/>
          </w:tcPr>
          <w:p>
            <w:pPr>
              <w:jc w:val="center"/>
              <w:rPr>
                <w:rFonts w:hint="eastAsia" w:eastAsiaTheme="minorEastAsia"/>
                <w:szCs w:val="21"/>
                <w:lang w:val="en-US" w:eastAsia="zh-CN"/>
              </w:rPr>
            </w:pPr>
            <w:r>
              <w:rPr>
                <w:rFonts w:hint="eastAsia"/>
                <w:szCs w:val="21"/>
                <w:lang w:val="en-US" w:eastAsia="zh-CN"/>
              </w:rPr>
              <w:t>0</w:t>
            </w:r>
          </w:p>
        </w:tc>
        <w:tc>
          <w:tcPr>
            <w:tcW w:w="709" w:type="dxa"/>
            <w:vAlign w:val="center"/>
          </w:tcPr>
          <w:p>
            <w:pPr>
              <w:jc w:val="center"/>
              <w:rPr>
                <w:rFonts w:hint="eastAsia" w:eastAsiaTheme="minorEastAsia"/>
                <w:szCs w:val="21"/>
                <w:lang w:val="en-US" w:eastAsia="zh-CN"/>
              </w:rPr>
            </w:pPr>
            <w:r>
              <w:rPr>
                <w:rFonts w:hint="eastAsia"/>
                <w:szCs w:val="21"/>
                <w:lang w:val="en-US" w:eastAsia="zh-CN"/>
              </w:rPr>
              <w:t>0</w:t>
            </w:r>
          </w:p>
        </w:tc>
        <w:tc>
          <w:tcPr>
            <w:tcW w:w="709" w:type="dxa"/>
            <w:vAlign w:val="center"/>
          </w:tcPr>
          <w:p>
            <w:pPr>
              <w:jc w:val="center"/>
              <w:rPr>
                <w:rFonts w:hint="eastAsia" w:eastAsiaTheme="minorEastAsia"/>
                <w:szCs w:val="21"/>
                <w:lang w:val="en-US" w:eastAsia="zh-CN"/>
              </w:rPr>
            </w:pPr>
            <w:r>
              <w:rPr>
                <w:rFonts w:hint="eastAsia"/>
                <w:szCs w:val="21"/>
                <w:lang w:val="en-US" w:eastAsia="zh-CN"/>
              </w:rPr>
              <w:t>0</w:t>
            </w:r>
          </w:p>
        </w:tc>
        <w:tc>
          <w:tcPr>
            <w:tcW w:w="709" w:type="dxa"/>
            <w:vAlign w:val="center"/>
          </w:tcPr>
          <w:p>
            <w:pPr>
              <w:jc w:val="center"/>
              <w:rPr>
                <w:rFonts w:hint="eastAsia" w:eastAsiaTheme="minorEastAsia"/>
                <w:szCs w:val="21"/>
                <w:lang w:val="en-US" w:eastAsia="zh-CN"/>
              </w:rPr>
            </w:pPr>
            <w:r>
              <w:rPr>
                <w:rFonts w:hint="eastAsia"/>
                <w:szCs w:val="21"/>
                <w:lang w:val="en-US" w:eastAsia="zh-CN"/>
              </w:rPr>
              <w:t>0</w:t>
            </w:r>
          </w:p>
        </w:tc>
        <w:tc>
          <w:tcPr>
            <w:tcW w:w="425" w:type="dxa"/>
            <w:vAlign w:val="center"/>
          </w:tcPr>
          <w:p>
            <w:pPr>
              <w:jc w:val="center"/>
              <w:rPr>
                <w:rFonts w:hint="eastAsia" w:eastAsiaTheme="minorEastAsia"/>
                <w:szCs w:val="21"/>
                <w:lang w:val="en-US" w:eastAsia="zh-CN"/>
              </w:rPr>
            </w:pPr>
            <w:r>
              <w:rPr>
                <w:rFonts w:hint="eastAsia"/>
                <w:szCs w:val="21"/>
                <w:lang w:val="en-US" w:eastAsia="zh-CN"/>
              </w:rPr>
              <w:t>0</w:t>
            </w:r>
          </w:p>
        </w:tc>
        <w:tc>
          <w:tcPr>
            <w:tcW w:w="709" w:type="dxa"/>
            <w:vAlign w:val="center"/>
          </w:tcPr>
          <w:p>
            <w:pPr>
              <w:jc w:val="center"/>
              <w:rPr>
                <w:rFonts w:hint="eastAsia" w:eastAsiaTheme="minorEastAsia"/>
                <w:szCs w:val="21"/>
                <w:lang w:val="en-US" w:eastAsia="zh-CN"/>
              </w:rPr>
            </w:pPr>
            <w:r>
              <w:rPr>
                <w:rFonts w:hint="eastAsia"/>
                <w:szCs w:val="21"/>
                <w:lang w:val="en-US" w:eastAsia="zh-CN"/>
              </w:rPr>
              <w:t>0</w:t>
            </w:r>
          </w:p>
        </w:tc>
        <w:tc>
          <w:tcPr>
            <w:tcW w:w="708" w:type="dxa"/>
            <w:vAlign w:val="center"/>
          </w:tcPr>
          <w:p>
            <w:pPr>
              <w:jc w:val="center"/>
              <w:rPr>
                <w:rFonts w:hint="eastAsia" w:eastAsiaTheme="minorEastAsia"/>
                <w:szCs w:val="21"/>
                <w:lang w:val="en-US" w:eastAsia="zh-CN"/>
              </w:rPr>
            </w:pPr>
            <w:r>
              <w:rPr>
                <w:rFonts w:hint="eastAsia"/>
                <w:szCs w:val="21"/>
                <w:lang w:val="en-US" w:eastAsia="zh-CN"/>
              </w:rPr>
              <w:t>0</w:t>
            </w:r>
          </w:p>
        </w:tc>
        <w:tc>
          <w:tcPr>
            <w:tcW w:w="709" w:type="dxa"/>
            <w:vAlign w:val="center"/>
          </w:tcPr>
          <w:p>
            <w:pPr>
              <w:jc w:val="center"/>
              <w:rPr>
                <w:rFonts w:hint="eastAsia" w:eastAsiaTheme="minorEastAsia"/>
                <w:szCs w:val="21"/>
                <w:lang w:val="en-US" w:eastAsia="zh-CN"/>
              </w:rPr>
            </w:pPr>
            <w:r>
              <w:rPr>
                <w:rFonts w:hint="eastAsia"/>
                <w:szCs w:val="21"/>
                <w:lang w:val="en-US" w:eastAsia="zh-CN"/>
              </w:rPr>
              <w:t>0</w:t>
            </w:r>
          </w:p>
        </w:tc>
        <w:tc>
          <w:tcPr>
            <w:tcW w:w="694" w:type="dxa"/>
            <w:vAlign w:val="center"/>
          </w:tcPr>
          <w:p>
            <w:pPr>
              <w:jc w:val="center"/>
              <w:rPr>
                <w:rFonts w:hint="eastAsia" w:eastAsiaTheme="minorEastAsia"/>
                <w:szCs w:val="21"/>
                <w:lang w:val="en-US" w:eastAsia="zh-CN"/>
              </w:rPr>
            </w:pPr>
            <w:r>
              <w:rPr>
                <w:rFonts w:hint="eastAsia"/>
                <w:szCs w:val="21"/>
                <w:lang w:val="en-US" w:eastAsia="zh-CN"/>
              </w:rPr>
              <w:t>0</w:t>
            </w:r>
          </w:p>
        </w:tc>
        <w:tc>
          <w:tcPr>
            <w:tcW w:w="425" w:type="dxa"/>
            <w:vAlign w:val="center"/>
          </w:tcPr>
          <w:p>
            <w:pPr>
              <w:jc w:val="center"/>
              <w:rPr>
                <w:rFonts w:hint="eastAsia" w:eastAsiaTheme="minorEastAsia"/>
                <w:szCs w:val="21"/>
                <w:lang w:val="en-US" w:eastAsia="zh-CN"/>
              </w:rPr>
            </w:pPr>
            <w:r>
              <w:rPr>
                <w:rFonts w:hint="eastAsia"/>
                <w:szCs w:val="21"/>
                <w:lang w:val="en-US" w:eastAsia="zh-CN"/>
              </w:rPr>
              <w:t>0</w:t>
            </w:r>
          </w:p>
        </w:tc>
      </w:tr>
    </w:tbl>
    <w:p>
      <w:pP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70" w:lineRule="atLeast"/>
        <w:ind w:left="0" w:right="0" w:firstLine="645"/>
        <w:jc w:val="both"/>
        <w:rPr>
          <w:rFonts w:hint="eastAsia" w:ascii="楷体_GB2312" w:eastAsia="楷体_GB2312" w:cs="楷体_GB2312" w:hAnsiTheme="minorHAnsi"/>
          <w:sz w:val="32"/>
          <w:szCs w:val="32"/>
          <w:lang w:eastAsia="zh-CN"/>
        </w:rPr>
      </w:pPr>
      <w:r>
        <w:rPr>
          <w:rFonts w:hint="eastAsia" w:ascii="楷体_GB2312" w:eastAsia="楷体_GB2312" w:cs="楷体_GB2312" w:hAnsiTheme="minorHAnsi"/>
          <w:sz w:val="32"/>
          <w:szCs w:val="32"/>
          <w:lang w:eastAsia="zh-CN"/>
        </w:rPr>
        <w:t>（</w:t>
      </w:r>
      <w:r>
        <w:rPr>
          <w:rFonts w:hint="eastAsia" w:ascii="楷体_GB2312" w:eastAsia="楷体_GB2312" w:cs="楷体_GB2312" w:hAnsiTheme="minorHAnsi"/>
          <w:sz w:val="32"/>
          <w:szCs w:val="32"/>
          <w:lang w:val="en-US" w:eastAsia="zh-CN"/>
        </w:rPr>
        <w:t>一</w:t>
      </w:r>
      <w:r>
        <w:rPr>
          <w:rFonts w:hint="eastAsia" w:ascii="楷体_GB2312" w:eastAsia="楷体_GB2312" w:cs="楷体_GB2312" w:hAnsiTheme="minorHAnsi"/>
          <w:sz w:val="32"/>
          <w:szCs w:val="32"/>
          <w:lang w:eastAsia="zh-CN"/>
        </w:rPr>
        <w:t>）在</w:t>
      </w:r>
      <w:r>
        <w:rPr>
          <w:rFonts w:hint="eastAsia" w:ascii="楷体_GB2312" w:eastAsia="楷体_GB2312" w:cs="楷体_GB2312" w:hAnsiTheme="minorHAnsi"/>
          <w:sz w:val="32"/>
          <w:szCs w:val="32"/>
        </w:rPr>
        <w:t>政府信息公开工作方面主要存在问题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70" w:lineRule="atLeast"/>
        <w:ind w:left="0" w:right="0" w:firstLine="645"/>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一是队伍建设薄弱、力量缺乏，</w:t>
      </w:r>
      <w:r>
        <w:rPr>
          <w:rFonts w:hint="eastAsia" w:ascii="仿宋_GB2312" w:hAnsi="仿宋_GB2312" w:eastAsia="仿宋_GB2312" w:cs="仿宋_GB2312"/>
          <w:i w:val="0"/>
          <w:iCs w:val="0"/>
          <w:caps w:val="0"/>
          <w:color w:val="000000"/>
          <w:spacing w:val="0"/>
          <w:sz w:val="32"/>
          <w:szCs w:val="32"/>
          <w:lang w:val="en-US" w:eastAsia="zh-CN"/>
        </w:rPr>
        <w:t>街道</w:t>
      </w:r>
      <w:r>
        <w:rPr>
          <w:rFonts w:hint="eastAsia" w:ascii="仿宋_GB2312" w:hAnsi="仿宋_GB2312" w:eastAsia="仿宋_GB2312" w:cs="仿宋_GB2312"/>
          <w:i w:val="0"/>
          <w:iCs w:val="0"/>
          <w:caps w:val="0"/>
          <w:color w:val="000000"/>
          <w:spacing w:val="0"/>
          <w:sz w:val="32"/>
          <w:szCs w:val="32"/>
        </w:rPr>
        <w:t>负责政务公开的同志为党政办工作人员，属兼职，缺乏对政务公开工作理论知识系统性学习；二是由于政务公开涉及面广、政策性强，政府信息公开的体制机制仍需进一步完善，信息公开的时效性有待进一步提高，在公开的形式还不够丰富，公开的格式上还不够完全统一，上述问题有待于今后的工作中进行协调，并加以改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ascii="楷体_GB2312" w:eastAsia="楷体_GB2312" w:cs="楷体_GB2312" w:hAnsiTheme="minorHAnsi"/>
          <w:sz w:val="32"/>
          <w:szCs w:val="32"/>
        </w:rPr>
      </w:pPr>
      <w:r>
        <w:rPr>
          <w:rFonts w:hint="eastAsia" w:ascii="楷体_GB2312" w:eastAsia="楷体_GB2312" w:cs="楷体_GB2312" w:hAnsiTheme="minorHAnsi"/>
          <w:sz w:val="32"/>
          <w:szCs w:val="32"/>
          <w:lang w:val="en-US" w:eastAsia="zh-CN"/>
        </w:rPr>
        <w:t>（二）具体改进措施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一是强化队伍建设，加强业务培训，认真组织学习《中华人民共和国政府信息公开条例》</w:t>
      </w:r>
      <w:r>
        <w:rPr>
          <w:rFonts w:hint="eastAsia" w:ascii="仿宋_GB2312" w:hAnsi="仿宋_GB2312" w:eastAsia="仿宋_GB2312" w:cs="仿宋_GB2312"/>
          <w:i w:val="0"/>
          <w:iCs w:val="0"/>
          <w:caps w:val="0"/>
          <w:color w:val="000000"/>
          <w:spacing w:val="0"/>
          <w:sz w:val="32"/>
          <w:szCs w:val="32"/>
          <w:lang w:eastAsia="zh-CN"/>
        </w:rPr>
        <w:t>和</w:t>
      </w:r>
      <w:r>
        <w:rPr>
          <w:rFonts w:hint="eastAsia" w:ascii="仿宋_GB2312" w:hAnsi="仿宋_GB2312" w:eastAsia="仿宋_GB2312" w:cs="仿宋_GB2312"/>
          <w:i w:val="0"/>
          <w:iCs w:val="0"/>
          <w:caps w:val="0"/>
          <w:color w:val="000000"/>
          <w:spacing w:val="0"/>
          <w:sz w:val="32"/>
          <w:szCs w:val="32"/>
        </w:rPr>
        <w:t>《国务院办公厅关于施行中华人民共和国政府信息公开条例若干问题的意见》和省、市、区关于加强政务公开工作的有关规定</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相关政策文件等条例和相关文件，不断提高业务人员工作和水平</w:t>
      </w:r>
      <w:r>
        <w:rPr>
          <w:rFonts w:hint="eastAsia" w:ascii="仿宋_GB2312" w:hAnsi="仿宋_GB2312" w:eastAsia="仿宋_GB2312" w:cs="仿宋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进一步深化学习认真对照基层政务公开标准,确定工作标准,定期开展政务公开自查工作,结合平时督查,对发现的问题及时整改,防止出现死角和漏洞。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70" w:lineRule="atLeast"/>
        <w:ind w:left="0" w:right="0" w:firstLine="645"/>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二是进一步提高认识。</w:t>
      </w:r>
      <w:r>
        <w:rPr>
          <w:rFonts w:hint="default" w:ascii="仿宋_GB2312" w:hAnsi="仿宋_GB2312" w:eastAsia="仿宋_GB2312" w:cs="仿宋_GB2312"/>
          <w:i w:val="0"/>
          <w:iCs w:val="0"/>
          <w:caps w:val="0"/>
          <w:color w:val="000000"/>
          <w:spacing w:val="0"/>
          <w:sz w:val="32"/>
          <w:szCs w:val="32"/>
        </w:rPr>
        <w:t>克服</w:t>
      </w:r>
      <w:r>
        <w:rPr>
          <w:rFonts w:hint="eastAsia" w:ascii="仿宋_GB2312" w:hAnsi="仿宋_GB2312" w:eastAsia="仿宋_GB2312" w:cs="仿宋_GB2312"/>
          <w:i w:val="0"/>
          <w:iCs w:val="0"/>
          <w:caps w:val="0"/>
          <w:color w:val="000000"/>
          <w:spacing w:val="0"/>
          <w:sz w:val="32"/>
          <w:szCs w:val="32"/>
          <w:lang w:val="en-US" w:eastAsia="zh-CN"/>
        </w:rPr>
        <w:t>镇街</w:t>
      </w:r>
      <w:r>
        <w:rPr>
          <w:rFonts w:hint="default" w:ascii="仿宋_GB2312" w:hAnsi="仿宋_GB2312" w:eastAsia="仿宋_GB2312" w:cs="仿宋_GB2312"/>
          <w:i w:val="0"/>
          <w:iCs w:val="0"/>
          <w:caps w:val="0"/>
          <w:color w:val="000000"/>
          <w:spacing w:val="0"/>
          <w:sz w:val="32"/>
          <w:szCs w:val="32"/>
        </w:rPr>
        <w:t>人少事杂的困难，规范工作流程，及时发布和更新应依法主动公开的政务公开内容，确保政务公开及时公开，</w:t>
      </w:r>
      <w:r>
        <w:rPr>
          <w:rFonts w:hint="eastAsia" w:ascii="仿宋_GB2312" w:hAnsi="仿宋_GB2312" w:eastAsia="仿宋_GB2312" w:cs="仿宋_GB2312"/>
          <w:i w:val="0"/>
          <w:iCs w:val="0"/>
          <w:caps w:val="0"/>
          <w:color w:val="000000"/>
          <w:spacing w:val="0"/>
          <w:sz w:val="32"/>
          <w:szCs w:val="32"/>
        </w:rPr>
        <w:t>及时总结政务公开实践中积累的好做法和新经验，充分发挥其作用，不断提高政务公开工作的质量和水平。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70" w:lineRule="atLeast"/>
        <w:ind w:left="0" w:right="0" w:firstLine="645"/>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三是</w:t>
      </w:r>
      <w:r>
        <w:rPr>
          <w:rFonts w:hint="default" w:ascii="仿宋_GB2312" w:hAnsi="仿宋_GB2312" w:eastAsia="仿宋_GB2312" w:cs="仿宋_GB2312"/>
          <w:i w:val="0"/>
          <w:iCs w:val="0"/>
          <w:caps w:val="0"/>
          <w:color w:val="000000"/>
          <w:spacing w:val="0"/>
          <w:sz w:val="32"/>
          <w:szCs w:val="32"/>
        </w:rPr>
        <w:t>妥善处理好公开与保密的关系。正确把握涉密信息和敏感信息，做到应公开的全部公开，要保密的绝对不泄密</w:t>
      </w:r>
      <w:r>
        <w:rPr>
          <w:rFonts w:hint="eastAsia" w:ascii="仿宋_GB2312" w:hAnsi="仿宋_GB2312" w:eastAsia="仿宋_GB2312" w:cs="仿宋_GB2312"/>
          <w:i w:val="0"/>
          <w:iCs w:val="0"/>
          <w:caps w:val="0"/>
          <w:color w:val="000000"/>
          <w:spacing w:val="0"/>
          <w:sz w:val="32"/>
          <w:szCs w:val="32"/>
          <w:lang w:eastAsia="zh-CN"/>
        </w:rPr>
        <w:t>，</w:t>
      </w:r>
      <w:r>
        <w:rPr>
          <w:rFonts w:hint="default" w:ascii="仿宋_GB2312" w:hAnsi="仿宋_GB2312" w:eastAsia="仿宋_GB2312" w:cs="仿宋_GB2312"/>
          <w:i w:val="0"/>
          <w:iCs w:val="0"/>
          <w:caps w:val="0"/>
          <w:color w:val="000000"/>
          <w:spacing w:val="0"/>
          <w:sz w:val="32"/>
          <w:szCs w:val="32"/>
        </w:rPr>
        <w:t>严格审核把关，认真执行政务公开审核把关签字制度，积极稳妥做好政务公开。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六、其他需要报告的事项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.人大代表建议和政协提案办理结果情况：人大代表建议0件，政协提案0件。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.依据《政府信息公开信息处理费管理办法》收取信息处理费的情况：未收取费用。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rPr>
        <w:t>3.年度政务公开工作创新情况</w:t>
      </w:r>
      <w:r>
        <w:rPr>
          <w:rFonts w:hint="eastAsia" w:ascii="仿宋_GB2312" w:hAnsi="仿宋_GB2312" w:eastAsia="仿宋_GB2312" w:cs="仿宋_GB2312"/>
          <w:i w:val="0"/>
          <w:iCs w:val="0"/>
          <w:caps w:val="0"/>
          <w:color w:val="000000"/>
          <w:spacing w:val="0"/>
          <w:sz w:val="32"/>
          <w:szCs w:val="32"/>
          <w:shd w:val="clear" w:fill="FFFFFF"/>
          <w:lang w:eastAsia="zh-CN"/>
        </w:rPr>
        <w:t>：</w:t>
      </w:r>
    </w:p>
    <w:p>
      <w:pPr>
        <w:spacing w:line="240" w:lineRule="auto"/>
        <w:ind w:firstLine="640" w:firstLineChars="200"/>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color w:val="000000"/>
          <w:sz w:val="32"/>
          <w:szCs w:val="32"/>
        </w:rPr>
        <w:t>本年度积极开展政务公开活动，</w:t>
      </w:r>
      <w:r>
        <w:rPr>
          <w:rFonts w:hint="eastAsia" w:ascii="仿宋_GB2312" w:hAnsi="仿宋_GB2312" w:eastAsia="仿宋_GB2312" w:cs="仿宋_GB2312"/>
          <w:color w:val="000000"/>
          <w:sz w:val="32"/>
          <w:szCs w:val="32"/>
          <w:lang w:eastAsia="zh-CN"/>
        </w:rPr>
        <w:t>在微信公众号建立“便民服务”版块，方便市民进行政务公开、公积金、社保等信息查询，极大地提高了办事效率；</w:t>
      </w:r>
      <w:r>
        <w:rPr>
          <w:rFonts w:hint="eastAsia" w:ascii="仿宋_GB2312" w:hAnsi="仿宋_GB2312" w:eastAsia="仿宋_GB2312" w:cs="仿宋_GB2312"/>
          <w:i w:val="0"/>
          <w:iCs w:val="0"/>
          <w:caps w:val="0"/>
          <w:color w:val="auto"/>
          <w:spacing w:val="15"/>
          <w:sz w:val="32"/>
          <w:szCs w:val="32"/>
          <w:shd w:val="clear" w:fill="FFFFFF"/>
        </w:rPr>
        <w:t>街道便民服务中心在服务大厅外侧设立政务公示栏，率先将工作人员身份亮明，同时立足于群众需求，设置信息公示栏、服务电话栏，政策信息及街道办公电话一目了然。设置</w:t>
      </w:r>
      <w:r>
        <w:rPr>
          <w:rFonts w:hint="default" w:ascii="Times New Roman" w:hAnsi="Times New Roman" w:eastAsia="仿宋_GB2312" w:cs="Times New Roman"/>
          <w:i w:val="0"/>
          <w:iCs w:val="0"/>
          <w:caps w:val="0"/>
          <w:color w:val="auto"/>
          <w:spacing w:val="15"/>
          <w:sz w:val="32"/>
          <w:szCs w:val="32"/>
          <w:shd w:val="clear" w:fill="FFFFFF"/>
        </w:rPr>
        <w:t>24</w:t>
      </w:r>
      <w:r>
        <w:rPr>
          <w:rFonts w:hint="eastAsia" w:ascii="仿宋_GB2312" w:hAnsi="仿宋_GB2312" w:eastAsia="仿宋_GB2312" w:cs="仿宋_GB2312"/>
          <w:i w:val="0"/>
          <w:iCs w:val="0"/>
          <w:caps w:val="0"/>
          <w:color w:val="auto"/>
          <w:spacing w:val="15"/>
          <w:sz w:val="32"/>
          <w:szCs w:val="32"/>
          <w:shd w:val="clear" w:fill="FFFFFF"/>
        </w:rPr>
        <w:t>小时自助服务区，配备政务服务自助终端和商事登记自助服务终端，实现了政务自助服务</w:t>
      </w:r>
      <w:r>
        <w:rPr>
          <w:rFonts w:hint="eastAsia" w:ascii="Times New Roman" w:hAnsi="Times New Roman" w:eastAsia="仿宋_GB2312" w:cs="Times New Roman"/>
          <w:i w:val="0"/>
          <w:iCs w:val="0"/>
          <w:caps w:val="0"/>
          <w:color w:val="auto"/>
          <w:spacing w:val="15"/>
          <w:sz w:val="32"/>
          <w:szCs w:val="32"/>
          <w:shd w:val="clear" w:fill="FFFFFF"/>
        </w:rPr>
        <w:t>24</w:t>
      </w:r>
      <w:r>
        <w:rPr>
          <w:rFonts w:hint="eastAsia" w:ascii="仿宋_GB2312" w:hAnsi="仿宋_GB2312" w:eastAsia="仿宋_GB2312" w:cs="仿宋_GB2312"/>
          <w:i w:val="0"/>
          <w:iCs w:val="0"/>
          <w:caps w:val="0"/>
          <w:color w:val="auto"/>
          <w:spacing w:val="15"/>
          <w:sz w:val="32"/>
          <w:szCs w:val="32"/>
          <w:shd w:val="clear" w:fill="FFFFFF"/>
        </w:rPr>
        <w:t>小时不打烊，有效填补非工作时间段和节假日期间的服务盲点和办事空白，使群众办事更加方便、快捷、周全，进一步提高了服务水平。</w:t>
      </w:r>
    </w:p>
    <w:p>
      <w:pPr>
        <w:spacing w:line="240" w:lineRule="auto"/>
        <w:rPr>
          <w:rFonts w:hint="eastAsia" w:ascii="仿宋_GB2312" w:hAnsi="仿宋_GB2312" w:eastAsia="仿宋_GB2312" w:cs="仿宋_GB2312"/>
          <w:i w:val="0"/>
          <w:iCs w:val="0"/>
          <w:caps w:val="0"/>
          <w:color w:val="auto"/>
          <w:spacing w:val="15"/>
          <w:sz w:val="32"/>
          <w:szCs w:val="32"/>
          <w:shd w:val="clear" w:fill="FFFFFF"/>
          <w:lang w:eastAsia="zh-CN"/>
        </w:rPr>
      </w:pP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齐陵街道办事处</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2023年1月17日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DD1FC0-7132-49B3-8567-4278C779F5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3885881-F63D-4432-8283-4E521BA677E1}"/>
  </w:font>
  <w:font w:name="仿宋_GB2312">
    <w:panose1 w:val="02010609030101010101"/>
    <w:charset w:val="86"/>
    <w:family w:val="auto"/>
    <w:pitch w:val="default"/>
    <w:sig w:usb0="00000001" w:usb1="080E0000" w:usb2="00000000" w:usb3="00000000" w:csb0="00040000" w:csb1="00000000"/>
    <w:embedRegular r:id="rId3" w:fontKey="{7E7500DE-61D8-4FC5-B67B-9CD48E38A5D6}"/>
  </w:font>
  <w:font w:name="方正小标宋简体">
    <w:panose1 w:val="02000000000000000000"/>
    <w:charset w:val="86"/>
    <w:family w:val="script"/>
    <w:pitch w:val="default"/>
    <w:sig w:usb0="00000001" w:usb1="080E0000" w:usb2="00000000" w:usb3="00000000" w:csb0="00040000" w:csb1="00000000"/>
    <w:embedRegular r:id="rId4" w:fontKey="{8C7DB6BD-703E-49D8-A85B-5B40C52E25E1}"/>
  </w:font>
  <w:font w:name="仿宋">
    <w:panose1 w:val="02010609060101010101"/>
    <w:charset w:val="86"/>
    <w:family w:val="modern"/>
    <w:pitch w:val="default"/>
    <w:sig w:usb0="800002BF" w:usb1="38CF7CFA" w:usb2="00000016" w:usb3="00000000" w:csb0="00040001" w:csb1="00000000"/>
    <w:embedRegular r:id="rId5" w:fontKey="{FA7D29BB-8E77-42DE-AD59-807BBBC7FA9D}"/>
  </w:font>
  <w:font w:name="楷体_GB2312">
    <w:altName w:val="楷体"/>
    <w:panose1 w:val="02010609030101010101"/>
    <w:charset w:val="86"/>
    <w:family w:val="modern"/>
    <w:pitch w:val="default"/>
    <w:sig w:usb0="00000000" w:usb1="00000000" w:usb2="00000010" w:usb3="00000000" w:csb0="00040000" w:csb1="00000000"/>
    <w:embedRegular r:id="rId6" w:fontKey="{63173A30-A7EE-493A-8D9F-A57F7F82485F}"/>
  </w:font>
  <w:font w:name="微软雅黑">
    <w:panose1 w:val="020B0503020204020204"/>
    <w:charset w:val="86"/>
    <w:family w:val="auto"/>
    <w:pitch w:val="default"/>
    <w:sig w:usb0="80000287" w:usb1="2ACF3C50" w:usb2="00000016" w:usb3="00000000" w:csb0="0004001F" w:csb1="00000000"/>
    <w:embedRegular r:id="rId7" w:fontKey="{111B740D-D826-44B2-A6A6-77A0D1295A2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659"/>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B9FF8A"/>
    <w:multiLevelType w:val="singleLevel"/>
    <w:tmpl w:val="3AB9FF8A"/>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YTBlNjExMWIwMWI4YTBiMjNkYjNlNTkyODVkNGEifQ=="/>
  </w:docVars>
  <w:rsids>
    <w:rsidRoot w:val="00E04258"/>
    <w:rsid w:val="00001C9E"/>
    <w:rsid w:val="0000594A"/>
    <w:rsid w:val="00013109"/>
    <w:rsid w:val="00023AAC"/>
    <w:rsid w:val="00024810"/>
    <w:rsid w:val="00030DFB"/>
    <w:rsid w:val="000414C6"/>
    <w:rsid w:val="00042CA0"/>
    <w:rsid w:val="00043D31"/>
    <w:rsid w:val="00046423"/>
    <w:rsid w:val="00052AD6"/>
    <w:rsid w:val="00055473"/>
    <w:rsid w:val="00055E11"/>
    <w:rsid w:val="00056B8B"/>
    <w:rsid w:val="00063220"/>
    <w:rsid w:val="0006628C"/>
    <w:rsid w:val="000706E1"/>
    <w:rsid w:val="00085190"/>
    <w:rsid w:val="00087FF0"/>
    <w:rsid w:val="00092898"/>
    <w:rsid w:val="00094E08"/>
    <w:rsid w:val="00097052"/>
    <w:rsid w:val="000A5D01"/>
    <w:rsid w:val="000B1602"/>
    <w:rsid w:val="000C34FF"/>
    <w:rsid w:val="000C7BD7"/>
    <w:rsid w:val="000D4473"/>
    <w:rsid w:val="000E1057"/>
    <w:rsid w:val="000F497F"/>
    <w:rsid w:val="000F7617"/>
    <w:rsid w:val="00105B3E"/>
    <w:rsid w:val="001108EA"/>
    <w:rsid w:val="001240A4"/>
    <w:rsid w:val="00125C8A"/>
    <w:rsid w:val="00127976"/>
    <w:rsid w:val="00131A3C"/>
    <w:rsid w:val="0013565C"/>
    <w:rsid w:val="00140E3F"/>
    <w:rsid w:val="00143DC5"/>
    <w:rsid w:val="00144ABF"/>
    <w:rsid w:val="00144B5F"/>
    <w:rsid w:val="00170D63"/>
    <w:rsid w:val="00172B20"/>
    <w:rsid w:val="0017420B"/>
    <w:rsid w:val="0017427C"/>
    <w:rsid w:val="00176618"/>
    <w:rsid w:val="00176B17"/>
    <w:rsid w:val="00187315"/>
    <w:rsid w:val="001900C0"/>
    <w:rsid w:val="00196FD6"/>
    <w:rsid w:val="001A21B5"/>
    <w:rsid w:val="001B26AB"/>
    <w:rsid w:val="001B4410"/>
    <w:rsid w:val="001C1DC2"/>
    <w:rsid w:val="001C4706"/>
    <w:rsid w:val="001C6DFA"/>
    <w:rsid w:val="001C6F55"/>
    <w:rsid w:val="001D41A6"/>
    <w:rsid w:val="001E0CBD"/>
    <w:rsid w:val="001E5A28"/>
    <w:rsid w:val="001E72C7"/>
    <w:rsid w:val="002019C6"/>
    <w:rsid w:val="00204AA5"/>
    <w:rsid w:val="00205590"/>
    <w:rsid w:val="002157C1"/>
    <w:rsid w:val="00216261"/>
    <w:rsid w:val="00216DF6"/>
    <w:rsid w:val="0021763D"/>
    <w:rsid w:val="00224377"/>
    <w:rsid w:val="002264B1"/>
    <w:rsid w:val="0023206E"/>
    <w:rsid w:val="00234868"/>
    <w:rsid w:val="0023602C"/>
    <w:rsid w:val="00240EAF"/>
    <w:rsid w:val="00246626"/>
    <w:rsid w:val="002572C0"/>
    <w:rsid w:val="002604BD"/>
    <w:rsid w:val="00270C0E"/>
    <w:rsid w:val="0027691A"/>
    <w:rsid w:val="00276B13"/>
    <w:rsid w:val="00276E5B"/>
    <w:rsid w:val="002774CD"/>
    <w:rsid w:val="0028009A"/>
    <w:rsid w:val="002A188B"/>
    <w:rsid w:val="002A1F5C"/>
    <w:rsid w:val="002B463A"/>
    <w:rsid w:val="002B6F68"/>
    <w:rsid w:val="002D115E"/>
    <w:rsid w:val="002D6A99"/>
    <w:rsid w:val="002D70DF"/>
    <w:rsid w:val="002E594D"/>
    <w:rsid w:val="002E6EDF"/>
    <w:rsid w:val="0031332E"/>
    <w:rsid w:val="003135A4"/>
    <w:rsid w:val="003164F6"/>
    <w:rsid w:val="00316CE4"/>
    <w:rsid w:val="003257C1"/>
    <w:rsid w:val="003318E7"/>
    <w:rsid w:val="00332905"/>
    <w:rsid w:val="00334C65"/>
    <w:rsid w:val="00357E22"/>
    <w:rsid w:val="00357E4E"/>
    <w:rsid w:val="003638D5"/>
    <w:rsid w:val="00363B37"/>
    <w:rsid w:val="0038169B"/>
    <w:rsid w:val="00383519"/>
    <w:rsid w:val="003856CA"/>
    <w:rsid w:val="00390173"/>
    <w:rsid w:val="0039072E"/>
    <w:rsid w:val="00395676"/>
    <w:rsid w:val="00397E9C"/>
    <w:rsid w:val="003A4408"/>
    <w:rsid w:val="003A617F"/>
    <w:rsid w:val="003B4A71"/>
    <w:rsid w:val="003C0527"/>
    <w:rsid w:val="003C44C8"/>
    <w:rsid w:val="003C5789"/>
    <w:rsid w:val="003D6959"/>
    <w:rsid w:val="003D7EB2"/>
    <w:rsid w:val="003E1F92"/>
    <w:rsid w:val="003E6B2B"/>
    <w:rsid w:val="003F2DA8"/>
    <w:rsid w:val="003F38D1"/>
    <w:rsid w:val="003F538D"/>
    <w:rsid w:val="00405DB6"/>
    <w:rsid w:val="00414EEE"/>
    <w:rsid w:val="00420F86"/>
    <w:rsid w:val="00423431"/>
    <w:rsid w:val="00434746"/>
    <w:rsid w:val="00446210"/>
    <w:rsid w:val="00460593"/>
    <w:rsid w:val="0046437F"/>
    <w:rsid w:val="004713FB"/>
    <w:rsid w:val="00473626"/>
    <w:rsid w:val="00481ED7"/>
    <w:rsid w:val="00481FD3"/>
    <w:rsid w:val="004847BC"/>
    <w:rsid w:val="0048518B"/>
    <w:rsid w:val="004936CF"/>
    <w:rsid w:val="00495EBA"/>
    <w:rsid w:val="004A6081"/>
    <w:rsid w:val="004B1B2D"/>
    <w:rsid w:val="004B36CF"/>
    <w:rsid w:val="004B3DE8"/>
    <w:rsid w:val="004B53B3"/>
    <w:rsid w:val="004B7413"/>
    <w:rsid w:val="004D2882"/>
    <w:rsid w:val="004D7633"/>
    <w:rsid w:val="004D788E"/>
    <w:rsid w:val="004E5DF1"/>
    <w:rsid w:val="004F244D"/>
    <w:rsid w:val="004F2625"/>
    <w:rsid w:val="004F39DF"/>
    <w:rsid w:val="005026C8"/>
    <w:rsid w:val="00503B08"/>
    <w:rsid w:val="00504DE1"/>
    <w:rsid w:val="005162AB"/>
    <w:rsid w:val="00523B84"/>
    <w:rsid w:val="0052540C"/>
    <w:rsid w:val="00531036"/>
    <w:rsid w:val="00533338"/>
    <w:rsid w:val="0053359A"/>
    <w:rsid w:val="00540904"/>
    <w:rsid w:val="00543FE0"/>
    <w:rsid w:val="005637BC"/>
    <w:rsid w:val="00564F0C"/>
    <w:rsid w:val="00567AE3"/>
    <w:rsid w:val="0057319B"/>
    <w:rsid w:val="005771DE"/>
    <w:rsid w:val="00580B3B"/>
    <w:rsid w:val="005818BC"/>
    <w:rsid w:val="00582EFB"/>
    <w:rsid w:val="00584920"/>
    <w:rsid w:val="00586957"/>
    <w:rsid w:val="00593F9E"/>
    <w:rsid w:val="0059666D"/>
    <w:rsid w:val="005A3BFA"/>
    <w:rsid w:val="005C071E"/>
    <w:rsid w:val="005D4DA2"/>
    <w:rsid w:val="005D7981"/>
    <w:rsid w:val="005E2D72"/>
    <w:rsid w:val="005E5225"/>
    <w:rsid w:val="005E5EA6"/>
    <w:rsid w:val="005F07DB"/>
    <w:rsid w:val="005F410F"/>
    <w:rsid w:val="005F7CFA"/>
    <w:rsid w:val="006001B7"/>
    <w:rsid w:val="00604767"/>
    <w:rsid w:val="00607754"/>
    <w:rsid w:val="00607BD2"/>
    <w:rsid w:val="00614243"/>
    <w:rsid w:val="00615468"/>
    <w:rsid w:val="0062406E"/>
    <w:rsid w:val="00630352"/>
    <w:rsid w:val="00633AD3"/>
    <w:rsid w:val="00634DDC"/>
    <w:rsid w:val="006359EF"/>
    <w:rsid w:val="006364F7"/>
    <w:rsid w:val="00640DE1"/>
    <w:rsid w:val="006419CD"/>
    <w:rsid w:val="00641A49"/>
    <w:rsid w:val="00641B33"/>
    <w:rsid w:val="00651342"/>
    <w:rsid w:val="0065594E"/>
    <w:rsid w:val="00660AAE"/>
    <w:rsid w:val="006634C0"/>
    <w:rsid w:val="00675D05"/>
    <w:rsid w:val="00677652"/>
    <w:rsid w:val="006821DB"/>
    <w:rsid w:val="00687144"/>
    <w:rsid w:val="0069301A"/>
    <w:rsid w:val="00693534"/>
    <w:rsid w:val="00697E19"/>
    <w:rsid w:val="00697EE4"/>
    <w:rsid w:val="006A1171"/>
    <w:rsid w:val="006A5226"/>
    <w:rsid w:val="006A5288"/>
    <w:rsid w:val="006B72A8"/>
    <w:rsid w:val="006C2EA0"/>
    <w:rsid w:val="006C58BC"/>
    <w:rsid w:val="006C656F"/>
    <w:rsid w:val="006E0094"/>
    <w:rsid w:val="006E2256"/>
    <w:rsid w:val="006E2790"/>
    <w:rsid w:val="006E63B8"/>
    <w:rsid w:val="007011FB"/>
    <w:rsid w:val="007061A3"/>
    <w:rsid w:val="007129AD"/>
    <w:rsid w:val="00714451"/>
    <w:rsid w:val="00717EE3"/>
    <w:rsid w:val="007218A5"/>
    <w:rsid w:val="007234A6"/>
    <w:rsid w:val="00723B47"/>
    <w:rsid w:val="00723D67"/>
    <w:rsid w:val="00724A6A"/>
    <w:rsid w:val="00731CB1"/>
    <w:rsid w:val="00732D81"/>
    <w:rsid w:val="00733F31"/>
    <w:rsid w:val="00736923"/>
    <w:rsid w:val="00736C50"/>
    <w:rsid w:val="00741A40"/>
    <w:rsid w:val="00746739"/>
    <w:rsid w:val="00755418"/>
    <w:rsid w:val="007611C0"/>
    <w:rsid w:val="007720F2"/>
    <w:rsid w:val="00772EA0"/>
    <w:rsid w:val="007745BE"/>
    <w:rsid w:val="00781A3D"/>
    <w:rsid w:val="00791D32"/>
    <w:rsid w:val="007A02B5"/>
    <w:rsid w:val="007A39A8"/>
    <w:rsid w:val="007A3DB5"/>
    <w:rsid w:val="007A46E1"/>
    <w:rsid w:val="007A4F8C"/>
    <w:rsid w:val="007B346E"/>
    <w:rsid w:val="007B68D1"/>
    <w:rsid w:val="007C2141"/>
    <w:rsid w:val="007C53E0"/>
    <w:rsid w:val="007C5C81"/>
    <w:rsid w:val="007D0AF2"/>
    <w:rsid w:val="007D3AB6"/>
    <w:rsid w:val="007D4916"/>
    <w:rsid w:val="007D59C4"/>
    <w:rsid w:val="007D71FE"/>
    <w:rsid w:val="007E07E3"/>
    <w:rsid w:val="007E2505"/>
    <w:rsid w:val="007E55EA"/>
    <w:rsid w:val="007F22F8"/>
    <w:rsid w:val="007F43FC"/>
    <w:rsid w:val="00802361"/>
    <w:rsid w:val="00804E65"/>
    <w:rsid w:val="00805ABE"/>
    <w:rsid w:val="00813BC0"/>
    <w:rsid w:val="00820BB8"/>
    <w:rsid w:val="00830865"/>
    <w:rsid w:val="0083723A"/>
    <w:rsid w:val="00842C3D"/>
    <w:rsid w:val="00842E24"/>
    <w:rsid w:val="00852EEB"/>
    <w:rsid w:val="008556C2"/>
    <w:rsid w:val="00855B3A"/>
    <w:rsid w:val="00856193"/>
    <w:rsid w:val="008579AB"/>
    <w:rsid w:val="008608A2"/>
    <w:rsid w:val="008613A8"/>
    <w:rsid w:val="00873E0F"/>
    <w:rsid w:val="00875291"/>
    <w:rsid w:val="00881404"/>
    <w:rsid w:val="00892DC4"/>
    <w:rsid w:val="008977A9"/>
    <w:rsid w:val="008A0545"/>
    <w:rsid w:val="008A171F"/>
    <w:rsid w:val="008A3BC0"/>
    <w:rsid w:val="008A66F8"/>
    <w:rsid w:val="008B2FD1"/>
    <w:rsid w:val="008B5D19"/>
    <w:rsid w:val="008B6607"/>
    <w:rsid w:val="008C2625"/>
    <w:rsid w:val="008C37A3"/>
    <w:rsid w:val="008D2DBD"/>
    <w:rsid w:val="008D6B7B"/>
    <w:rsid w:val="008F142B"/>
    <w:rsid w:val="008F188C"/>
    <w:rsid w:val="008F51FF"/>
    <w:rsid w:val="00904289"/>
    <w:rsid w:val="00906B9B"/>
    <w:rsid w:val="00912FB0"/>
    <w:rsid w:val="00913531"/>
    <w:rsid w:val="0092086C"/>
    <w:rsid w:val="00920A8C"/>
    <w:rsid w:val="0092182B"/>
    <w:rsid w:val="00930D46"/>
    <w:rsid w:val="00935E77"/>
    <w:rsid w:val="00940C11"/>
    <w:rsid w:val="009515FD"/>
    <w:rsid w:val="0096093C"/>
    <w:rsid w:val="00962CD0"/>
    <w:rsid w:val="00966C94"/>
    <w:rsid w:val="0097065C"/>
    <w:rsid w:val="00975A80"/>
    <w:rsid w:val="0098598B"/>
    <w:rsid w:val="00993C26"/>
    <w:rsid w:val="009B0107"/>
    <w:rsid w:val="009B7848"/>
    <w:rsid w:val="009C460B"/>
    <w:rsid w:val="009D452F"/>
    <w:rsid w:val="009E68DF"/>
    <w:rsid w:val="009F4FD2"/>
    <w:rsid w:val="00A03AC4"/>
    <w:rsid w:val="00A03E53"/>
    <w:rsid w:val="00A06E87"/>
    <w:rsid w:val="00A1342F"/>
    <w:rsid w:val="00A143E6"/>
    <w:rsid w:val="00A22178"/>
    <w:rsid w:val="00A25860"/>
    <w:rsid w:val="00A353B4"/>
    <w:rsid w:val="00A35AE0"/>
    <w:rsid w:val="00A36C3E"/>
    <w:rsid w:val="00A47C35"/>
    <w:rsid w:val="00A55405"/>
    <w:rsid w:val="00A6302E"/>
    <w:rsid w:val="00A65792"/>
    <w:rsid w:val="00A7163D"/>
    <w:rsid w:val="00A75587"/>
    <w:rsid w:val="00A759E5"/>
    <w:rsid w:val="00A82619"/>
    <w:rsid w:val="00A86F1B"/>
    <w:rsid w:val="00A919F7"/>
    <w:rsid w:val="00A93492"/>
    <w:rsid w:val="00A944C5"/>
    <w:rsid w:val="00AA3C78"/>
    <w:rsid w:val="00AA7AEC"/>
    <w:rsid w:val="00AA7B4B"/>
    <w:rsid w:val="00AB031E"/>
    <w:rsid w:val="00AB09E9"/>
    <w:rsid w:val="00AC222F"/>
    <w:rsid w:val="00AD1A81"/>
    <w:rsid w:val="00AD1C82"/>
    <w:rsid w:val="00AD1D6B"/>
    <w:rsid w:val="00AD49B5"/>
    <w:rsid w:val="00AD76B6"/>
    <w:rsid w:val="00AE6C57"/>
    <w:rsid w:val="00AF2313"/>
    <w:rsid w:val="00AF50F4"/>
    <w:rsid w:val="00B0337D"/>
    <w:rsid w:val="00B1769A"/>
    <w:rsid w:val="00B23183"/>
    <w:rsid w:val="00B245B9"/>
    <w:rsid w:val="00B33075"/>
    <w:rsid w:val="00B414D1"/>
    <w:rsid w:val="00B459E2"/>
    <w:rsid w:val="00B53141"/>
    <w:rsid w:val="00B559FA"/>
    <w:rsid w:val="00B811E5"/>
    <w:rsid w:val="00B8236F"/>
    <w:rsid w:val="00B835A5"/>
    <w:rsid w:val="00B91004"/>
    <w:rsid w:val="00BA000D"/>
    <w:rsid w:val="00BA45ED"/>
    <w:rsid w:val="00BA486D"/>
    <w:rsid w:val="00BC0376"/>
    <w:rsid w:val="00BC0DDF"/>
    <w:rsid w:val="00BC34AC"/>
    <w:rsid w:val="00BD1CAC"/>
    <w:rsid w:val="00BD4F6B"/>
    <w:rsid w:val="00BD789A"/>
    <w:rsid w:val="00BE03F8"/>
    <w:rsid w:val="00BE26F0"/>
    <w:rsid w:val="00BE3FA5"/>
    <w:rsid w:val="00BE4FAC"/>
    <w:rsid w:val="00BF3636"/>
    <w:rsid w:val="00BF42A9"/>
    <w:rsid w:val="00C04961"/>
    <w:rsid w:val="00C055A1"/>
    <w:rsid w:val="00C11BC3"/>
    <w:rsid w:val="00C11D2B"/>
    <w:rsid w:val="00C17388"/>
    <w:rsid w:val="00C206ED"/>
    <w:rsid w:val="00C217D5"/>
    <w:rsid w:val="00C234EF"/>
    <w:rsid w:val="00C307E5"/>
    <w:rsid w:val="00C61A42"/>
    <w:rsid w:val="00C63784"/>
    <w:rsid w:val="00C665B4"/>
    <w:rsid w:val="00C71268"/>
    <w:rsid w:val="00C75B28"/>
    <w:rsid w:val="00C762CA"/>
    <w:rsid w:val="00C83C1A"/>
    <w:rsid w:val="00C90488"/>
    <w:rsid w:val="00C90FBF"/>
    <w:rsid w:val="00C957F6"/>
    <w:rsid w:val="00CA24FE"/>
    <w:rsid w:val="00CA4E64"/>
    <w:rsid w:val="00CB7A70"/>
    <w:rsid w:val="00CC09E5"/>
    <w:rsid w:val="00CC51DA"/>
    <w:rsid w:val="00CD6DCF"/>
    <w:rsid w:val="00CE33B0"/>
    <w:rsid w:val="00CE7BFF"/>
    <w:rsid w:val="00CF2399"/>
    <w:rsid w:val="00CF3DD6"/>
    <w:rsid w:val="00CF509B"/>
    <w:rsid w:val="00CF7DF1"/>
    <w:rsid w:val="00D06B46"/>
    <w:rsid w:val="00D16C7E"/>
    <w:rsid w:val="00D17DF3"/>
    <w:rsid w:val="00D201BD"/>
    <w:rsid w:val="00D21479"/>
    <w:rsid w:val="00D2358D"/>
    <w:rsid w:val="00D25962"/>
    <w:rsid w:val="00D33F3A"/>
    <w:rsid w:val="00D4484C"/>
    <w:rsid w:val="00D53AC2"/>
    <w:rsid w:val="00D54B78"/>
    <w:rsid w:val="00D7609C"/>
    <w:rsid w:val="00D7673F"/>
    <w:rsid w:val="00D81D7A"/>
    <w:rsid w:val="00D96A77"/>
    <w:rsid w:val="00DA076B"/>
    <w:rsid w:val="00DA1BF9"/>
    <w:rsid w:val="00DA443C"/>
    <w:rsid w:val="00DA4831"/>
    <w:rsid w:val="00DA546B"/>
    <w:rsid w:val="00DA5691"/>
    <w:rsid w:val="00DC2AFC"/>
    <w:rsid w:val="00DE0CC2"/>
    <w:rsid w:val="00DE7D42"/>
    <w:rsid w:val="00DF0951"/>
    <w:rsid w:val="00DF3C2A"/>
    <w:rsid w:val="00DF59E8"/>
    <w:rsid w:val="00DF60AB"/>
    <w:rsid w:val="00DF7204"/>
    <w:rsid w:val="00E01F0F"/>
    <w:rsid w:val="00E03F11"/>
    <w:rsid w:val="00E04258"/>
    <w:rsid w:val="00E07D70"/>
    <w:rsid w:val="00E377B4"/>
    <w:rsid w:val="00E42C13"/>
    <w:rsid w:val="00E42DE7"/>
    <w:rsid w:val="00E447EA"/>
    <w:rsid w:val="00E54057"/>
    <w:rsid w:val="00E56D7E"/>
    <w:rsid w:val="00E62601"/>
    <w:rsid w:val="00E651F4"/>
    <w:rsid w:val="00E712E4"/>
    <w:rsid w:val="00E7522E"/>
    <w:rsid w:val="00E756BB"/>
    <w:rsid w:val="00E82A61"/>
    <w:rsid w:val="00E86BFA"/>
    <w:rsid w:val="00E9136E"/>
    <w:rsid w:val="00E92569"/>
    <w:rsid w:val="00E9689B"/>
    <w:rsid w:val="00EA0FDD"/>
    <w:rsid w:val="00EA3993"/>
    <w:rsid w:val="00EC48E7"/>
    <w:rsid w:val="00EC7F71"/>
    <w:rsid w:val="00ED1769"/>
    <w:rsid w:val="00ED2198"/>
    <w:rsid w:val="00ED2963"/>
    <w:rsid w:val="00ED4E74"/>
    <w:rsid w:val="00EE3275"/>
    <w:rsid w:val="00EF7239"/>
    <w:rsid w:val="00F00F32"/>
    <w:rsid w:val="00F0322D"/>
    <w:rsid w:val="00F0408E"/>
    <w:rsid w:val="00F22E87"/>
    <w:rsid w:val="00F40BD5"/>
    <w:rsid w:val="00F45E29"/>
    <w:rsid w:val="00F503E6"/>
    <w:rsid w:val="00F60260"/>
    <w:rsid w:val="00F651BF"/>
    <w:rsid w:val="00F6601D"/>
    <w:rsid w:val="00F71A9E"/>
    <w:rsid w:val="00F739B0"/>
    <w:rsid w:val="00F9603E"/>
    <w:rsid w:val="00FA2749"/>
    <w:rsid w:val="00FA3378"/>
    <w:rsid w:val="00FA4017"/>
    <w:rsid w:val="00FA67ED"/>
    <w:rsid w:val="00FB0E1B"/>
    <w:rsid w:val="00FB16F3"/>
    <w:rsid w:val="00FB45EE"/>
    <w:rsid w:val="00FB5467"/>
    <w:rsid w:val="00FB7C20"/>
    <w:rsid w:val="00FC66CE"/>
    <w:rsid w:val="00FD0EE2"/>
    <w:rsid w:val="00FD598D"/>
    <w:rsid w:val="00FD7A66"/>
    <w:rsid w:val="00FE1203"/>
    <w:rsid w:val="00FE1DCB"/>
    <w:rsid w:val="00FE2E48"/>
    <w:rsid w:val="00FE3091"/>
    <w:rsid w:val="05091173"/>
    <w:rsid w:val="18783A34"/>
    <w:rsid w:val="18F25CAF"/>
    <w:rsid w:val="2497451A"/>
    <w:rsid w:val="2F7954BE"/>
    <w:rsid w:val="47995AAB"/>
    <w:rsid w:val="4BE14E44"/>
    <w:rsid w:val="4D570901"/>
    <w:rsid w:val="4DE93206"/>
    <w:rsid w:val="71C85329"/>
    <w:rsid w:val="73830230"/>
    <w:rsid w:val="7C2B0C42"/>
    <w:rsid w:val="7E581E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hint="eastAsia" w:ascii="宋体" w:hAnsi="宋体" w:eastAsia="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kern w:val="2"/>
      <w:sz w:val="18"/>
      <w:szCs w:val="18"/>
    </w:rPr>
  </w:style>
  <w:style w:type="character" w:customStyle="1" w:styleId="9">
    <w:name w:val="页脚 字符"/>
    <w:basedOn w:val="7"/>
    <w:link w:val="2"/>
    <w:qFormat/>
    <w:uiPriority w:val="99"/>
    <w:rPr>
      <w:kern w:val="2"/>
      <w:sz w:val="18"/>
      <w:szCs w:val="18"/>
    </w:rPr>
  </w:style>
  <w:style w:type="paragraph" w:customStyle="1" w:styleId="10">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table" w:customStyle="1" w:styleId="11">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8</Pages>
  <Words>2793</Words>
  <Characters>2830</Characters>
  <Lines>10</Lines>
  <Paragraphs>2</Paragraphs>
  <TotalTime>306</TotalTime>
  <ScaleCrop>false</ScaleCrop>
  <LinksUpToDate>false</LinksUpToDate>
  <CharactersWithSpaces>2915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♥你是那人间的四月天</cp:lastModifiedBy>
  <dcterms:modified xsi:type="dcterms:W3CDTF">2023-02-07T01:56:05Z</dcterms:modified>
  <cp:revision>1868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299DF514708D4D39A79BC8D5F7ABF7F8</vt:lpwstr>
  </property>
</Properties>
</file>