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kern w:val="0"/>
          <w:sz w:val="44"/>
          <w:szCs w:val="44"/>
          <w:shd w:val="clear" w:color="auto" w:fill="FFFFFF"/>
          <w:lang w:val="en-US" w:eastAsia="zh-CN" w:bidi="ar"/>
        </w:rPr>
        <w:t>临淄区齐陵街道</w:t>
      </w:r>
      <w:r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kern w:val="0"/>
          <w:sz w:val="44"/>
          <w:szCs w:val="44"/>
          <w:shd w:val="clear" w:color="auto" w:fill="FFFFFF"/>
          <w:lang w:val="en-US" w:eastAsia="zh-CN" w:bidi="ar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kern w:val="0"/>
          <w:sz w:val="44"/>
          <w:szCs w:val="44"/>
          <w:shd w:val="clear" w:color="auto" w:fill="FFFFFF"/>
          <w:lang w:val="en-US" w:eastAsia="zh-CN" w:bidi="ar"/>
        </w:rPr>
        <w:t>5年政府信息公开工作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kern w:val="0"/>
          <w:sz w:val="44"/>
          <w:szCs w:val="44"/>
          <w:shd w:val="clear" w:color="auto" w:fill="FFFFFF"/>
          <w:lang w:val="en-US" w:eastAsia="zh-CN" w:bidi="ar"/>
        </w:rPr>
        <w:t>年度报告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ind w:firstLine="640" w:firstLineChars="200"/>
        <w:rPr>
          <w:rFonts w:hint="eastAsia" w:ascii="仿宋" w:hAnsi="仿宋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本年度报告中所列数据统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计期限从2025年1月1日到12月31日止。如对报告内容有疑问，请与临淄区齐陵街道办事处联系（地址：临淄区齐陵路67号；邮编：255430；电话：0533-7080070；电子邮箱：dangzhengbangonggongyou@zb.shandong.cn）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。</w:t>
      </w:r>
    </w:p>
    <w:p>
      <w:pPr>
        <w:numPr>
          <w:ilvl w:val="0"/>
          <w:numId w:val="0"/>
        </w:numPr>
        <w:ind w:left="640" w:leftChars="0" w:firstLine="0" w:firstLineChars="0"/>
        <w:rPr>
          <w:rFonts w:hint="eastAsia" w:ascii="黑体" w:hAnsi="黑体" w:eastAsia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theme="minorBidi"/>
          <w:b w:val="0"/>
          <w:bCs w:val="0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/>
          <w:b w:val="0"/>
          <w:bCs w:val="0"/>
          <w:sz w:val="32"/>
          <w:szCs w:val="32"/>
        </w:rPr>
        <w:t>总体情况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2025年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，齐陵街道办事处</w:t>
      </w:r>
      <w:bookmarkStart w:id="0" w:name="OLE_LINK2"/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严格执行</w:t>
      </w:r>
      <w:bookmarkStart w:id="1" w:name="OLE_LINK4"/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《中华人民共和国政府信息公开条例》</w:t>
      </w:r>
      <w:bookmarkEnd w:id="1"/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规定及上级部门政务公开工作要求，紧扣民生需求，锚定工作重点，细化公开流程，扎实推进政府信息公开规范化建设，为提升政府公信力夯实基础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。</w:t>
      </w:r>
      <w:bookmarkEnd w:id="0"/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（一）主动公开信息情况。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齐陵街道认真做好政府信息公开工作，依托齐陵街道人民政府网站信息公开平台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全年主动公开政府信息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63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撰写政务公开工作稿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篇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通过“钟灵毓秀齐风陵韵”微信视频号推送信息100条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政府信息公开工作内容涵盖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法规公文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民生公益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农业农村、公共监管、业务工作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等多个领域，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全方位展示了街道工作开展成效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10" w:leftChars="0" w:right="0" w:rightChars="0" w:firstLine="620" w:firstLineChars="0"/>
        <w:jc w:val="left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依申请公开工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作情况。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2025年，齐陵街道共收到和处理政府信息公开申请1件，较去年增加1件，已结转到2026年进行办理。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因依申请公开引发的行政复议案件0件，行政诉讼案件0件。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10" w:leftChars="0" w:right="0" w:rightChars="0" w:firstLine="620" w:firstLineChars="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-SA"/>
        </w:rPr>
        <w:t>（三）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政府信息管理情况。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齐陵</w:t>
      </w:r>
      <w:bookmarkStart w:id="2" w:name="OLE_LINK3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街道加强政府信息全流程管理，构建权责清晰、运转高效的管理机制。一是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规范信息管理，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明确各委办全权负责本领域信息的收集、梳理和报送，安排专门工作人员负责信息公开和更新维护，及时删除失效信息，确保政府信息权威性。二是严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格发布程序，坚持“先审后发”的原则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对公开内容详细审查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把好文字关，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确保发布信息质量。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三是落实保密制度，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清晰界定禁止公开类信息、可不予公开类信息、主动公开类信息和依申请公开类信息的范畴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，严格审查个人隐私等涉密事项，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在保密安全前提下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进行发布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，</w:t>
      </w:r>
      <w:bookmarkEnd w:id="2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确保政府信息公开工作的合法性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10" w:leftChars="0" w:right="0" w:rightChars="0" w:firstLine="620" w:firstLineChars="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-SA"/>
        </w:rPr>
        <w:t>（四）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政府信息公开平台建设情况。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齐陵街道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利用信息化手段丰富信息公开形式，打造多元信息公开渠道，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以齐陵街道人民政府网站为主要平台，利用街道辖区内宣传栏、村广播、微信公众号、短视频等载体，对街道重点工作、惠民政策等及时推送，让政府信息公开工作走深、走实、走细。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rightChars="0" w:firstLine="640" w:firstLineChars="200"/>
        <w:jc w:val="left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政府信息公开监督保障情况。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齐陵街道建立严格高效的工作制度规范，由专人负责政务公开门户网站的维护工作，公开政府信息公开目录，及时受理群众的政府信息公开申请。同时，组织各委办工作人员开展政府信息公开工作培训会，共同学习《中华人民共和国政府信息公开条例》，及时传达上级最新政策，提升工作素养。街道建立健全举报调查处理机制，设立投诉监督电话，主动接受社会各界和群众监督，保障政府信息公开工作发挥实效。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13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6"/>
        <w:tblW w:w="5000" w:type="pct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CCCCCC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608"/>
        <w:gridCol w:w="904"/>
        <w:gridCol w:w="1892"/>
        <w:gridCol w:w="788"/>
        <w:gridCol w:w="788"/>
        <w:gridCol w:w="788"/>
        <w:gridCol w:w="788"/>
        <w:gridCol w:w="788"/>
        <w:gridCol w:w="788"/>
        <w:gridCol w:w="38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0" w:type="auto"/>
            <w:gridSpan w:val="3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（本列数据的勾稽关系为：第一项加第二项之和，等于第三项加第四项之和）</w:t>
            </w:r>
          </w:p>
        </w:tc>
        <w:tc>
          <w:tcPr>
            <w:tcW w:w="0" w:type="auto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7"/>
                <w:szCs w:val="27"/>
              </w:rPr>
            </w:pPr>
            <w:r>
              <w:rPr>
                <w:rStyle w:val="9"/>
                <w:rFonts w:ascii="宋体" w:hAnsi="宋体" w:eastAsia="宋体" w:cs="宋体"/>
                <w:sz w:val="27"/>
                <w:szCs w:val="27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0" w:type="auto"/>
            <w:gridSpan w:val="3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25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自然人</w:t>
            </w:r>
          </w:p>
        </w:tc>
        <w:tc>
          <w:tcPr>
            <w:tcW w:w="675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法人或其他组织</w:t>
            </w:r>
          </w:p>
        </w:tc>
        <w:tc>
          <w:tcPr>
            <w:tcW w:w="0" w:type="auto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Style w:val="9"/>
                <w:rFonts w:ascii="宋体" w:hAnsi="宋体" w:eastAsia="宋体" w:cs="宋体"/>
                <w:sz w:val="18"/>
                <w:szCs w:val="18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0" w:type="auto"/>
            <w:gridSpan w:val="3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2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商业企业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科研机构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社会公益组织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法律服务机构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Style w:val="9"/>
                <w:rFonts w:ascii="宋体" w:hAnsi="宋体" w:eastAsia="宋体" w:cs="宋体"/>
                <w:sz w:val="18"/>
                <w:szCs w:val="18"/>
              </w:rPr>
              <w:t>一、本年新收政府信息公开申请数量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Style w:val="9"/>
                <w:rFonts w:ascii="宋体" w:hAnsi="宋体" w:eastAsia="宋体" w:cs="宋体"/>
                <w:sz w:val="18"/>
                <w:szCs w:val="18"/>
              </w:rPr>
              <w:t>二、上年结转政府信息公开申请数量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Style w:val="9"/>
                <w:rFonts w:ascii="宋体" w:hAnsi="宋体" w:eastAsia="宋体" w:cs="宋体"/>
                <w:sz w:val="18"/>
                <w:szCs w:val="18"/>
              </w:rPr>
              <w:t>三、本年度办理结果</w:t>
            </w:r>
          </w:p>
        </w:tc>
        <w:tc>
          <w:tcPr>
            <w:tcW w:w="0" w:type="auto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（一）予以公开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（三）不予公开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1.属于国家秘密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2.其他法律行政法规禁止公开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3.危及“三安全一稳定”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4.保护第三方合法权益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5.属于三类内部事务信息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6.属于四类过程性信息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7.属于行政执法案卷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8.属于行政查询事项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（四）无法提供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1.本机关不掌握相关政府信息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2.没有现成信息需要另行制作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3.补正后申请内容仍不明确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（五）不予处理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1.信访举报投诉类申请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2.重复申请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3.要求提供公开出版物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4.无正当理由大量反复申请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5.要求行政机关确认或重新出具已获取信息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（六）其他处理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2.申请人逾期未按收费通知要求缴纳费用、行政机关不再处理其政府信息公开申请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3.其他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7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（七）总计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50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6"/>
        <w:tblW w:w="0" w:type="auto"/>
        <w:jc w:val="center"/>
        <w:tblCellSpacing w:w="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CCCCCC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573"/>
        <w:gridCol w:w="566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7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  <w:jc w:val="center"/>
        </w:trPr>
        <w:tc>
          <w:tcPr>
            <w:tcW w:w="0" w:type="auto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7"/>
                <w:szCs w:val="27"/>
              </w:rPr>
            </w:pPr>
            <w:r>
              <w:rPr>
                <w:rStyle w:val="9"/>
                <w:rFonts w:ascii="宋体" w:hAnsi="宋体" w:eastAsia="宋体" w:cs="宋体"/>
                <w:sz w:val="27"/>
                <w:szCs w:val="27"/>
              </w:rPr>
              <w:t>行政复议</w:t>
            </w:r>
          </w:p>
        </w:tc>
        <w:tc>
          <w:tcPr>
            <w:tcW w:w="0" w:type="auto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7"/>
                <w:szCs w:val="27"/>
              </w:rPr>
            </w:pPr>
            <w:r>
              <w:rPr>
                <w:rStyle w:val="9"/>
                <w:rFonts w:ascii="宋体" w:hAnsi="宋体" w:eastAsia="宋体" w:cs="宋体"/>
                <w:sz w:val="27"/>
                <w:szCs w:val="27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  <w:jc w:val="center"/>
        </w:trPr>
        <w:tc>
          <w:tcPr>
            <w:tcW w:w="180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结果维持</w:t>
            </w:r>
          </w:p>
        </w:tc>
        <w:tc>
          <w:tcPr>
            <w:tcW w:w="180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结果纠正</w:t>
            </w:r>
          </w:p>
        </w:tc>
        <w:tc>
          <w:tcPr>
            <w:tcW w:w="180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其他结果</w:t>
            </w:r>
          </w:p>
        </w:tc>
        <w:tc>
          <w:tcPr>
            <w:tcW w:w="180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尚未审结</w:t>
            </w:r>
          </w:p>
        </w:tc>
        <w:tc>
          <w:tcPr>
            <w:tcW w:w="180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总计</w:t>
            </w:r>
          </w:p>
        </w:tc>
        <w:tc>
          <w:tcPr>
            <w:tcW w:w="225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未经复议直接起诉</w:t>
            </w:r>
          </w:p>
        </w:tc>
        <w:tc>
          <w:tcPr>
            <w:tcW w:w="225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  <w:jc w:val="center"/>
        </w:trPr>
        <w:tc>
          <w:tcPr>
            <w:tcW w:w="18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结果维持</w:t>
            </w:r>
          </w:p>
        </w:tc>
        <w:tc>
          <w:tcPr>
            <w:tcW w:w="18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结果纠正</w:t>
            </w:r>
          </w:p>
        </w:tc>
        <w:tc>
          <w:tcPr>
            <w:tcW w:w="18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其他结果</w:t>
            </w:r>
          </w:p>
        </w:tc>
        <w:tc>
          <w:tcPr>
            <w:tcW w:w="18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尚未审结</w:t>
            </w:r>
          </w:p>
        </w:tc>
        <w:tc>
          <w:tcPr>
            <w:tcW w:w="18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总计</w:t>
            </w:r>
          </w:p>
        </w:tc>
        <w:tc>
          <w:tcPr>
            <w:tcW w:w="18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结果维持</w:t>
            </w:r>
          </w:p>
        </w:tc>
        <w:tc>
          <w:tcPr>
            <w:tcW w:w="18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结果纠正</w:t>
            </w:r>
          </w:p>
        </w:tc>
        <w:tc>
          <w:tcPr>
            <w:tcW w:w="18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其他结果</w:t>
            </w:r>
          </w:p>
        </w:tc>
        <w:tc>
          <w:tcPr>
            <w:tcW w:w="18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尚未审结</w:t>
            </w:r>
          </w:p>
        </w:tc>
        <w:tc>
          <w:tcPr>
            <w:tcW w:w="18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both"/>
        <w:rPr>
          <w:rFonts w:hint="eastAsia" w:ascii="楷体_GB2312" w:eastAsia="楷体_GB2312" w:cs="楷体_GB2312" w:hAnsiTheme="minorHAnsi"/>
          <w:sz w:val="32"/>
          <w:szCs w:val="32"/>
          <w:lang w:val="en-US" w:eastAsia="zh-CN"/>
        </w:rPr>
      </w:pPr>
      <w:bookmarkStart w:id="3" w:name="OLE_LINK5"/>
      <w:r>
        <w:rPr>
          <w:rFonts w:hint="eastAsia" w:ascii="楷体_GB2312" w:eastAsia="楷体_GB2312" w:cs="楷体_GB2312" w:hAnsiTheme="minorHAnsi"/>
          <w:sz w:val="32"/>
          <w:szCs w:val="32"/>
          <w:lang w:eastAsia="zh-CN"/>
        </w:rPr>
        <w:t>（</w:t>
      </w:r>
      <w:r>
        <w:rPr>
          <w:rFonts w:hint="eastAsia" w:ascii="楷体_GB2312" w:eastAsia="楷体_GB2312" w:cs="楷体_GB2312" w:hAnsiTheme="minorHAnsi"/>
          <w:sz w:val="32"/>
          <w:szCs w:val="32"/>
          <w:lang w:val="en-US" w:eastAsia="zh-CN"/>
        </w:rPr>
        <w:t>一</w:t>
      </w:r>
      <w:r>
        <w:rPr>
          <w:rFonts w:hint="eastAsia" w:ascii="楷体_GB2312" w:eastAsia="楷体_GB2312" w:cs="楷体_GB2312" w:hAnsiTheme="minorHAnsi"/>
          <w:sz w:val="32"/>
          <w:szCs w:val="32"/>
          <w:lang w:eastAsia="zh-CN"/>
        </w:rPr>
        <w:t>）</w:t>
      </w:r>
      <w:r>
        <w:rPr>
          <w:rFonts w:hint="eastAsia" w:ascii="楷体_GB2312" w:eastAsia="楷体_GB2312" w:cs="楷体_GB2312" w:hAnsiTheme="minorHAnsi"/>
          <w:sz w:val="32"/>
          <w:szCs w:val="32"/>
          <w:lang w:val="en-US" w:eastAsia="zh-CN"/>
        </w:rPr>
        <w:t>存在问题</w:t>
      </w:r>
    </w:p>
    <w:bookmarkEnd w:id="3"/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是专业性与深度不足，公开内容多为政策原文、通知、公告等，缺乏解读说明和延伸指引，难以满足公众深层次信息需求。二是与群众需求契合度存在偏差，公开内容对群众关注的民生事项、热点问题回应不及时。三是政府信息公开政策法规理解偏差，部分委办工作人员对依申请公开流程和相关法规把握不准，易引发错误与失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both"/>
        <w:rPr>
          <w:rFonts w:hint="default" w:ascii="楷体_GB2312" w:eastAsia="楷体_GB2312" w:cs="楷体_GB2312" w:hAnsiTheme="minorHAnsi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 w:hAnsiTheme="minorHAnsi"/>
          <w:sz w:val="32"/>
          <w:szCs w:val="32"/>
          <w:lang w:eastAsia="zh-CN"/>
        </w:rPr>
        <w:t>（</w:t>
      </w:r>
      <w:r>
        <w:rPr>
          <w:rFonts w:hint="eastAsia" w:ascii="楷体_GB2312" w:eastAsia="楷体_GB2312" w:cs="楷体_GB2312" w:hAnsiTheme="minorHAnsi"/>
          <w:sz w:val="32"/>
          <w:szCs w:val="32"/>
          <w:lang w:val="en-US" w:eastAsia="zh-CN"/>
        </w:rPr>
        <w:t>二</w:t>
      </w:r>
      <w:r>
        <w:rPr>
          <w:rFonts w:hint="eastAsia" w:ascii="楷体_GB2312" w:eastAsia="楷体_GB2312" w:cs="楷体_GB2312" w:hAnsiTheme="minorHAnsi"/>
          <w:sz w:val="32"/>
          <w:szCs w:val="32"/>
          <w:lang w:eastAsia="zh-CN"/>
        </w:rPr>
        <w:t>）</w:t>
      </w:r>
      <w:r>
        <w:rPr>
          <w:rFonts w:hint="eastAsia" w:ascii="楷体_GB2312" w:eastAsia="楷体_GB2312" w:cs="楷体_GB2312" w:hAnsiTheme="minorHAnsi"/>
          <w:sz w:val="32"/>
          <w:szCs w:val="32"/>
          <w:lang w:val="en-US" w:eastAsia="zh-CN"/>
        </w:rPr>
        <w:t>改进措施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是强化专业能力建设，定期开展业务培训，邀请专家解读政策规范，对公开内容进行深度加工，通过配套图文、制作动画等创新形式解读材料与办事指引，提升信息实用性。二是精准对接群众需求，通过问卷调研、意见征集等形式收集民生关切，建立需求清单，聚焦热点难点事项及时公开、主动回应，实现政务公开与政民互动深度融合。三是深化法规学习落实，组织工作人员系统学习《中华人民共和国政府信息公开条例》，明确公开范围与流程，提升工作素养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rightChars="0" w:firstLine="640" w:firstLineChars="200"/>
        <w:jc w:val="left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1.依据《政府信息公开信息处理费管理办法》收取信息处理费的情况。未收取费用。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rightChars="0" w:firstLine="640" w:firstLineChars="200"/>
        <w:jc w:val="left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2.人大代表建议和政协提案办理结果情况。</w:t>
      </w:r>
      <w:bookmarkStart w:id="4" w:name="OLE_LINK1"/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人大代表建议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件，政协提案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件</w:t>
      </w:r>
      <w:bookmarkEnd w:id="4"/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rightChars="0" w:firstLine="640" w:firstLineChars="200"/>
        <w:jc w:val="left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.政务公开工作创新情况。2025年，齐陵街道在政务公开工作中积极创新，不断拓宽政策解读渠道。深入农村大集、超市等人员聚集场所，常态化开展政策宣讲，围绕养老医保、社会救助、创业就业等村民关心的话题进行现场讲解，“面对面”答疑解惑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4.</w:t>
      </w:r>
      <w:bookmarkStart w:id="5" w:name="OLE_LINK6"/>
      <w:bookmarkStart w:id="6" w:name="_GoBack"/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落实上级年度政务公开工作要点情况。2025年，齐陵街道严格落实“临淄区人民政府办公室关于印发《2025年临淄区政务公开工作要点》的通知（临政办字〔2025〕9号）”要求，细化公开清单，规范发布流程，明确责任主体和审核流程，政府信息公开规范性不断提升。同时，积极提高工作的透明度，畅通咨询渠道，高效回应群众诉求，助力群众便捷获取政府信息，保障公众的法定权利。</w:t>
      </w:r>
      <w:bookmarkEnd w:id="5"/>
      <w:bookmarkEnd w:id="6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YzkyMGZmOWQ0Y2Q3NTIyMjZiNDRkMDk3ZGE0ZDUifQ=="/>
  </w:docVars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5D6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1FD2299"/>
    <w:rsid w:val="05091173"/>
    <w:rsid w:val="093107E7"/>
    <w:rsid w:val="0C9D456C"/>
    <w:rsid w:val="0D1E7688"/>
    <w:rsid w:val="0E2942EF"/>
    <w:rsid w:val="11962B90"/>
    <w:rsid w:val="154F4A0A"/>
    <w:rsid w:val="183F2B14"/>
    <w:rsid w:val="18783A34"/>
    <w:rsid w:val="18F25CAF"/>
    <w:rsid w:val="190074B6"/>
    <w:rsid w:val="1D7B2840"/>
    <w:rsid w:val="1ECA10B4"/>
    <w:rsid w:val="1EDF13A3"/>
    <w:rsid w:val="21A73DBB"/>
    <w:rsid w:val="23646CF0"/>
    <w:rsid w:val="236E35EF"/>
    <w:rsid w:val="2497451A"/>
    <w:rsid w:val="263712CE"/>
    <w:rsid w:val="275B70FA"/>
    <w:rsid w:val="2DA12D35"/>
    <w:rsid w:val="2EBD258D"/>
    <w:rsid w:val="2F7954BE"/>
    <w:rsid w:val="351421B8"/>
    <w:rsid w:val="355D6871"/>
    <w:rsid w:val="357B37B9"/>
    <w:rsid w:val="36D861B6"/>
    <w:rsid w:val="3BFF1BEC"/>
    <w:rsid w:val="3C0149A1"/>
    <w:rsid w:val="3FCC26DF"/>
    <w:rsid w:val="41963C6C"/>
    <w:rsid w:val="4269072C"/>
    <w:rsid w:val="47995AAB"/>
    <w:rsid w:val="49CE6E3B"/>
    <w:rsid w:val="4BE14E44"/>
    <w:rsid w:val="4CDF7E46"/>
    <w:rsid w:val="4D570901"/>
    <w:rsid w:val="4DE93206"/>
    <w:rsid w:val="4E53406F"/>
    <w:rsid w:val="504A055C"/>
    <w:rsid w:val="515F10EF"/>
    <w:rsid w:val="54AC4684"/>
    <w:rsid w:val="55503D0D"/>
    <w:rsid w:val="55A84F8D"/>
    <w:rsid w:val="5A025174"/>
    <w:rsid w:val="5AA568CA"/>
    <w:rsid w:val="5E3A4FE4"/>
    <w:rsid w:val="5F9E4154"/>
    <w:rsid w:val="664C269A"/>
    <w:rsid w:val="68C16A40"/>
    <w:rsid w:val="6A466ADA"/>
    <w:rsid w:val="6DFE7D80"/>
    <w:rsid w:val="71410982"/>
    <w:rsid w:val="71C85329"/>
    <w:rsid w:val="73830230"/>
    <w:rsid w:val="77A315C9"/>
    <w:rsid w:val="7C2B0C42"/>
    <w:rsid w:val="7DDD7906"/>
    <w:rsid w:val="7E581EF7"/>
    <w:rsid w:val="7FAA68B2"/>
    <w:rsid w:val="FF1D57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字符"/>
    <w:basedOn w:val="8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kern w:val="2"/>
      <w:sz w:val="18"/>
      <w:szCs w:val="18"/>
    </w:rPr>
  </w:style>
  <w:style w:type="paragraph" w:customStyle="1" w:styleId="12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3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1882</Words>
  <Characters>1979</Characters>
  <Lines>10</Lines>
  <Paragraphs>2</Paragraphs>
  <TotalTime>41</TotalTime>
  <ScaleCrop>false</ScaleCrop>
  <LinksUpToDate>false</LinksUpToDate>
  <CharactersWithSpaces>1995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2020-01-07T10:32:00Z</dcterms:created>
  <dc:creator>China</dc:creator>
  <cp:lastModifiedBy>F.</cp:lastModifiedBy>
  <dcterms:modified xsi:type="dcterms:W3CDTF">2026-04-17T01:26:30Z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299DF514708D4D39A79BC8D5F7ABF7F8</vt:lpwstr>
  </property>
  <property fmtid="{D5CDD505-2E9C-101B-9397-08002B2CF9AE}" pid="4" name="KSOTemplateDocerSaveRecord">
    <vt:lpwstr>eyJoZGlkIjoiZjQ5YmNjNGRiYmMyM2VhZTljMjQ3YTY0Nzk4MjJmOTMiLCJ1c2VySWQiOiI1MTg0NDc3MzkifQ==</vt:lpwstr>
  </property>
</Properties>
</file>