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jc w:val="both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>临政字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〔2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>024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〕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71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号</w:t>
      </w: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hint="default" w:ascii="方正小标宋简体" w:hAnsi="微软雅黑" w:eastAsia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微软雅黑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临淄区人民政府</w:t>
      </w:r>
    </w:p>
    <w:p>
      <w:pPr>
        <w:spacing w:line="560" w:lineRule="exact"/>
        <w:jc w:val="center"/>
        <w:rPr>
          <w:rFonts w:ascii="方正小标宋简体" w:hAnsi="微软雅黑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000000"/>
          <w:sz w:val="44"/>
          <w:szCs w:val="44"/>
          <w:shd w:val="clear" w:color="auto" w:fill="FFFFFF"/>
        </w:rPr>
        <w:t>关于公布临淄区赋予镇（街道）行政执法权事项清单的通知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snapToGrid w:val="0"/>
        <w:spacing w:line="560" w:lineRule="exact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各镇人民政府、街道办事处，各开发区管委会，区政府各部门，有关企事业单位：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eastAsia="仿宋_GB2312" w:cs="仿宋_GB2312" w:asciiTheme="minorHAnsi" w:hAnsiTheme="minorHAns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仿宋_GB2312" w:asciiTheme="minorHAnsi" w:hAnsiTheme="minorHAnsi"/>
          <w:color w:val="000000"/>
          <w:kern w:val="2"/>
          <w:sz w:val="32"/>
          <w:szCs w:val="32"/>
          <w:lang w:val="en-US" w:eastAsia="zh-CN" w:bidi="ar-SA"/>
        </w:rPr>
        <w:t>根据《山东省人民政府关于印发〈山东省赋予试点县（市、区）所辖乡镇（街道）行政执法权指导目录〉的通知》（鲁政字〔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eastAsia="仿宋_GB2312" w:cs="仿宋_GB2312" w:asciiTheme="minorHAnsi" w:hAnsiTheme="minorHAnsi"/>
          <w:color w:val="000000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35</w:t>
      </w:r>
      <w:r>
        <w:rPr>
          <w:rFonts w:hint="eastAsia" w:eastAsia="仿宋_GB2312" w:cs="仿宋_GB2312" w:asciiTheme="minorHAnsi" w:hAnsiTheme="minorHAnsi"/>
          <w:color w:val="000000"/>
          <w:kern w:val="2"/>
          <w:sz w:val="32"/>
          <w:szCs w:val="32"/>
          <w:lang w:val="en-US" w:eastAsia="zh-CN" w:bidi="ar-SA"/>
        </w:rPr>
        <w:t>号）要求，经市政府审核同意，现予公布临淄区赋予镇（街道）行政执法权事项清单，并就做好赋权工作有关事项通知如下。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eastAsia="仿宋_GB2312" w:cs="仿宋_GB2312" w:asciiTheme="minorHAnsi" w:hAnsiTheme="minorHAns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一、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承接赋权事项。</w:t>
      </w:r>
      <w:r>
        <w:rPr>
          <w:rFonts w:hint="eastAsia" w:eastAsia="仿宋_GB2312" w:cs="仿宋_GB2312" w:asciiTheme="minorHAnsi" w:hAnsiTheme="minorHAnsi"/>
          <w:color w:val="000000"/>
          <w:kern w:val="2"/>
          <w:sz w:val="32"/>
          <w:szCs w:val="32"/>
          <w:lang w:val="en-US" w:eastAsia="zh-CN" w:bidi="ar-SA"/>
        </w:rPr>
        <w:t>按照“同类镇街、一张清单”的原则，全区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eastAsia="仿宋_GB2312" w:cs="仿宋_GB2312" w:asciiTheme="minorHAnsi" w:hAnsiTheme="minorHAnsi"/>
          <w:color w:val="000000"/>
          <w:kern w:val="2"/>
          <w:sz w:val="32"/>
          <w:szCs w:val="32"/>
          <w:lang w:val="en-US" w:eastAsia="zh-CN" w:bidi="ar-SA"/>
        </w:rPr>
        <w:t>个镇（街道）分为涉农镇（街道）和中心城区街道两类，制定两张清单。分别是赋予涉农镇（街道）（齐都镇、金岭回族镇、金山镇、敬仲镇、朱台镇、皇城镇、凤凰镇、稷下街道、辛店街道、齐陵街道）行政执法权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89</w:t>
      </w:r>
      <w:r>
        <w:rPr>
          <w:rFonts w:hint="eastAsia" w:eastAsia="仿宋_GB2312" w:cs="仿宋_GB2312" w:asciiTheme="minorHAnsi" w:hAnsiTheme="minorHAnsi"/>
          <w:color w:val="000000"/>
          <w:kern w:val="2"/>
          <w:sz w:val="32"/>
          <w:szCs w:val="32"/>
          <w:lang w:val="en-US" w:eastAsia="zh-CN" w:bidi="ar-SA"/>
        </w:rPr>
        <w:t>项；赋予中心城区街道（闻韶街道、雪宫街道）行政执法权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34</w:t>
      </w:r>
      <w:r>
        <w:rPr>
          <w:rFonts w:hint="eastAsia" w:eastAsia="仿宋_GB2312" w:cs="仿宋_GB2312" w:asciiTheme="minorHAnsi" w:hAnsiTheme="minorHAnsi"/>
          <w:color w:val="000000"/>
          <w:kern w:val="2"/>
          <w:sz w:val="32"/>
          <w:szCs w:val="32"/>
          <w:lang w:val="en-US" w:eastAsia="zh-CN" w:bidi="ar-SA"/>
        </w:rPr>
        <w:t>项。区直赋权部门依法与各镇（街道）签订赋权事项承接确认书。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二、厘清职责权限。</w:t>
      </w:r>
      <w:r>
        <w:rPr>
          <w:rFonts w:hint="eastAsia" w:eastAsia="仿宋_GB2312" w:cs="仿宋_GB2312" w:asciiTheme="minorHAnsi" w:hAnsiTheme="minorHAnsi"/>
          <w:color w:val="000000"/>
          <w:kern w:val="2"/>
          <w:sz w:val="32"/>
          <w:szCs w:val="32"/>
          <w:lang w:val="en-US" w:eastAsia="zh-CN" w:bidi="ar-SA"/>
        </w:rPr>
        <w:t>为切实提升镇（街道）承接能力，确保赋权事项有效运行，自行政执法权事项清单公布之日起，设置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eastAsia="仿宋_GB2312" w:cs="仿宋_GB2312" w:asciiTheme="minorHAnsi" w:hAnsiTheme="minorHAnsi"/>
          <w:color w:val="000000"/>
          <w:kern w:val="2"/>
          <w:sz w:val="32"/>
          <w:szCs w:val="32"/>
          <w:lang w:val="en-US" w:eastAsia="zh-CN" w:bidi="ar-SA"/>
        </w:rPr>
        <w:t>个月过渡期。过渡期内，区直赋权部门作为赋权事项的责任主体，期间发生的相关问题，以及过渡期结束时未办结事项，仍由区直赋权部门承担相应责任。过渡期后，赋权事项主体为“谁实施谁为主体”，各镇（街道）在本辖区内行使赋予的行政处罚权以及与之相关的行政检查权、行政强制措施权；区直赋权部门提供执法指导和相应的技术支持。各镇（街道）之间以及镇（街道）与区级行政执法部门、行业管理部门之间要加强协作配合，有效提升行政监管效能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三、规范基层执法。</w:t>
      </w:r>
      <w:r>
        <w:rPr>
          <w:rFonts w:hint="eastAsia" w:eastAsia="仿宋_GB2312" w:cs="仿宋_GB2312" w:asciiTheme="minorHAnsi" w:hAnsiTheme="minorHAnsi"/>
          <w:color w:val="000000"/>
          <w:kern w:val="2"/>
          <w:sz w:val="32"/>
          <w:szCs w:val="32"/>
          <w:lang w:val="en-US" w:eastAsia="zh-CN" w:bidi="ar-SA"/>
        </w:rPr>
        <w:t>推进镇（街道）综合行政执法平台建设，加快实现“一支队伍管执法”。通过区级行政执法队伍人员下沉、镇（街道）内部挖潜和人员招录等方式，充实各镇（街道）综合执法指挥中心力量。 区级职能部门派驻机构和工作人员，全部纳入镇（街道）统一指挥和统筹协调，严禁随意抽调、借调基层执法人员，确保基层执法力量稳定。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eastAsia="仿宋_GB2312" w:cs="仿宋_GB2312" w:asciiTheme="minorHAnsi" w:hAnsiTheme="minorHAns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四、定期开展评估。</w:t>
      </w:r>
      <w:r>
        <w:rPr>
          <w:rFonts w:hint="eastAsia" w:eastAsia="仿宋_GB2312" w:cs="仿宋_GB2312" w:asciiTheme="minorHAnsi" w:hAnsiTheme="minorHAnsi"/>
          <w:color w:val="000000"/>
          <w:kern w:val="2"/>
          <w:sz w:val="32"/>
          <w:szCs w:val="32"/>
          <w:lang w:val="en-US" w:eastAsia="zh-CN" w:bidi="ar-SA"/>
        </w:rPr>
        <w:t>区委编办和区司法局应当通过实地调研、座谈会、调查问卷等形式定期开展评估，建立工作台账和定期工作报送制度，及时研究解决赋权过程中出现的问题，重大问题及时上报。对确需调整的赋权事项，按程序审核备案，并向社会公布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eastAsia="仿宋_GB2312" w:cs="仿宋_GB2312" w:asciiTheme="minorHAnsi" w:hAnsiTheme="minorHAns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仿宋_GB2312" w:asciiTheme="minorHAnsi" w:hAnsiTheme="minorHAnsi"/>
          <w:color w:val="000000"/>
          <w:kern w:val="2"/>
          <w:sz w:val="32"/>
          <w:szCs w:val="32"/>
          <w:lang w:val="en-US" w:eastAsia="zh-CN" w:bidi="ar-SA"/>
        </w:rPr>
        <w:t>本通知自公布之日起实施。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eastAsia="仿宋_GB2312" w:cs="仿宋_GB2312" w:asciiTheme="minorHAnsi" w:hAnsiTheme="minorHAnsi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hAnsi="微软雅黑" w:eastAsia="仿宋_GB2312"/>
          <w:color w:val="333333"/>
          <w:sz w:val="32"/>
          <w:szCs w:val="32"/>
        </w:rPr>
        <w:t>附件：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1</w:t>
      </w:r>
      <w:r>
        <w:rPr>
          <w:rFonts w:ascii="仿宋_GB2312" w:hAnsi="微软雅黑" w:eastAsia="仿宋_GB2312"/>
          <w:color w:val="333333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《临淄区涉农镇（街道）行使的行政执法权事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1920" w:firstLineChars="6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项清单》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1600" w:firstLineChars="5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《临淄区中心城区街道行使的行政执法权事项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1920" w:firstLineChars="6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清单》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1920" w:firstLineChars="6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</w:rPr>
        <w:t>临淄区人民政府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1920" w:firstLineChars="60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2024年7月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ascii="仿宋_GB2312" w:eastAsia="仿宋_GB2312"/>
          <w:sz w:val="32"/>
          <w:szCs w:val="32"/>
        </w:rPr>
        <w:t>日</w:t>
      </w:r>
    </w:p>
    <w:p>
      <w:pPr>
        <w:spacing w:line="560" w:lineRule="exact"/>
        <w:rPr>
          <w:rFonts w:ascii="方正小标宋简体" w:hAnsi="微软雅黑" w:eastAsia="方正小标宋简体"/>
          <w:color w:val="000000"/>
          <w:sz w:val="44"/>
          <w:szCs w:val="44"/>
          <w:shd w:val="clear" w:color="auto" w:fill="FFFFFF"/>
        </w:rPr>
      </w:pPr>
    </w:p>
    <w:p>
      <w:pPr>
        <w:pStyle w:val="2"/>
        <w:rPr>
          <w:rFonts w:hint="default" w:ascii="Times New Roman" w:hAnsi="Times New Roman"/>
          <w:color w:val="0000FF"/>
          <w:lang w:val="en-US" w:eastAsia="zh-CN"/>
        </w:rPr>
      </w:pPr>
    </w:p>
    <w:p>
      <w:pPr>
        <w:rPr>
          <w:rFonts w:hint="default" w:ascii="Times New Roman" w:hAnsi="Times New Roman"/>
          <w:color w:val="0000FF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0000FF"/>
          <w:lang w:val="en-US" w:eastAsia="zh-CN"/>
        </w:rPr>
      </w:pPr>
    </w:p>
    <w:p>
      <w:pPr>
        <w:rPr>
          <w:rFonts w:hint="default" w:ascii="Times New Roman" w:hAnsi="Times New Roman"/>
          <w:color w:val="0000FF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0000FF"/>
          <w:lang w:val="en-US" w:eastAsia="zh-CN"/>
        </w:rPr>
      </w:pPr>
    </w:p>
    <w:p>
      <w:pPr>
        <w:rPr>
          <w:rFonts w:hint="default" w:ascii="Times New Roman" w:hAnsi="Times New Roman"/>
          <w:color w:val="0000FF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0000FF"/>
          <w:lang w:val="en-US" w:eastAsia="zh-CN"/>
        </w:rPr>
      </w:pPr>
    </w:p>
    <w:p>
      <w:pPr>
        <w:rPr>
          <w:rFonts w:hint="default" w:ascii="Times New Roman" w:hAnsi="Times New Roman"/>
          <w:color w:val="0000FF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0000FF"/>
          <w:lang w:val="en-US" w:eastAsia="zh-CN"/>
        </w:rPr>
      </w:pPr>
    </w:p>
    <w:p>
      <w:pPr>
        <w:rPr>
          <w:rFonts w:hint="default" w:ascii="Times New Roman" w:hAnsi="Times New Roman"/>
          <w:color w:val="0000FF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0000FF"/>
          <w:lang w:val="en-US" w:eastAsia="zh-CN"/>
        </w:rPr>
      </w:pPr>
    </w:p>
    <w:p>
      <w:pPr>
        <w:rPr>
          <w:rFonts w:hint="default" w:ascii="Times New Roman" w:hAnsi="Times New Roman"/>
          <w:color w:val="0000FF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0000FF"/>
          <w:lang w:val="en-US" w:eastAsia="zh-CN"/>
        </w:rPr>
      </w:pPr>
    </w:p>
    <w:p>
      <w:pPr>
        <w:rPr>
          <w:rFonts w:hint="default" w:ascii="Times New Roman" w:hAnsi="Times New Roman"/>
          <w:color w:val="0000FF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0000FF"/>
          <w:lang w:val="en-US" w:eastAsia="zh-CN"/>
        </w:rPr>
      </w:pPr>
    </w:p>
    <w:p>
      <w:pPr>
        <w:rPr>
          <w:rFonts w:hint="default" w:ascii="Times New Roman" w:hAnsi="Times New Roman"/>
          <w:color w:val="0000FF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0000FF"/>
          <w:lang w:val="en-US" w:eastAsia="zh-CN"/>
        </w:rPr>
      </w:pPr>
    </w:p>
    <w:p>
      <w:pPr>
        <w:rPr>
          <w:rFonts w:hint="default" w:ascii="Times New Roman" w:hAnsi="Times New Roman"/>
          <w:color w:val="0000FF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0000FF"/>
          <w:lang w:val="en-US" w:eastAsia="zh-CN"/>
        </w:rPr>
      </w:pPr>
    </w:p>
    <w:p>
      <w:pPr>
        <w:rPr>
          <w:rFonts w:hint="default" w:ascii="Times New Roman" w:hAnsi="Times New Roman"/>
          <w:color w:val="0000FF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0000FF"/>
          <w:lang w:val="en-US" w:eastAsia="zh-CN"/>
        </w:rPr>
      </w:pPr>
    </w:p>
    <w:p>
      <w:pPr>
        <w:rPr>
          <w:rFonts w:hint="default" w:ascii="Times New Roman" w:hAnsi="Times New Roman"/>
          <w:color w:val="0000FF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0000FF"/>
          <w:lang w:val="en-US" w:eastAsia="zh-CN"/>
        </w:rPr>
      </w:pPr>
    </w:p>
    <w:p>
      <w:pPr>
        <w:rPr>
          <w:rFonts w:hint="default" w:ascii="Times New Roman" w:hAnsi="Times New Roman"/>
          <w:color w:val="0000FF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0000FF"/>
          <w:lang w:val="en-US" w:eastAsia="zh-CN"/>
        </w:rPr>
      </w:pPr>
    </w:p>
    <w:p>
      <w:pPr>
        <w:rPr>
          <w:rFonts w:hint="default" w:ascii="Times New Roman" w:hAnsi="Times New Roman"/>
          <w:color w:val="0000FF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0000FF"/>
          <w:lang w:val="en-US" w:eastAsia="zh-CN"/>
        </w:rPr>
      </w:pPr>
    </w:p>
    <w:p>
      <w:pPr>
        <w:rPr>
          <w:rFonts w:hint="default" w:ascii="Times New Roman" w:hAnsi="Times New Roman"/>
          <w:color w:val="0000FF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0000FF"/>
          <w:lang w:val="en-US" w:eastAsia="zh-CN"/>
        </w:rPr>
      </w:pPr>
    </w:p>
    <w:p>
      <w:pPr>
        <w:rPr>
          <w:rFonts w:hint="default" w:ascii="Times New Roman" w:hAnsi="Times New Roman"/>
          <w:color w:val="0000FF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0000FF"/>
          <w:lang w:val="en-US" w:eastAsia="zh-CN"/>
        </w:rPr>
      </w:pPr>
    </w:p>
    <w:p>
      <w:pPr>
        <w:rPr>
          <w:rFonts w:hint="default" w:ascii="Times New Roman" w:hAnsi="Times New Roman"/>
          <w:color w:val="0000FF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0000FF"/>
          <w:lang w:val="en-US" w:eastAsia="zh-CN"/>
        </w:rPr>
      </w:pPr>
    </w:p>
    <w:p>
      <w:pPr>
        <w:rPr>
          <w:rFonts w:hint="default" w:ascii="Times New Roman" w:hAnsi="Times New Roman"/>
          <w:color w:val="0000FF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0000FF"/>
          <w:lang w:val="en-US" w:eastAsia="zh-CN"/>
        </w:rPr>
      </w:pPr>
    </w:p>
    <w:p>
      <w:pPr>
        <w:rPr>
          <w:rFonts w:hint="default" w:ascii="Times New Roman" w:hAnsi="Times New Roman"/>
          <w:color w:val="0000FF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0000FF"/>
          <w:lang w:val="en-US" w:eastAsia="zh-CN"/>
        </w:rPr>
      </w:pPr>
    </w:p>
    <w:p>
      <w:pPr>
        <w:rPr>
          <w:rFonts w:hint="default" w:ascii="Times New Roman" w:hAnsi="Times New Roman"/>
          <w:color w:val="0000FF"/>
          <w:lang w:val="en-US" w:eastAsia="zh-CN"/>
        </w:rPr>
      </w:pPr>
    </w:p>
    <w:p>
      <w:pPr>
        <w:pStyle w:val="2"/>
        <w:rPr>
          <w:rFonts w:hint="default" w:ascii="Times New Roman" w:hAnsi="Times New Roman"/>
          <w:color w:val="0000FF"/>
          <w:lang w:val="en-US" w:eastAsia="zh-CN"/>
        </w:rPr>
      </w:pPr>
    </w:p>
    <w:p>
      <w:pPr>
        <w:rPr>
          <w:rFonts w:hint="default" w:ascii="Times New Roman" w:hAnsi="Times New Roman"/>
          <w:color w:val="0000FF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Times New Roman" w:hAnsi="Times New Roman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3175</wp:posOffset>
                </wp:positionV>
                <wp:extent cx="5467350" cy="0"/>
                <wp:effectExtent l="0" t="4445" r="0" b="50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65pt;margin-top:0.25pt;height:0pt;width:430.5pt;z-index:251659264;mso-width-relative:page;mso-height-relative:page;" filled="f" stroked="t" coordsize="21600,21600" o:gfxdata="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TkuvNMAAAAEAQAADwAAAAAAAAABACAAAAAiAAAAZHJzL2Rvd25yZXYueG1s&#10;UEsBAhQAFAAAAAgAh07iQPRZofr9AQAA7AMAAA4AAAAAAAAAAQAgAAAAI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"/>
          <w:sz w:val="28"/>
          <w:szCs w:val="28"/>
          <w:lang w:eastAsia="zh-CN"/>
        </w:rPr>
        <w:t>抄送：区委各部门，区人大、区政协、区纪委监委、区人武部办公室，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Times New Roman" w:hAnsi="Times New Roman" w:eastAsia="仿宋"/>
          <w:sz w:val="28"/>
          <w:szCs w:val="28"/>
          <w:lang w:eastAsia="zh-CN"/>
        </w:rPr>
      </w:pPr>
      <w:r>
        <w:rPr>
          <w:rFonts w:ascii="Times New Roman" w:hAnsi="Times New Roman" w:eastAsia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274320</wp:posOffset>
                </wp:positionV>
                <wp:extent cx="5486400" cy="0"/>
                <wp:effectExtent l="0" t="4445" r="0" b="508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15pt;margin-top:21.6pt;height:0pt;width:432pt;z-index:251660288;mso-width-relative:page;mso-height-relative:page;" filled="f" stroked="t" coordsize="21600,21600" o:gfxdata="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uNv8y1wAAAAgBAAAPAAAAAAAAAAEAIAAAACIAAABkcnMvZG93bnJl&#10;di54bWxQSwECFAAUAAAACACHTuJAQtk3KP4BAADs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仿宋"/>
          <w:sz w:val="28"/>
          <w:szCs w:val="28"/>
          <w:lang w:eastAsia="zh-CN"/>
        </w:rPr>
        <w:t xml:space="preserve">     </w:t>
      </w:r>
      <w:r>
        <w:rPr>
          <w:rFonts w:hint="eastAsia" w:ascii="Times New Roman" w:hAnsi="Times New Roman" w:eastAsia="仿宋"/>
          <w:sz w:val="28"/>
          <w:szCs w:val="28"/>
          <w:lang w:eastAsia="zh-CN"/>
        </w:rPr>
        <w:t>区法院、区检察院。</w:t>
      </w:r>
    </w:p>
    <w:p>
      <w:pPr>
        <w:jc w:val="both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334010</wp:posOffset>
                </wp:positionV>
                <wp:extent cx="5543550" cy="0"/>
                <wp:effectExtent l="0" t="4445" r="0" b="508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.4pt;margin-top:26.3pt;height:0pt;width:436.5pt;z-index:251661312;mso-width-relative:page;mso-height-relative:page;" filled="f" stroked="t" coordsize="21600,21600" o:gfxdata="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0vG+/1gAAAAgBAAAPAAAAAAAAAAEAIAAAACIAAABkcnMvZG93bnJldi54&#10;bWxQSwECFAAUAAAACACHTuJAKp4rkPwBAADs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 xml:space="preserve">临淄区人民政府办公室           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17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日印发</w:t>
      </w:r>
    </w:p>
    <w:sectPr>
      <w:pgSz w:w="11906" w:h="16838"/>
      <w:pgMar w:top="2098" w:right="113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5YmNjNGRiYmMyM2VhZTljMjQ3YTY0Nzk4MjJmOTMifQ=="/>
  </w:docVars>
  <w:rsids>
    <w:rsidRoot w:val="00A67099"/>
    <w:rsid w:val="0009120F"/>
    <w:rsid w:val="001768A7"/>
    <w:rsid w:val="001F5BF0"/>
    <w:rsid w:val="00204ACF"/>
    <w:rsid w:val="00214073"/>
    <w:rsid w:val="002C1B9C"/>
    <w:rsid w:val="002D4A64"/>
    <w:rsid w:val="004346A2"/>
    <w:rsid w:val="00476B26"/>
    <w:rsid w:val="00750AAA"/>
    <w:rsid w:val="008245CF"/>
    <w:rsid w:val="00826266"/>
    <w:rsid w:val="008A6622"/>
    <w:rsid w:val="008B1F8C"/>
    <w:rsid w:val="008F235D"/>
    <w:rsid w:val="00901076"/>
    <w:rsid w:val="00A67099"/>
    <w:rsid w:val="00A727D6"/>
    <w:rsid w:val="00AB0E1E"/>
    <w:rsid w:val="00BD7C16"/>
    <w:rsid w:val="00C03830"/>
    <w:rsid w:val="00CC7874"/>
    <w:rsid w:val="00CE10C6"/>
    <w:rsid w:val="00D86B5A"/>
    <w:rsid w:val="00DA30FA"/>
    <w:rsid w:val="00ED3D7D"/>
    <w:rsid w:val="00F7068E"/>
    <w:rsid w:val="00FE49B2"/>
    <w:rsid w:val="12745D5C"/>
    <w:rsid w:val="1D0A4E99"/>
    <w:rsid w:val="223631D9"/>
    <w:rsid w:val="24EE3B48"/>
    <w:rsid w:val="350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1033</Words>
  <Characters>1054</Characters>
  <Lines>7</Lines>
  <Paragraphs>2</Paragraphs>
  <TotalTime>0</TotalTime>
  <ScaleCrop>false</ScaleCrop>
  <LinksUpToDate>false</LinksUpToDate>
  <CharactersWithSpaces>1121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2024-07-10T01:44:00Z</dcterms:created>
  <dc:creator>I</dc:creator>
  <cp:lastModifiedBy>孟雪晴</cp:lastModifiedBy>
  <cp:lastPrinted>2024-07-18T02:52:00Z</cp:lastPrinted>
  <dcterms:modified xsi:type="dcterms:W3CDTF">2024-07-24T00:48:54Z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351289A4EBAD4ACF9935409773C5D68D_13</vt:lpwstr>
  </property>
</Properties>
</file>