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16BEBDB">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pP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临政发〔2025〕1号</w:t>
      </w:r>
    </w:p>
    <w:p w14:paraId="6F80E503">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7FF8460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both"/>
        <w:textAlignment w:val="baseline"/>
        <w:rPr>
          <w:rFonts w:ascii="Arial"/>
          <w:sz w:val="21"/>
        </w:rPr>
      </w:pPr>
    </w:p>
    <w:p w14:paraId="59EF1BB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231F20"/>
          <w:spacing w:val="22"/>
          <w:sz w:val="44"/>
          <w:szCs w:val="44"/>
          <w:lang w:eastAsia="zh-CN"/>
        </w:rPr>
        <w:t>临淄区</w:t>
      </w:r>
      <w:r>
        <w:rPr>
          <w:rFonts w:hint="eastAsia" w:ascii="方正小标宋简体" w:hAnsi="方正小标宋简体" w:eastAsia="方正小标宋简体" w:cs="方正小标宋简体"/>
          <w:color w:val="231F20"/>
          <w:spacing w:val="22"/>
          <w:sz w:val="44"/>
          <w:szCs w:val="44"/>
        </w:rPr>
        <w:t>人民政府</w:t>
      </w:r>
    </w:p>
    <w:p w14:paraId="30C3076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pPr>
      <w:r>
        <w:rPr>
          <w:rFonts w:hint="eastAsia" w:ascii="方正小标宋简体" w:hAnsi="方正小标宋简体" w:eastAsia="方正小标宋简体" w:cs="方正小标宋简体"/>
          <w:color w:val="231F20"/>
          <w:spacing w:val="26"/>
          <w:sz w:val="44"/>
          <w:szCs w:val="44"/>
        </w:rPr>
        <w:t>关于印发</w:t>
      </w:r>
      <w:r>
        <w:rPr>
          <w:rFonts w:hint="eastAsia" w:ascii="方正小标宋简体" w:hAnsi="方正小标宋简体" w:eastAsia="方正小标宋简体" w:cs="方正小标宋简体"/>
          <w:color w:val="231F20"/>
          <w:spacing w:val="26"/>
          <w:sz w:val="44"/>
          <w:szCs w:val="44"/>
          <w:lang w:eastAsia="zh-CN"/>
        </w:rPr>
        <w:t>临淄区</w:t>
      </w:r>
      <w:r>
        <w:rPr>
          <w:rFonts w:hint="eastAsia" w:ascii="方正小标宋简体" w:hAnsi="方正小标宋简体" w:eastAsia="方正小标宋简体" w:cs="方正小标宋简体"/>
          <w:color w:val="231F20"/>
          <w:spacing w:val="26"/>
          <w:sz w:val="44"/>
          <w:szCs w:val="44"/>
        </w:rPr>
        <w:t>人民政府工作规则的通知</w:t>
      </w:r>
    </w:p>
    <w:p w14:paraId="1DBD4F19">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left="0" w:right="0"/>
        <w:jc w:val="both"/>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pPr>
    </w:p>
    <w:p w14:paraId="42652885">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left="0" w:right="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各镇人民政府、街道办事处，各开发区管委会，区政府各部门，各企事业单位：</w:t>
      </w:r>
    </w:p>
    <w:p w14:paraId="74705D5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pP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《临淄区人民政府工作规则》已经2025年4月1日区政府第38次常务会议研究通过，现予印发。</w:t>
      </w:r>
    </w:p>
    <w:p w14:paraId="0C510FE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both"/>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pPr>
    </w:p>
    <w:p w14:paraId="112D26C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right"/>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pP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 xml:space="preserve">临淄区人民政府   </w:t>
      </w:r>
    </w:p>
    <w:p w14:paraId="7EEA97C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right"/>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pP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2025年4月3日</w:t>
      </w:r>
    </w:p>
    <w:p w14:paraId="6225AF1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sectPr>
          <w:footerReference r:id="rId5" w:type="default"/>
          <w:pgSz w:w="11905" w:h="16836"/>
          <w:pgMar w:top="2098" w:right="1474" w:bottom="1984" w:left="1587" w:header="0" w:footer="1505" w:gutter="0"/>
          <w:cols w:space="720" w:num="1"/>
        </w:sectPr>
      </w:pP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（此件公开发布）</w:t>
      </w:r>
    </w:p>
    <w:p w14:paraId="5DD5D1F8">
      <w:pPr>
        <w:keepNext w:val="0"/>
        <w:keepLines w:val="0"/>
        <w:pageBreakBefore w:val="0"/>
        <w:widowControl w:val="0"/>
        <w:wordWrap/>
        <w:overflowPunct/>
        <w:topLinePunct w:val="0"/>
        <w:bidi w:val="0"/>
        <w:spacing w:line="560" w:lineRule="exact"/>
        <w:jc w:val="both"/>
        <w:rPr>
          <w:rFonts w:ascii="Arial"/>
          <w:sz w:val="21"/>
        </w:rPr>
      </w:pPr>
    </w:p>
    <w:p w14:paraId="1050A4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lang w:eastAsia="zh-CN"/>
        </w:rPr>
        <w:t>临淄区</w:t>
      </w:r>
      <w:r>
        <w:rPr>
          <w:rFonts w:hint="eastAsia" w:ascii="方正小标宋简体" w:hAnsi="方正小标宋简体" w:eastAsia="方正小标宋简体" w:cs="方正小标宋简体"/>
          <w:color w:val="auto"/>
          <w:sz w:val="44"/>
          <w:szCs w:val="44"/>
          <w:u w:val="none"/>
        </w:rPr>
        <w:t>人民政府工作规则</w:t>
      </w:r>
    </w:p>
    <w:p w14:paraId="3648A6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rPr>
      </w:pPr>
    </w:p>
    <w:p w14:paraId="70E7D1F8">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总则</w:t>
      </w:r>
    </w:p>
    <w:p w14:paraId="435F7D8C">
      <w:pPr>
        <w:pStyle w:val="6"/>
        <w:keepNext w:val="0"/>
        <w:keepLines w:val="0"/>
        <w:pageBreakBefore w:val="0"/>
        <w:widowControl w:val="0"/>
        <w:numPr>
          <w:ilvl w:val="0"/>
          <w:numId w:val="0"/>
        </w:numPr>
        <w:wordWrap/>
        <w:overflowPunct/>
        <w:topLinePunct w:val="0"/>
        <w:bidi w:val="0"/>
        <w:jc w:val="both"/>
        <w:rPr>
          <w:rFonts w:hint="eastAsia"/>
        </w:rPr>
      </w:pPr>
    </w:p>
    <w:p w14:paraId="4917A2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一</w:t>
      </w:r>
      <w:r>
        <w:rPr>
          <w:rFonts w:hint="eastAsia" w:ascii="CESI仿宋-GB2312" w:hAnsi="CESI仿宋-GB2312" w:eastAsia="CESI仿宋-GB2312" w:cs="CESI仿宋-GB2312"/>
          <w:color w:val="auto"/>
          <w:sz w:val="32"/>
          <w:szCs w:val="32"/>
          <w:u w:val="none"/>
          <w:lang w:eastAsia="zh-CN"/>
        </w:rPr>
        <w:t>、</w:t>
      </w:r>
      <w:r>
        <w:rPr>
          <w:rFonts w:hint="eastAsia" w:ascii="CESI仿宋-GB2312" w:hAnsi="CESI仿宋-GB2312" w:eastAsia="CESI仿宋-GB2312" w:cs="CESI仿宋-GB2312"/>
          <w:color w:val="auto"/>
          <w:sz w:val="32"/>
          <w:szCs w:val="32"/>
          <w:u w:val="none"/>
        </w:rPr>
        <w:t>根据《中华人民共和国宪法》《中华人民共和国地方各级人民代表大会和地方各级人民政府组织法》</w:t>
      </w:r>
      <w:r>
        <w:rPr>
          <w:rFonts w:hint="eastAsia" w:ascii="CESI仿宋-GB2312" w:hAnsi="CESI仿宋-GB2312" w:eastAsia="CESI仿宋-GB2312" w:cs="CESI仿宋-GB2312"/>
          <w:color w:val="auto"/>
          <w:sz w:val="32"/>
          <w:szCs w:val="32"/>
          <w:u w:val="none"/>
          <w:lang w:eastAsia="zh-CN"/>
        </w:rPr>
        <w:t>，</w:t>
      </w:r>
      <w:r>
        <w:rPr>
          <w:rFonts w:hint="eastAsia" w:ascii="CESI仿宋-GB2312" w:hAnsi="CESI仿宋-GB2312" w:eastAsia="CESI仿宋-GB2312" w:cs="CESI仿宋-GB2312"/>
          <w:color w:val="auto"/>
          <w:sz w:val="32"/>
          <w:szCs w:val="32"/>
          <w:u w:val="none"/>
        </w:rPr>
        <w:t>参照《国务院工作规则》《山东省人民政府工作规则》和</w:t>
      </w:r>
      <w:r>
        <w:rPr>
          <w:rFonts w:hint="eastAsia" w:ascii="CESI仿宋-GB2312" w:hAnsi="CESI仿宋-GB2312" w:eastAsia="CESI仿宋-GB2312" w:cs="CESI仿宋-GB2312"/>
          <w:color w:val="000000" w:themeColor="text1"/>
          <w:sz w:val="32"/>
          <w:szCs w:val="32"/>
          <w:u w:val="none"/>
          <w14:textFill>
            <w14:solidFill>
              <w14:schemeClr w14:val="tx1"/>
            </w14:solidFill>
          </w14:textFill>
        </w:rPr>
        <w:t>《淄博市人民政府工作规则》</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w:t>
      </w:r>
      <w:r>
        <w:rPr>
          <w:rFonts w:hint="eastAsia" w:ascii="CESI仿宋-GB2312" w:hAnsi="CESI仿宋-GB2312" w:eastAsia="CESI仿宋-GB2312" w:cs="CESI仿宋-GB2312"/>
          <w:color w:val="auto"/>
          <w:sz w:val="32"/>
          <w:szCs w:val="32"/>
          <w:u w:val="none"/>
        </w:rPr>
        <w:t>结合</w:t>
      </w:r>
      <w:r>
        <w:rPr>
          <w:rFonts w:hint="eastAsia" w:ascii="CESI仿宋-GB2312" w:hAnsi="CESI仿宋-GB2312" w:eastAsia="CESI仿宋-GB2312" w:cs="CESI仿宋-GB2312"/>
          <w:color w:val="auto"/>
          <w:sz w:val="32"/>
          <w:szCs w:val="32"/>
          <w:u w:val="none"/>
          <w:lang w:eastAsia="zh-CN"/>
        </w:rPr>
        <w:t>我区</w:t>
      </w:r>
      <w:r>
        <w:rPr>
          <w:rFonts w:hint="eastAsia" w:ascii="CESI仿宋-GB2312" w:hAnsi="CESI仿宋-GB2312" w:eastAsia="CESI仿宋-GB2312" w:cs="CESI仿宋-GB2312"/>
          <w:color w:val="auto"/>
          <w:sz w:val="32"/>
          <w:szCs w:val="32"/>
          <w:u w:val="none"/>
        </w:rPr>
        <w:t>工作实际</w:t>
      </w:r>
      <w:r>
        <w:rPr>
          <w:rFonts w:hint="eastAsia" w:ascii="CESI仿宋-GB2312" w:hAnsi="CESI仿宋-GB2312" w:eastAsia="CESI仿宋-GB2312" w:cs="CESI仿宋-GB2312"/>
          <w:color w:val="auto"/>
          <w:sz w:val="32"/>
          <w:szCs w:val="32"/>
          <w:u w:val="none"/>
          <w:lang w:eastAsia="zh-CN"/>
        </w:rPr>
        <w:t>，</w:t>
      </w:r>
      <w:r>
        <w:rPr>
          <w:rFonts w:hint="eastAsia" w:ascii="CESI仿宋-GB2312" w:hAnsi="CESI仿宋-GB2312" w:eastAsia="CESI仿宋-GB2312" w:cs="CESI仿宋-GB2312"/>
          <w:color w:val="auto"/>
          <w:sz w:val="32"/>
          <w:szCs w:val="32"/>
          <w:u w:val="none"/>
        </w:rPr>
        <w:t>制定本规则。</w:t>
      </w:r>
    </w:p>
    <w:p w14:paraId="1F893F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二</w:t>
      </w:r>
      <w:r>
        <w:rPr>
          <w:rFonts w:hint="eastAsia" w:ascii="CESI仿宋-GB2312" w:hAnsi="CESI仿宋-GB2312" w:eastAsia="CESI仿宋-GB2312" w:cs="CESI仿宋-GB2312"/>
          <w:color w:val="auto"/>
          <w:sz w:val="32"/>
          <w:szCs w:val="32"/>
          <w:u w:val="none"/>
          <w:lang w:eastAsia="zh-CN"/>
        </w:rPr>
        <w:t>、</w:t>
      </w: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区政府工作坚持以习近平新时代中国特色社会主义思想为指导，深入贯彻党的二十大和二十届二中、三中全会精神，全面落实习近平总书记视察山东重要讲话和对山东工作的重要指示要求，坚决维护党中央权威和集中统一领导，完整准确全面贯彻新发展理念，主动服务和融入新发展格局，按照</w:t>
      </w:r>
      <w:r>
        <w:rPr>
          <w:rFonts w:hint="eastAsia" w:ascii="CESI仿宋-GB2312" w:hAnsi="CESI仿宋-GB2312" w:eastAsia="CESI仿宋-GB2312" w:cs="CESI仿宋-GB2312"/>
          <w:i w:val="0"/>
          <w:caps w:val="0"/>
          <w:snapToGrid w:val="0"/>
          <w:color w:val="000000" w:themeColor="text1"/>
          <w:spacing w:val="0"/>
          <w:kern w:val="0"/>
          <w:sz w:val="32"/>
          <w:szCs w:val="32"/>
          <w:shd w:val="clear" w:fill="FFFFFF"/>
          <w:lang w:val="en-US" w:eastAsia="zh-CN" w:bidi="ar"/>
          <w14:textFill>
            <w14:solidFill>
              <w14:schemeClr w14:val="tx1"/>
            </w14:solidFill>
          </w14:textFill>
        </w:rPr>
        <w:t>省委、省政府和市委、市政府工作要求，在</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区委坚强领导下，</w:t>
      </w: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锚定“走在前、挑大梁、作示范”总定位，聚焦建设“新时代社会主义现代化强区”总目标，更好统筹当前和长远、统筹守正与创新、统筹发展和安全，深入实施产业立区、改革强区、精致建区、文化兴区、富民安区“五大战略”，着力推进富强临淄、活力临淄、品质临淄、人文临淄、幸福临淄“五城联建”，</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加快推动</w:t>
      </w:r>
      <w:r>
        <w:rPr>
          <w:rFonts w:hint="eastAsia" w:ascii="CESI仿宋-GB2312" w:hAnsi="CESI仿宋-GB2312" w:eastAsia="CESI仿宋-GB2312" w:cs="CESI仿宋-GB2312"/>
          <w:i w:val="0"/>
          <w:caps w:val="0"/>
          <w:snapToGrid w:val="0"/>
          <w:color w:val="000000" w:themeColor="text1"/>
          <w:spacing w:val="0"/>
          <w:kern w:val="0"/>
          <w:sz w:val="32"/>
          <w:szCs w:val="32"/>
          <w:shd w:val="clear" w:fill="FFFFFF"/>
          <w:lang w:val="en-US" w:eastAsia="zh-CN" w:bidi="ar"/>
          <w14:textFill>
            <w14:solidFill>
              <w14:schemeClr w14:val="tx1"/>
            </w14:solidFill>
          </w14:textFill>
        </w:rPr>
        <w:t>绿色低碳高质量发展，建设人民满意的法治政府、创新政府、廉洁政府和服务型政府，</w:t>
      </w:r>
      <w:r>
        <w:rPr>
          <w:rFonts w:hint="eastAsia" w:ascii="CESI仿宋-GB2312" w:hAnsi="CESI仿宋-GB2312" w:eastAsia="CESI仿宋-GB2312" w:cs="CESI仿宋-GB2312"/>
          <w:color w:val="000000" w:themeColor="text1"/>
          <w:sz w:val="32"/>
          <w:szCs w:val="32"/>
          <w:u w:val="none"/>
          <w14:textFill>
            <w14:solidFill>
              <w14:schemeClr w14:val="tx1"/>
            </w14:solidFill>
          </w14:textFill>
        </w:rPr>
        <w:t>奋力谱写中国式现代化临淄新篇章。</w:t>
      </w:r>
    </w:p>
    <w:p w14:paraId="50640D21">
      <w:pPr>
        <w:keepNext w:val="0"/>
        <w:keepLines w:val="0"/>
        <w:pageBreakBefore w:val="0"/>
        <w:widowControl w:val="0"/>
        <w:suppressLineNumbers w:val="0"/>
        <w:wordWrap/>
        <w:overflowPunct/>
        <w:topLinePunct w:val="0"/>
        <w:bidi w:val="0"/>
        <w:spacing w:line="560" w:lineRule="exact"/>
        <w:ind w:firstLine="640" w:firstLineChars="2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三、区政府工作人员要旗帜鲜明讲政治，深刻领悟“两个确立”的决定性意义，增强“四个意识”、坚定“四个自信”、做到“两个维护”，坚持用习近平新时代中国特色社会主义思想武装头脑、指导实践、推动工作，胸怀“两个大局”、牢记“国之大者”，自觉在思想上政治上行动上同以习近平同志为核心的党中央保持高度一致，不断提高政治判断力、政治领悟力、政治执行力，把党的领导贯彻落实到政府工作全过程各领域。</w:t>
      </w:r>
    </w:p>
    <w:p w14:paraId="08E2448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rPr>
      </w:pPr>
    </w:p>
    <w:p w14:paraId="61AFD5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第二章  组成人员和政府职能</w:t>
      </w:r>
    </w:p>
    <w:p w14:paraId="04EAF04B">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jc w:val="both"/>
        <w:textAlignment w:val="baseline"/>
        <w:rPr>
          <w:rFonts w:hint="eastAsia" w:ascii="CESI仿宋-GB2312" w:hAnsi="CESI仿宋-GB2312" w:eastAsia="CESI仿宋-GB2312" w:cs="CESI仿宋-GB2312"/>
          <w:sz w:val="32"/>
          <w:szCs w:val="32"/>
        </w:rPr>
      </w:pPr>
    </w:p>
    <w:p w14:paraId="31181E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000000" w:themeColor="text1"/>
          <w:sz w:val="32"/>
          <w:szCs w:val="32"/>
          <w:lang w:eastAsia="zh-CN"/>
          <w14:textFill>
            <w14:solidFill>
              <w14:schemeClr w14:val="tx1"/>
            </w14:solidFill>
          </w14:textFill>
        </w:rPr>
      </w:pPr>
      <w:r>
        <w:rPr>
          <w:rFonts w:hint="eastAsia" w:ascii="CESI仿宋-GB2312" w:hAnsi="CESI仿宋-GB2312" w:eastAsia="CESI仿宋-GB2312" w:cs="CESI仿宋-GB2312"/>
          <w:sz w:val="32"/>
          <w:szCs w:val="32"/>
        </w:rPr>
        <w:t>四、</w:t>
      </w:r>
      <w:r>
        <w:rPr>
          <w:rFonts w:hint="eastAsia" w:ascii="CESI仿宋-GB2312" w:hAnsi="CESI仿宋-GB2312" w:eastAsia="CESI仿宋-GB2312" w:cs="CESI仿宋-GB2312"/>
          <w:color w:val="auto"/>
          <w:sz w:val="32"/>
          <w:szCs w:val="32"/>
          <w:u w:val="none"/>
          <w:lang w:eastAsia="zh-CN"/>
        </w:rPr>
        <w:t>区</w:t>
      </w:r>
      <w:r>
        <w:rPr>
          <w:rFonts w:hint="eastAsia" w:ascii="CESI仿宋-GB2312" w:hAnsi="CESI仿宋-GB2312" w:eastAsia="CESI仿宋-GB2312" w:cs="CESI仿宋-GB2312"/>
          <w:color w:val="auto"/>
          <w:sz w:val="32"/>
          <w:szCs w:val="32"/>
          <w:u w:val="none"/>
        </w:rPr>
        <w:t>政府由</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区长、</w:t>
      </w:r>
      <w:r>
        <w:rPr>
          <w:rFonts w:hint="eastAsia" w:ascii="CESI仿宋-GB2312" w:hAnsi="CESI仿宋-GB2312" w:eastAsia="CESI仿宋-GB2312" w:cs="CESI仿宋-GB2312"/>
          <w:color w:val="000000" w:themeColor="text1"/>
          <w:sz w:val="32"/>
          <w:szCs w:val="32"/>
          <w:u w:val="none"/>
          <w14:textFill>
            <w14:solidFill>
              <w14:schemeClr w14:val="tx1"/>
            </w14:solidFill>
          </w14:textFill>
        </w:rPr>
        <w:t>副</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u w:val="none"/>
          <w14:textFill>
            <w14:solidFill>
              <w14:schemeClr w14:val="tx1"/>
            </w14:solidFill>
          </w14:textFill>
        </w:rPr>
        <w:t>长和</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u w:val="none"/>
          <w14:textFill>
            <w14:solidFill>
              <w14:schemeClr w14:val="tx1"/>
            </w14:solidFill>
          </w14:textFill>
        </w:rPr>
        <w:t>政府工作部门</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局长（主任）</w:t>
      </w:r>
      <w:r>
        <w:rPr>
          <w:rFonts w:hint="eastAsia" w:ascii="CESI仿宋-GB2312" w:hAnsi="CESI仿宋-GB2312" w:eastAsia="CESI仿宋-GB2312" w:cs="CESI仿宋-GB2312"/>
          <w:color w:val="000000" w:themeColor="text1"/>
          <w:sz w:val="32"/>
          <w:szCs w:val="32"/>
          <w:u w:val="none"/>
          <w14:textFill>
            <w14:solidFill>
              <w14:schemeClr w14:val="tx1"/>
            </w14:solidFill>
          </w14:textFill>
        </w:rPr>
        <w:t>组成。</w:t>
      </w:r>
    </w:p>
    <w:p w14:paraId="3BF2FD32">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auto"/>
          <w:sz w:val="32"/>
          <w:szCs w:val="32"/>
          <w:u w:val="none"/>
          <w:lang w:eastAsia="zh-CN"/>
        </w:rPr>
      </w:pPr>
      <w:r>
        <w:rPr>
          <w:rFonts w:hint="eastAsia" w:ascii="CESI仿宋-GB2312" w:hAnsi="CESI仿宋-GB2312" w:eastAsia="CESI仿宋-GB2312" w:cs="CESI仿宋-GB2312"/>
          <w:color w:val="auto"/>
          <w:sz w:val="32"/>
          <w:szCs w:val="32"/>
          <w:u w:val="none"/>
        </w:rPr>
        <w:t>五、</w:t>
      </w:r>
      <w:r>
        <w:rPr>
          <w:rFonts w:hint="eastAsia" w:ascii="CESI仿宋-GB2312" w:hAnsi="CESI仿宋-GB2312" w:eastAsia="CESI仿宋-GB2312" w:cs="CESI仿宋-GB2312"/>
          <w:color w:val="auto"/>
          <w:sz w:val="32"/>
          <w:szCs w:val="32"/>
          <w:u w:val="none"/>
          <w:lang w:eastAsia="zh-CN"/>
        </w:rPr>
        <w:t>区</w:t>
      </w:r>
      <w:r>
        <w:rPr>
          <w:rFonts w:hint="eastAsia" w:ascii="CESI仿宋-GB2312" w:hAnsi="CESI仿宋-GB2312" w:eastAsia="CESI仿宋-GB2312" w:cs="CESI仿宋-GB2312"/>
          <w:color w:val="auto"/>
          <w:sz w:val="32"/>
          <w:szCs w:val="32"/>
          <w:u w:val="none"/>
        </w:rPr>
        <w:t>政府实行</w:t>
      </w:r>
      <w:r>
        <w:rPr>
          <w:rFonts w:hint="eastAsia" w:ascii="CESI仿宋-GB2312" w:hAnsi="CESI仿宋-GB2312" w:eastAsia="CESI仿宋-GB2312" w:cs="CESI仿宋-GB2312"/>
          <w:color w:val="auto"/>
          <w:sz w:val="32"/>
          <w:szCs w:val="32"/>
          <w:u w:val="none"/>
          <w:lang w:eastAsia="zh-CN"/>
        </w:rPr>
        <w:t>区</w:t>
      </w:r>
      <w:r>
        <w:rPr>
          <w:rFonts w:hint="eastAsia" w:ascii="CESI仿宋-GB2312" w:hAnsi="CESI仿宋-GB2312" w:eastAsia="CESI仿宋-GB2312" w:cs="CESI仿宋-GB2312"/>
          <w:color w:val="auto"/>
          <w:sz w:val="32"/>
          <w:szCs w:val="32"/>
          <w:u w:val="none"/>
        </w:rPr>
        <w:t>长负责制</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color w:val="auto"/>
          <w:sz w:val="32"/>
          <w:szCs w:val="32"/>
          <w:u w:val="none"/>
          <w:lang w:eastAsia="zh-CN"/>
        </w:rPr>
        <w:t>区长主持和领导区政府的工作。副区长协助区长工作，按分工负责处理分管领域工作，对分管领域党风廉政建设、意识形态、安全生产和信访工作实行“一岗双责”责任制；受区长委托，负责其他方面的工作或专项任务；根据统一安排，代表区政府进行外事活动。办公室主任在区长领导下，负责处理区政府日常工作。</w:t>
      </w:r>
    </w:p>
    <w:p w14:paraId="1C5AFD3B">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auto"/>
          <w:sz w:val="32"/>
          <w:szCs w:val="32"/>
          <w:u w:val="none"/>
          <w:lang w:eastAsia="zh-CN"/>
        </w:rPr>
      </w:pPr>
      <w:r>
        <w:rPr>
          <w:rFonts w:hint="eastAsia" w:ascii="CESI仿宋-GB2312" w:hAnsi="CESI仿宋-GB2312" w:eastAsia="CESI仿宋-GB2312" w:cs="CESI仿宋-GB2312"/>
          <w:color w:val="auto"/>
          <w:sz w:val="32"/>
          <w:szCs w:val="32"/>
          <w:u w:val="none"/>
          <w:lang w:eastAsia="zh-CN"/>
        </w:rPr>
        <w:t>区长因公外出、休假期间，受区长委托，由负责常务工作的副区长主持区政府工作。区政府领导同志实行工作补位制度，副区长因公外出</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w:t>
      </w:r>
      <w:r>
        <w:rPr>
          <w:rFonts w:hint="eastAsia" w:ascii="CESI仿宋-GB2312" w:hAnsi="CESI仿宋-GB2312" w:eastAsia="CESI仿宋-GB2312" w:cs="CESI仿宋-GB2312"/>
          <w:color w:val="auto"/>
          <w:sz w:val="32"/>
          <w:szCs w:val="32"/>
          <w:u w:val="none"/>
          <w:lang w:eastAsia="zh-CN"/>
        </w:rPr>
        <w:t>休假期间，由补位的副区长处理相关工作。</w:t>
      </w:r>
    </w:p>
    <w:p w14:paraId="564F31E1">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auto"/>
          <w:sz w:val="32"/>
          <w:szCs w:val="32"/>
          <w:u w:val="none"/>
          <w:lang w:eastAsia="zh-CN"/>
        </w:rPr>
      </w:pPr>
      <w:r>
        <w:rPr>
          <w:rFonts w:hint="eastAsia" w:ascii="CESI仿宋-GB2312" w:hAnsi="CESI仿宋-GB2312" w:eastAsia="CESI仿宋-GB2312" w:cs="CESI仿宋-GB2312"/>
          <w:color w:val="auto"/>
          <w:sz w:val="32"/>
          <w:szCs w:val="32"/>
          <w:u w:val="none"/>
          <w:lang w:eastAsia="zh-CN"/>
        </w:rPr>
        <w:t>六、区政府履行经济调节、市场监管、社会管理、公共服 务、生态环境保护、改善民生等职能，坚持稳中求进工作总基 调，统筹发展和安全，充分发挥市场在资源配置中的决定性作 用，更好发挥政府作用，推动有效市场和有为政府有机结合， 创造良好发展环境，维护社会公平正义。</w:t>
      </w:r>
    </w:p>
    <w:p w14:paraId="5AC90C92">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w:t>
      </w:r>
      <w:r>
        <w:rPr>
          <w:rFonts w:hint="eastAsia" w:ascii="CESI仿宋-GB2312" w:hAnsi="CESI仿宋-GB2312" w:eastAsia="CESI仿宋-GB2312" w:cs="CESI仿宋-GB2312"/>
          <w:color w:val="auto"/>
          <w:sz w:val="32"/>
          <w:szCs w:val="32"/>
          <w:u w:val="none"/>
          <w:lang w:eastAsia="zh-CN"/>
        </w:rPr>
        <w:t>区</w:t>
      </w:r>
      <w:r>
        <w:rPr>
          <w:rFonts w:hint="eastAsia" w:ascii="CESI仿宋-GB2312" w:hAnsi="CESI仿宋-GB2312" w:eastAsia="CESI仿宋-GB2312" w:cs="CESI仿宋-GB2312"/>
          <w:color w:val="auto"/>
          <w:sz w:val="32"/>
          <w:szCs w:val="32"/>
          <w:u w:val="none"/>
        </w:rPr>
        <w:t>政</w:t>
      </w:r>
      <w:r>
        <w:rPr>
          <w:rFonts w:hint="eastAsia" w:ascii="CESI仿宋-GB2312" w:hAnsi="CESI仿宋-GB2312" w:eastAsia="CESI仿宋-GB2312" w:cs="CESI仿宋-GB2312"/>
          <w:color w:val="000000" w:themeColor="text1"/>
          <w:sz w:val="32"/>
          <w:szCs w:val="32"/>
          <w:u w:val="none"/>
          <w14:textFill>
            <w14:solidFill>
              <w14:schemeClr w14:val="tx1"/>
            </w14:solidFill>
          </w14:textFill>
        </w:rPr>
        <w:t>府工作部门</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实行局长（主任）负责制</w:t>
      </w:r>
      <w:r>
        <w:rPr>
          <w:rFonts w:hint="eastAsia" w:ascii="CESI仿宋-GB2312" w:hAnsi="CESI仿宋-GB2312" w:eastAsia="CESI仿宋-GB2312" w:cs="CESI仿宋-GB2312"/>
          <w:color w:val="000000" w:themeColor="text1"/>
          <w:sz w:val="32"/>
          <w:szCs w:val="32"/>
          <w14:textFill>
            <w14:solidFill>
              <w14:schemeClr w14:val="tx1"/>
            </w14:solidFill>
          </w14:textFill>
        </w:rPr>
        <w:t>。各部门根据法律、法规、规章</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和</w:t>
      </w:r>
      <w:r>
        <w:rPr>
          <w:rFonts w:hint="eastAsia" w:ascii="CESI仿宋-GB2312" w:hAnsi="CESI仿宋-GB2312" w:eastAsia="CESI仿宋-GB2312" w:cs="CESI仿宋-GB2312"/>
          <w:color w:val="000000" w:themeColor="text1"/>
          <w:sz w:val="32"/>
          <w:szCs w:val="32"/>
          <w14:textFill>
            <w14:solidFill>
              <w14:schemeClr w14:val="tx1"/>
            </w14:solidFill>
          </w14:textFill>
        </w:rPr>
        <w:t>国务院、省政府、市政府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、区政府</w:t>
      </w:r>
      <w:r>
        <w:rPr>
          <w:rFonts w:hint="eastAsia" w:ascii="CESI仿宋-GB2312" w:hAnsi="CESI仿宋-GB2312" w:eastAsia="CESI仿宋-GB2312" w:cs="CESI仿宋-GB2312"/>
          <w:color w:val="000000" w:themeColor="text1"/>
          <w:sz w:val="32"/>
          <w:szCs w:val="32"/>
          <w14:textFill>
            <w14:solidFill>
              <w14:schemeClr w14:val="tx1"/>
            </w14:solidFill>
          </w14:textFill>
        </w:rPr>
        <w:t>的决定、命令</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在本部门职权范围内各司其职、协同配合，全面履行相关行政管理职能，统筹研究部署</w:t>
      </w:r>
      <w:r>
        <w:rPr>
          <w:rFonts w:hint="eastAsia" w:ascii="CESI仿宋-GB2312" w:hAnsi="CESI仿宋-GB2312" w:eastAsia="CESI仿宋-GB2312" w:cs="CESI仿宋-GB2312"/>
          <w:sz w:val="32"/>
          <w:szCs w:val="32"/>
        </w:rPr>
        <w:t>本领域本行业工作，抓好组织实施和督促落实。</w:t>
      </w:r>
    </w:p>
    <w:p w14:paraId="483693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color w:val="auto"/>
          <w:sz w:val="32"/>
          <w:szCs w:val="32"/>
          <w:u w:val="none"/>
        </w:rPr>
      </w:pPr>
    </w:p>
    <w:p w14:paraId="50C75E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CN"/>
        </w:rPr>
        <w:t>第三章</w:t>
      </w:r>
      <w:r>
        <w:rPr>
          <w:rFonts w:hint="eastAsia" w:ascii="黑体" w:hAnsi="黑体" w:eastAsia="黑体" w:cs="黑体"/>
          <w:color w:val="auto"/>
          <w:sz w:val="32"/>
          <w:szCs w:val="32"/>
          <w:u w:val="none"/>
        </w:rPr>
        <w:t xml:space="preserve"> 工作原则</w:t>
      </w:r>
    </w:p>
    <w:p w14:paraId="12957B30">
      <w:pPr>
        <w:pStyle w:val="6"/>
        <w:keepNext w:val="0"/>
        <w:keepLines w:val="0"/>
        <w:pageBreakBefore w:val="0"/>
        <w:widowControl w:val="0"/>
        <w:numPr>
          <w:ilvl w:val="0"/>
          <w:numId w:val="0"/>
        </w:numPr>
        <w:wordWrap/>
        <w:overflowPunct/>
        <w:topLinePunct w:val="0"/>
        <w:bidi w:val="0"/>
        <w:ind w:leftChars="0"/>
        <w:jc w:val="both"/>
        <w:rPr>
          <w:rFonts w:hint="eastAsia"/>
        </w:rPr>
      </w:pPr>
    </w:p>
    <w:p w14:paraId="35831AFA">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八、坚持党的领导。坚决维护以习近平同志为核心的党中央权威和集中统一领导，全面贯彻党的路线方针政策，认真落实党中央决策部署。坚持和完善党领导经济社会发展的体制机制，完善党中央、国务院和省委、省政府，市委</w:t>
      </w:r>
      <w:r>
        <w:rPr>
          <w:rFonts w:hint="eastAsia" w:ascii="CESI仿宋-GB2312" w:hAnsi="CESI仿宋-GB2312" w:eastAsia="CESI仿宋-GB2312" w:cs="CESI仿宋-GB2312"/>
          <w:sz w:val="32"/>
          <w:szCs w:val="32"/>
          <w:lang w:eastAsia="zh-CN"/>
        </w:rPr>
        <w:t>、市政府</w:t>
      </w:r>
      <w:r>
        <w:rPr>
          <w:rFonts w:hint="eastAsia" w:ascii="CESI仿宋-GB2312" w:hAnsi="CESI仿宋-GB2312" w:eastAsia="CESI仿宋-GB2312" w:cs="CESI仿宋-GB2312"/>
          <w:color w:val="FF0000"/>
          <w:sz w:val="32"/>
          <w:szCs w:val="32"/>
          <w:lang w:eastAsia="zh-CN"/>
        </w:rPr>
        <w:t>，</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区委</w:t>
      </w:r>
      <w:r>
        <w:rPr>
          <w:rFonts w:hint="eastAsia" w:ascii="CESI仿宋-GB2312" w:hAnsi="CESI仿宋-GB2312" w:eastAsia="CESI仿宋-GB2312" w:cs="CESI仿宋-GB2312"/>
          <w:color w:val="000000" w:themeColor="text1"/>
          <w:sz w:val="32"/>
          <w:szCs w:val="32"/>
          <w14:textFill>
            <w14:solidFill>
              <w14:schemeClr w14:val="tx1"/>
            </w14:solidFill>
          </w14:textFill>
        </w:rPr>
        <w:t>决策部署落实机制，健全和落实请示报告制度，重大决策、重大事项、重要情况及时向</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市</w:t>
      </w:r>
      <w:r>
        <w:rPr>
          <w:rFonts w:hint="eastAsia" w:ascii="CESI仿宋-GB2312" w:hAnsi="CESI仿宋-GB2312" w:eastAsia="CESI仿宋-GB2312" w:cs="CESI仿宋-GB2312"/>
          <w:color w:val="000000" w:themeColor="text1"/>
          <w:sz w:val="32"/>
          <w:szCs w:val="32"/>
          <w14:textFill>
            <w14:solidFill>
              <w14:schemeClr w14:val="tx1"/>
            </w14:solidFill>
          </w14:textFill>
        </w:rPr>
        <w:t>委、</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市</w:t>
      </w:r>
      <w:r>
        <w:rPr>
          <w:rFonts w:hint="eastAsia" w:ascii="CESI仿宋-GB2312" w:hAnsi="CESI仿宋-GB2312" w:eastAsia="CESI仿宋-GB2312" w:cs="CESI仿宋-GB2312"/>
          <w:color w:val="000000" w:themeColor="text1"/>
          <w:sz w:val="32"/>
          <w:szCs w:val="32"/>
          <w14:textFill>
            <w14:solidFill>
              <w14:schemeClr w14:val="tx1"/>
            </w14:solidFill>
          </w14:textFill>
        </w:rPr>
        <w:t>政府和</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委请示报告</w:t>
      </w:r>
      <w:r>
        <w:rPr>
          <w:rFonts w:hint="eastAsia" w:ascii="CESI仿宋-GB2312" w:hAnsi="CESI仿宋-GB2312" w:eastAsia="CESI仿宋-GB2312" w:cs="CESI仿宋-GB2312"/>
          <w:sz w:val="32"/>
          <w:szCs w:val="32"/>
        </w:rPr>
        <w:t>。</w:t>
      </w:r>
    </w:p>
    <w:p w14:paraId="2C3D280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firstLine="640" w:firstLineChars="200"/>
        <w:jc w:val="both"/>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九、坚持人民至上。坚持全心全意为人民服务的根本宗旨，牢固树立以人民为中心的发展思想，持续厚植为民情怀，把人民对美好生活的向往作为政府工作的出发点和落脚点，倾力保障和改善民生，实现好、维护好、发展好最广大人民根本利益，不断增强人民群众获得感、幸福感、安全感。</w:t>
      </w:r>
    </w:p>
    <w:p w14:paraId="038D8AF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firstLine="640" w:firstLineChars="200"/>
        <w:jc w:val="both"/>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十、坚持依法行政。坚决维护宪法和法律权威，加强法治政府建设，严格规范公正文明执法，强化执法监督，把政府工作全面纳入法治轨道，依法行使权力、履行职责、承担责任。</w:t>
      </w:r>
    </w:p>
    <w:p w14:paraId="35CD308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firstLine="640" w:firstLineChars="200"/>
        <w:jc w:val="both"/>
        <w:rPr>
          <w:rFonts w:hint="eastAsia" w:ascii="CESI仿宋-GB2312" w:hAnsi="CESI仿宋-GB2312" w:eastAsia="CESI仿宋-GB2312" w:cs="CESI仿宋-GB2312"/>
          <w:i w:val="0"/>
          <w:caps w:val="0"/>
          <w:color w:val="000000" w:themeColor="text1"/>
          <w:spacing w:val="0"/>
          <w:sz w:val="32"/>
          <w:szCs w:val="32"/>
          <w:u w:val="none"/>
          <w14:textFill>
            <w14:solidFill>
              <w14:schemeClr w14:val="tx1"/>
            </w14:solidFill>
          </w14:textFill>
        </w:rPr>
      </w:pP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十一、坚持科学民主。强化系统观念，增强工作的前瞻性、整体性、协同性。全面落实重大决策程序制度，加强调查研究、科学论证、风险评估、合法性审查、宏观政策取向一致性评估，广泛听取各方面的意见和建议。涉及社会公众切身利益的重要规划、重大公共政策和措施、重大公共建设项目等，应当充分评估论证，采取论证会、听证会或者其他方式听取专家和社会公众意见。建立健全重大决策跟踪反馈制度，加强后评估，不断提高决策质量和</w:t>
      </w:r>
      <w:r>
        <w:rPr>
          <w:rFonts w:hint="eastAsia" w:ascii="CESI仿宋-GB2312" w:hAnsi="CESI仿宋-GB2312" w:eastAsia="CESI仿宋-GB2312" w:cs="CESI仿宋-GB2312"/>
          <w:i w:val="0"/>
          <w:caps w:val="0"/>
          <w:color w:val="000000" w:themeColor="text1"/>
          <w:spacing w:val="0"/>
          <w:sz w:val="32"/>
          <w:szCs w:val="32"/>
          <w:u w:val="none"/>
          <w:shd w:val="clear" w:fill="FFFFFF"/>
          <w:lang w:eastAsia="zh-CN"/>
          <w14:textFill>
            <w14:solidFill>
              <w14:schemeClr w14:val="tx1"/>
            </w14:solidFill>
          </w14:textFill>
        </w:rPr>
        <w:t>效能</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w:t>
      </w:r>
    </w:p>
    <w:p w14:paraId="18A78BC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firstLine="640" w:firstLineChars="200"/>
        <w:jc w:val="both"/>
        <w:rPr>
          <w:rFonts w:hint="eastAsia" w:ascii="CESI仿宋-GB2312" w:hAnsi="CESI仿宋-GB2312" w:eastAsia="CESI仿宋-GB2312" w:cs="CESI仿宋-GB2312"/>
          <w:snapToGrid w:val="0"/>
          <w:color w:val="000000"/>
          <w:kern w:val="0"/>
          <w:sz w:val="32"/>
          <w:szCs w:val="32"/>
          <w:lang w:val="en-US" w:eastAsia="zh-CN" w:bidi="ar-SA"/>
        </w:rPr>
      </w:pPr>
      <w:r>
        <w:rPr>
          <w:rFonts w:hint="eastAsia" w:ascii="CESI仿宋-GB2312" w:hAnsi="CESI仿宋-GB2312" w:eastAsia="CESI仿宋-GB2312" w:cs="CESI仿宋-GB2312"/>
          <w:snapToGrid w:val="0"/>
          <w:color w:val="000000"/>
          <w:kern w:val="0"/>
          <w:sz w:val="32"/>
          <w:szCs w:val="32"/>
          <w:lang w:val="en-US" w:eastAsia="en-US" w:bidi="ar-SA"/>
        </w:rPr>
        <w:t>十二、坚持守正创新。坚持党的基本理论、基本路线、基本方略，坚持求真务实、开拓创新，突出问题导向、目标导向、效果导向，</w:t>
      </w:r>
      <w:r>
        <w:rPr>
          <w:rFonts w:hint="eastAsia" w:ascii="CESI仿宋-GB2312" w:hAnsi="CESI仿宋-GB2312" w:eastAsia="CESI仿宋-GB2312" w:cs="CESI仿宋-GB2312"/>
          <w:snapToGrid w:val="0"/>
          <w:color w:val="000000"/>
          <w:kern w:val="0"/>
          <w:sz w:val="32"/>
          <w:szCs w:val="32"/>
          <w:lang w:val="en-US" w:eastAsia="zh-CN" w:bidi="ar-SA"/>
        </w:rPr>
        <w:t>严格落实整治形式主义为基层减负部署要求，</w:t>
      </w:r>
      <w:r>
        <w:rPr>
          <w:rFonts w:hint="eastAsia" w:ascii="CESI仿宋-GB2312" w:hAnsi="CESI仿宋-GB2312" w:eastAsia="CESI仿宋-GB2312" w:cs="CESI仿宋-GB2312"/>
          <w:snapToGrid w:val="0"/>
          <w:color w:val="000000"/>
          <w:kern w:val="0"/>
          <w:sz w:val="32"/>
          <w:szCs w:val="32"/>
          <w:lang w:val="en-US" w:eastAsia="en-US" w:bidi="ar-SA"/>
        </w:rPr>
        <w:t>想问题、作决策、办事情一切从实际出发，着力解决改革发展稳定中的突出问题和人民群众急难愁盼。</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锚定“高效办成一件事”，</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紧盯政务运转和服务保障关键环节，破除思维定势，强化数智赋能，持续优化工作流程，大力提升行政效能。聚焦企业群众所需所盼，推动政务服务迭代升级，加强政企常态化沟通交流，高质高效解决企业群众诉求，</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全</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力打造市场</w:t>
      </w:r>
      <w:r>
        <w:rPr>
          <w:rFonts w:hint="eastAsia" w:ascii="CESI仿宋-GB2312" w:hAnsi="CESI仿宋-GB2312" w:eastAsia="CESI仿宋-GB2312" w:cs="CESI仿宋-GB2312"/>
          <w:snapToGrid w:val="0"/>
          <w:color w:val="000000"/>
          <w:kern w:val="0"/>
          <w:sz w:val="32"/>
          <w:szCs w:val="32"/>
          <w:lang w:val="en-US" w:eastAsia="en-US" w:bidi="ar-SA"/>
        </w:rPr>
        <w:t>化、法治化、国际化一流营商环境。</w:t>
      </w:r>
    </w:p>
    <w:p w14:paraId="1694778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firstLine="640" w:firstLineChars="200"/>
        <w:jc w:val="both"/>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十三、坚持清正廉洁。全面加强政府自身建设，</w:t>
      </w:r>
      <w:r>
        <w:rPr>
          <w:rFonts w:hint="eastAsia" w:ascii="CESI仿宋-GB2312" w:hAnsi="CESI仿宋-GB2312" w:eastAsia="CESI仿宋-GB2312" w:cs="CESI仿宋-GB2312"/>
          <w:snapToGrid w:val="0"/>
          <w:color w:val="000000"/>
          <w:kern w:val="0"/>
          <w:sz w:val="32"/>
          <w:szCs w:val="32"/>
          <w:lang w:val="en-US" w:eastAsia="zh-CN" w:bidi="ar-SA"/>
        </w:rPr>
        <w:t>认真贯彻</w:t>
      </w:r>
      <w:r>
        <w:rPr>
          <w:rFonts w:hint="eastAsia" w:ascii="CESI仿宋-GB2312" w:hAnsi="CESI仿宋-GB2312" w:eastAsia="CESI仿宋-GB2312" w:cs="CESI仿宋-GB2312"/>
          <w:snapToGrid w:val="0"/>
          <w:color w:val="000000"/>
          <w:kern w:val="0"/>
          <w:sz w:val="32"/>
          <w:szCs w:val="32"/>
          <w:lang w:val="en-US" w:eastAsia="en-US" w:bidi="ar-SA"/>
        </w:rPr>
        <w:t>全面从严治党要求和廉洁从政规定</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严格执行</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落实中央八项规定及其实施细则精神</w:t>
      </w:r>
      <w:r>
        <w:rPr>
          <w:rFonts w:hint="eastAsia" w:ascii="CESI仿宋-GB2312" w:hAnsi="CESI仿宋-GB2312" w:eastAsia="CESI仿宋-GB2312" w:cs="CESI仿宋-GB2312"/>
          <w:i w:val="0"/>
          <w:caps w:val="0"/>
          <w:color w:val="000000" w:themeColor="text1"/>
          <w:spacing w:val="0"/>
          <w:sz w:val="32"/>
          <w:szCs w:val="32"/>
          <w:u w:val="none"/>
          <w:shd w:val="clear" w:fill="FFFFFF"/>
          <w:lang w:eastAsia="zh-CN"/>
          <w14:textFill>
            <w14:solidFill>
              <w14:schemeClr w14:val="tx1"/>
            </w14:solidFill>
          </w14:textFill>
        </w:rPr>
        <w:t>和省、市、区实施办法、意见，</w:t>
      </w:r>
      <w:r>
        <w:rPr>
          <w:rFonts w:hint="eastAsia" w:ascii="CESI仿宋-GB2312" w:hAnsi="CESI仿宋-GB2312" w:eastAsia="CESI仿宋-GB2312" w:cs="CESI仿宋-GB2312"/>
          <w:snapToGrid w:val="0"/>
          <w:color w:val="000000"/>
          <w:kern w:val="0"/>
          <w:sz w:val="32"/>
          <w:szCs w:val="32"/>
          <w:lang w:val="en-US" w:eastAsia="en-US" w:bidi="ar-SA"/>
        </w:rPr>
        <w:t>勇于自我革命，持之以恒正风肃纪反腐，全面加强廉洁政府和廉洁文化建设，形成清清爽爽的同志关系、规规矩矩的上下级关系、亲清统一的新型政商关系。</w:t>
      </w:r>
    </w:p>
    <w:p w14:paraId="07B21F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color w:val="auto"/>
          <w:sz w:val="32"/>
          <w:szCs w:val="32"/>
          <w:u w:val="none"/>
          <w:lang w:eastAsia="zh-CN"/>
        </w:rPr>
      </w:pPr>
    </w:p>
    <w:p w14:paraId="71D358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第四章  监督制度</w:t>
      </w:r>
    </w:p>
    <w:p w14:paraId="6824A650">
      <w:pPr>
        <w:pStyle w:val="6"/>
        <w:keepNext w:val="0"/>
        <w:keepLines w:val="0"/>
        <w:pageBreakBefore w:val="0"/>
        <w:widowControl w:val="0"/>
        <w:wordWrap/>
        <w:overflowPunct/>
        <w:topLinePunct w:val="0"/>
        <w:bidi w:val="0"/>
        <w:jc w:val="both"/>
        <w:rPr>
          <w:rFonts w:hint="eastAsia"/>
        </w:rPr>
      </w:pPr>
    </w:p>
    <w:p w14:paraId="11F3032A">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十四、区政府及各部门要自觉接受区人大及其常委会的监督，认真负责地报告工作，接受询问和质询；自觉接受区政协的民主监督，虚心听取意见和建议。</w:t>
      </w:r>
    </w:p>
    <w:p w14:paraId="0AD0F6A9">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区政府各部门要认真办理省、市、区人大代表建议和政协委员提案，加强与代表委员沟通，严格落实办理责任和时限，主动公开办理结果。</w:t>
      </w:r>
    </w:p>
    <w:p w14:paraId="513A1A1C">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十五、</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政府及各部门公职人员要自觉接受国家监察机关的监督。</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政府各部门要依照有关法律的规定接受人民法院、人民检察院的司法监督，自觉接受审计等部门的监督。对监督中发现的问题，要认真整改并向</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政府报告。</w:t>
      </w:r>
    </w:p>
    <w:p w14:paraId="33F3CBF9">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snapToGrid w:val="0"/>
          <w:color w:val="000000"/>
          <w:kern w:val="0"/>
          <w:sz w:val="32"/>
          <w:szCs w:val="32"/>
          <w:lang w:val="en-US" w:eastAsia="en-US" w:bidi="ar-SA"/>
        </w:rPr>
        <w:t>十六、</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政府及各部门要自觉接受社会各界和新闻舆论的监督。统筹政务公开与保密安全，优化主动公开机制，依法及时准确公开政府信息，规范依申请公开办理流程，有序推进公众参与，加强政策解读，</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准确把握重点要点</w:t>
      </w:r>
      <w:r>
        <w:rPr>
          <w:rFonts w:hint="eastAsia" w:ascii="CESI仿宋-GB2312" w:hAnsi="CESI仿宋-GB2312" w:eastAsia="CESI仿宋-GB2312" w:cs="CESI仿宋-GB2312"/>
          <w:color w:val="000000" w:themeColor="text1"/>
          <w:sz w:val="32"/>
          <w:szCs w:val="32"/>
          <w14:textFill>
            <w14:solidFill>
              <w14:schemeClr w14:val="tx1"/>
            </w14:solidFill>
          </w14:textFill>
        </w:rPr>
        <w:t>，积极回应社会关切，推动政策</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执行落地</w:t>
      </w:r>
      <w:r>
        <w:rPr>
          <w:rFonts w:hint="eastAsia" w:ascii="CESI仿宋-GB2312" w:hAnsi="CESI仿宋-GB2312" w:eastAsia="CESI仿宋-GB2312" w:cs="CESI仿宋-GB2312"/>
          <w:color w:val="000000" w:themeColor="text1"/>
          <w:sz w:val="32"/>
          <w:szCs w:val="32"/>
          <w14:textFill>
            <w14:solidFill>
              <w14:schemeClr w14:val="tx1"/>
            </w14:solidFill>
          </w14:textFill>
        </w:rPr>
        <w:t>。</w:t>
      </w:r>
    </w:p>
    <w:p w14:paraId="5106A145">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十七、</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政府及各部门要认真倾听人民群众建议、意见和诉求，自觉接受人民群众监督，</w:t>
      </w:r>
      <w:r>
        <w:rPr>
          <w:rFonts w:hint="eastAsia" w:ascii="CESI仿宋-GB2312" w:hAnsi="CESI仿宋-GB2312" w:eastAsia="CESI仿宋-GB2312" w:cs="CESI仿宋-GB2312"/>
          <w:color w:val="000000" w:themeColor="text1"/>
          <w:sz w:val="32"/>
          <w:szCs w:val="32"/>
          <w14:textFill>
            <w14:solidFill>
              <w14:schemeClr w14:val="tx1"/>
            </w14:solidFill>
          </w14:textFill>
        </w:rPr>
        <w:t>畅通社情民意收集渠道，充分发挥“12345政务服务便民热线”“互联网+督查”等平台作用。</w:t>
      </w:r>
      <w:r>
        <w:rPr>
          <w:rFonts w:hint="eastAsia" w:ascii="CESI仿宋-GB2312" w:hAnsi="CESI仿宋-GB2312" w:eastAsia="CESI仿宋-GB2312" w:cs="CESI仿宋-GB2312"/>
          <w:sz w:val="32"/>
          <w:szCs w:val="32"/>
        </w:rPr>
        <w:t>领导同志要亲自阅批群众来信，定期接待群众来访，督促解决涉及群众切身利益的重大问题。</w:t>
      </w:r>
    </w:p>
    <w:p w14:paraId="5617F261">
      <w:pPr>
        <w:pStyle w:val="6"/>
        <w:keepNext w:val="0"/>
        <w:keepLines w:val="0"/>
        <w:pageBreakBefore w:val="0"/>
        <w:widowControl w:val="0"/>
        <w:wordWrap/>
        <w:overflowPunct/>
        <w:topLinePunct w:val="0"/>
        <w:bidi w:val="0"/>
        <w:ind w:left="0" w:leftChars="0" w:firstLine="0" w:firstLineChars="0"/>
        <w:jc w:val="both"/>
        <w:rPr>
          <w:rFonts w:hint="eastAsia"/>
          <w:lang w:eastAsia="zh-CN"/>
        </w:rPr>
      </w:pPr>
    </w:p>
    <w:p w14:paraId="799A839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会议制度</w:t>
      </w:r>
    </w:p>
    <w:p w14:paraId="30D27632">
      <w:pPr>
        <w:pStyle w:val="6"/>
        <w:keepNext w:val="0"/>
        <w:keepLines w:val="0"/>
        <w:pageBreakBefore w:val="0"/>
        <w:widowControl w:val="0"/>
        <w:numPr>
          <w:ilvl w:val="0"/>
          <w:numId w:val="0"/>
        </w:numPr>
        <w:wordWrap/>
        <w:overflowPunct/>
        <w:topLinePunct w:val="0"/>
        <w:bidi w:val="0"/>
        <w:jc w:val="both"/>
        <w:rPr>
          <w:rFonts w:hint="eastAsia"/>
          <w:lang w:eastAsia="zh-CN"/>
        </w:rPr>
      </w:pPr>
    </w:p>
    <w:p w14:paraId="5FBE6870">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十八、</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政府实行</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政府全体会议和</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政府常务会议制度。 重要问题和工作事项，须经</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政府全体会议或</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政府常务会议讨论决定。</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政府根据需要召开</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长办公会议和</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政府专题会议。</w:t>
      </w:r>
    </w:p>
    <w:p w14:paraId="163BBF7F">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十九、</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政府全体会议由</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长、副</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长和工作部门的</w:t>
      </w:r>
      <w:r>
        <w:rPr>
          <w:rFonts w:hint="eastAsia" w:ascii="CESI仿宋-GB2312" w:hAnsi="CESI仿宋-GB2312" w:eastAsia="CESI仿宋-GB2312" w:cs="CESI仿宋-GB2312"/>
          <w:color w:val="000000" w:themeColor="text1"/>
          <w:sz w:val="32"/>
          <w:szCs w:val="32"/>
          <w14:textFill>
            <w14:solidFill>
              <w14:schemeClr w14:val="tx1"/>
            </w14:solidFill>
          </w14:textFill>
        </w:rPr>
        <w:t>主要负责人</w:t>
      </w:r>
      <w:r>
        <w:rPr>
          <w:rFonts w:hint="eastAsia" w:ascii="CESI仿宋-GB2312" w:hAnsi="CESI仿宋-GB2312" w:eastAsia="CESI仿宋-GB2312" w:cs="CESI仿宋-GB2312"/>
          <w:sz w:val="32"/>
          <w:szCs w:val="32"/>
        </w:rPr>
        <w:t>组成，由</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长召集和主持。</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政府全体会议的主要任务是：</w:t>
      </w:r>
    </w:p>
    <w:p w14:paraId="44A83FB3">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rPr>
        <w:t>（一）深入学习贯彻习近平总书记重要讲话、重要指示批示精神和党中央、国务院决策部署，</w:t>
      </w:r>
      <w:r>
        <w:rPr>
          <w:rFonts w:hint="eastAsia" w:ascii="CESI仿宋-GB2312" w:hAnsi="CESI仿宋-GB2312" w:eastAsia="CESI仿宋-GB2312" w:cs="CESI仿宋-GB2312"/>
          <w:color w:val="000000" w:themeColor="text1"/>
          <w:sz w:val="32"/>
          <w:szCs w:val="32"/>
          <w14:textFill>
            <w14:solidFill>
              <w14:schemeClr w14:val="tx1"/>
            </w14:solidFill>
          </w14:textFill>
        </w:rPr>
        <w:t>省委省政府、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市</w:t>
      </w:r>
      <w:r>
        <w:rPr>
          <w:rFonts w:hint="eastAsia" w:ascii="CESI仿宋-GB2312" w:hAnsi="CESI仿宋-GB2312" w:eastAsia="CESI仿宋-GB2312" w:cs="CESI仿宋-GB2312"/>
          <w:color w:val="000000" w:themeColor="text1"/>
          <w:sz w:val="32"/>
          <w:szCs w:val="32"/>
          <w14:textFill>
            <w14:solidFill>
              <w14:schemeClr w14:val="tx1"/>
            </w14:solidFill>
          </w14:textFill>
        </w:rPr>
        <w:t>委</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市</w:t>
      </w:r>
      <w:r>
        <w:rPr>
          <w:rFonts w:hint="eastAsia" w:ascii="CESI仿宋-GB2312" w:hAnsi="CESI仿宋-GB2312" w:eastAsia="CESI仿宋-GB2312" w:cs="CESI仿宋-GB2312"/>
          <w:color w:val="000000" w:themeColor="text1"/>
          <w:sz w:val="32"/>
          <w:szCs w:val="32"/>
          <w14:textFill>
            <w14:solidFill>
              <w14:schemeClr w14:val="tx1"/>
            </w14:solidFill>
          </w14:textFill>
        </w:rPr>
        <w:t>政府工作要求；</w:t>
      </w:r>
    </w:p>
    <w:p w14:paraId="1D5F2B79">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（二）贯彻落实</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市</w:t>
      </w:r>
      <w:r>
        <w:rPr>
          <w:rFonts w:hint="eastAsia" w:ascii="CESI仿宋-GB2312" w:hAnsi="CESI仿宋-GB2312" w:eastAsia="CESI仿宋-GB2312" w:cs="CESI仿宋-GB2312"/>
          <w:color w:val="000000" w:themeColor="text1"/>
          <w:sz w:val="32"/>
          <w:szCs w:val="32"/>
          <w14:textFill>
            <w14:solidFill>
              <w14:schemeClr w14:val="tx1"/>
            </w14:solidFill>
          </w14:textFill>
        </w:rPr>
        <w:t>政府全体会议部署要求；</w:t>
      </w:r>
    </w:p>
    <w:p w14:paraId="07D095BC">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（三）贯彻落实</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委工作安排；研究讨论</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政府工作报告、国民经济和社会发展规划等重要工作。</w:t>
      </w:r>
    </w:p>
    <w:p w14:paraId="2EDD95F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themeColor="text1"/>
          <w:sz w:val="32"/>
          <w:szCs w:val="32"/>
          <w14:textFill>
            <w14:solidFill>
              <w14:schemeClr w14:val="tx1"/>
            </w14:solidFill>
          </w14:textFill>
        </w:rPr>
        <w:t>会议原则上每半年至少召开 1 次，根据需要可安排其他有关部门、单位和</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镇政府（街道办事处）</w:t>
      </w:r>
      <w:r>
        <w:rPr>
          <w:rFonts w:hint="eastAsia" w:ascii="CESI仿宋-GB2312" w:hAnsi="CESI仿宋-GB2312" w:eastAsia="CESI仿宋-GB2312" w:cs="CESI仿宋-GB2312"/>
          <w:color w:val="000000" w:themeColor="text1"/>
          <w:sz w:val="32"/>
          <w:szCs w:val="32"/>
          <w14:textFill>
            <w14:solidFill>
              <w14:schemeClr w14:val="tx1"/>
            </w14:solidFill>
          </w14:textFill>
        </w:rPr>
        <w:t>，</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各开发区管委会</w:t>
      </w:r>
      <w:r>
        <w:rPr>
          <w:rFonts w:hint="eastAsia" w:ascii="CESI仿宋-GB2312" w:hAnsi="CESI仿宋-GB2312" w:eastAsia="CESI仿宋-GB2312" w:cs="CESI仿宋-GB2312"/>
          <w:sz w:val="32"/>
          <w:szCs w:val="32"/>
        </w:rPr>
        <w:t>主要负责人等列席会议。</w:t>
      </w:r>
    </w:p>
    <w:p w14:paraId="29C2324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二十、</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政府常务会议由</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长、副</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区政府办公室主任</w:t>
      </w:r>
      <w:r>
        <w:rPr>
          <w:rFonts w:hint="eastAsia" w:ascii="CESI仿宋-GB2312" w:hAnsi="CESI仿宋-GB2312" w:eastAsia="CESI仿宋-GB2312" w:cs="CESI仿宋-GB2312"/>
          <w:color w:val="000000" w:themeColor="text1"/>
          <w:sz w:val="32"/>
          <w:szCs w:val="32"/>
          <w14:textFill>
            <w14:solidFill>
              <w14:schemeClr w14:val="tx1"/>
            </w14:solidFill>
          </w14:textFill>
        </w:rPr>
        <w:t>组成，由</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长召集和主持，</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长</w:t>
      </w:r>
      <w:r>
        <w:rPr>
          <w:rFonts w:hint="eastAsia" w:ascii="CESI仿宋-GB2312" w:hAnsi="CESI仿宋-GB2312" w:eastAsia="CESI仿宋-GB2312" w:cs="CESI仿宋-GB2312"/>
          <w:sz w:val="32"/>
          <w:szCs w:val="32"/>
        </w:rPr>
        <w:t>不能出席会议时，可委托负责常务工作的副</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长召集并主持。出席人数须达到应到人数的半数以上，未出席会议的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政府领导同志，由</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政府办公室负责按程序征求对会议议题的意见建议。</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政府常务会议的主要任务是：</w:t>
      </w:r>
    </w:p>
    <w:p w14:paraId="7F1138D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一</w:t>
      </w:r>
      <w:r>
        <w:rPr>
          <w:rFonts w:hint="eastAsia" w:ascii="CESI仿宋-GB2312" w:hAnsi="CESI仿宋-GB2312" w:eastAsia="CESI仿宋-GB2312" w:cs="CESI仿宋-GB2312"/>
          <w:sz w:val="32"/>
          <w:szCs w:val="32"/>
        </w:rPr>
        <w:t>）深入学习贯彻习近平总书记重要讲话、重要指示批示精神，传达学习党中央、国务院，省委</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省政府</w:t>
      </w:r>
      <w:r>
        <w:rPr>
          <w:rFonts w:hint="eastAsia" w:ascii="CESI仿宋-GB2312" w:hAnsi="CESI仿宋-GB2312" w:eastAsia="CESI仿宋-GB2312" w:cs="CESI仿宋-GB2312"/>
          <w:sz w:val="32"/>
          <w:szCs w:val="32"/>
          <w:lang w:eastAsia="zh-CN"/>
        </w:rPr>
        <w:t>，市委、市政府</w:t>
      </w:r>
      <w:r>
        <w:rPr>
          <w:rFonts w:hint="eastAsia" w:ascii="CESI仿宋-GB2312" w:hAnsi="CESI仿宋-GB2312" w:eastAsia="CESI仿宋-GB2312" w:cs="CESI仿宋-GB2312"/>
          <w:sz w:val="32"/>
          <w:szCs w:val="32"/>
        </w:rPr>
        <w:t>和</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委的决议、决定和会议精神，贯彻</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委工作安排，研究提出落实意见；</w:t>
      </w:r>
    </w:p>
    <w:p w14:paraId="6A80F38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（二）研究拟</w:t>
      </w:r>
      <w:r>
        <w:rPr>
          <w:rFonts w:hint="eastAsia" w:ascii="CESI仿宋-GB2312" w:hAnsi="CESI仿宋-GB2312" w:eastAsia="CESI仿宋-GB2312" w:cs="CESI仿宋-GB2312"/>
          <w:sz w:val="32"/>
          <w:szCs w:val="32"/>
          <w:lang w:val="en-US" w:eastAsia="zh-CN"/>
        </w:rPr>
        <w:t>向</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委、</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政府请示报告的重要事项；</w:t>
      </w:r>
    </w:p>
    <w:p w14:paraId="61B17A4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（三）研究需提请</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委审议、决定的重要事项；</w:t>
      </w:r>
    </w:p>
    <w:p w14:paraId="1F69645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（四）研究以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政府或</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政府办公室名义印发的规范性文件、重要政策性文件；</w:t>
      </w:r>
    </w:p>
    <w:p w14:paraId="5EBA8F4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五</w:t>
      </w:r>
      <w:r>
        <w:rPr>
          <w:rFonts w:hint="eastAsia" w:ascii="CESI仿宋-GB2312" w:hAnsi="CESI仿宋-GB2312" w:eastAsia="CESI仿宋-GB2312" w:cs="CESI仿宋-GB2312"/>
          <w:sz w:val="32"/>
          <w:szCs w:val="32"/>
        </w:rPr>
        <w:t>）其他需提交</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政府常务会议研究、决定、通报的重要事项等。</w:t>
      </w:r>
    </w:p>
    <w:p w14:paraId="79AADBC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政府常务会议一般每</w:t>
      </w:r>
      <w:r>
        <w:rPr>
          <w:rFonts w:hint="eastAsia" w:ascii="CESI仿宋-GB2312" w:hAnsi="CESI仿宋-GB2312" w:eastAsia="CESI仿宋-GB2312" w:cs="CESI仿宋-GB2312"/>
          <w:sz w:val="32"/>
          <w:szCs w:val="32"/>
          <w:lang w:val="en-US" w:eastAsia="zh-CN"/>
        </w:rPr>
        <w:t>月</w:t>
      </w:r>
      <w:r>
        <w:rPr>
          <w:rFonts w:hint="eastAsia" w:ascii="CESI仿宋-GB2312" w:hAnsi="CESI仿宋-GB2312" w:eastAsia="CESI仿宋-GB2312" w:cs="CESI仿宋-GB2312"/>
          <w:sz w:val="32"/>
          <w:szCs w:val="32"/>
        </w:rPr>
        <w:t>召开</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遇有重要情况和急需研究的重要事项可随时召开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办公室副主任、区司法局</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主要负责人</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政府法律</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顾问</w:t>
      </w:r>
      <w:r>
        <w:rPr>
          <w:rFonts w:hint="eastAsia" w:ascii="CESI仿宋-GB2312" w:hAnsi="CESI仿宋-GB2312" w:eastAsia="CESI仿宋-GB2312" w:cs="CESI仿宋-GB2312"/>
          <w:color w:val="000000" w:themeColor="text1"/>
          <w:sz w:val="32"/>
          <w:szCs w:val="32"/>
          <w14:textFill>
            <w14:solidFill>
              <w14:schemeClr w14:val="tx1"/>
            </w14:solidFill>
          </w14:textFill>
        </w:rPr>
        <w:t>列席</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政府常务会议</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根据需要可安排有关部门</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单位</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和镇政府（街道办事处）</w:t>
      </w:r>
      <w:r>
        <w:rPr>
          <w:rFonts w:hint="eastAsia" w:ascii="CESI仿宋-GB2312" w:hAnsi="CESI仿宋-GB2312" w:eastAsia="CESI仿宋-GB2312" w:cs="CESI仿宋-GB2312"/>
          <w:color w:val="000000" w:themeColor="text1"/>
          <w:sz w:val="32"/>
          <w:szCs w:val="32"/>
          <w14:textFill>
            <w14:solidFill>
              <w14:schemeClr w14:val="tx1"/>
            </w14:solidFill>
          </w14:textFill>
        </w:rPr>
        <w:t>主要负责人列席会议。</w:t>
      </w:r>
    </w:p>
    <w:p w14:paraId="3A4D74C0">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提请区政府全体会议和区政府常务会议研究的议题，由区长、副区长、</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区政府办公室主任</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提出，区政府办公室按程序报区长确定</w:t>
      </w:r>
      <w:r>
        <w:rPr>
          <w:rFonts w:hint="eastAsia" w:ascii="CESI仿宋-GB2312" w:hAnsi="CESI仿宋-GB2312" w:eastAsia="CESI仿宋-GB2312" w:cs="CESI仿宋-GB2312"/>
          <w:color w:val="000000" w:themeColor="text1"/>
          <w:sz w:val="32"/>
          <w:szCs w:val="32"/>
          <w14:textFill>
            <w14:solidFill>
              <w14:schemeClr w14:val="tx1"/>
            </w14:solidFill>
          </w14:textFill>
        </w:rPr>
        <w:t>。</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政府全体会议和</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政府常务会议文件由议题汇报部门牵头会同有关部门起草，按要求履行有关程序后，于会前至少</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5</w:t>
      </w:r>
      <w:r>
        <w:rPr>
          <w:rFonts w:hint="eastAsia" w:ascii="CESI仿宋-GB2312" w:hAnsi="CESI仿宋-GB2312" w:eastAsia="CESI仿宋-GB2312" w:cs="CESI仿宋-GB2312"/>
          <w:color w:val="000000" w:themeColor="text1"/>
          <w:sz w:val="32"/>
          <w:szCs w:val="32"/>
          <w14:textFill>
            <w14:solidFill>
              <w14:schemeClr w14:val="tx1"/>
            </w14:solidFill>
          </w14:textFill>
        </w:rPr>
        <w:t>个工作日送</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政府办公室审核并于会前向</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委报备。除特殊情况外，会前一般不临时受理议题。会议文件应全面准确反映真实情况和各方面意见，突出针对性、指导性和可操作性，逻辑严密，条文规范，用语准确，行文简洁。以部门名义联合发文、一般性工作汇报、非重大事项等议题，原则上不安排</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政府常务会议审议。</w:t>
      </w:r>
    </w:p>
    <w:p w14:paraId="7EA1F283">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二十一、</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长办公会议由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长召集和主持，研究谋划</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政府重点工作总体思路和规划，研究</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政府工作中的重要事项。议题由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长确定，</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政府领导同志及与议题相关的部门、单位</w:t>
      </w:r>
      <w:r>
        <w:rPr>
          <w:rFonts w:hint="eastAsia" w:ascii="CESI仿宋-GB2312" w:hAnsi="CESI仿宋-GB2312" w:eastAsia="CESI仿宋-GB2312" w:cs="CESI仿宋-GB2312"/>
          <w:sz w:val="32"/>
          <w:szCs w:val="32"/>
        </w:rPr>
        <w:t>和</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镇政府（街道办事处）</w:t>
      </w:r>
      <w:r>
        <w:rPr>
          <w:rFonts w:hint="eastAsia" w:ascii="CESI仿宋-GB2312" w:hAnsi="CESI仿宋-GB2312" w:eastAsia="CESI仿宋-GB2312" w:cs="CESI仿宋-GB2312"/>
          <w:color w:val="000000" w:themeColor="text1"/>
          <w:sz w:val="32"/>
          <w:szCs w:val="32"/>
          <w14:textFill>
            <w14:solidFill>
              <w14:schemeClr w14:val="tx1"/>
            </w14:solidFill>
          </w14:textFill>
        </w:rPr>
        <w:t>，</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各开发区管委会</w:t>
      </w:r>
      <w:r>
        <w:rPr>
          <w:rFonts w:hint="eastAsia" w:ascii="CESI仿宋-GB2312" w:hAnsi="CESI仿宋-GB2312" w:eastAsia="CESI仿宋-GB2312" w:cs="CESI仿宋-GB2312"/>
          <w:snapToGrid w:val="0"/>
          <w:color w:val="000000"/>
          <w:kern w:val="0"/>
          <w:sz w:val="32"/>
          <w:szCs w:val="32"/>
          <w:lang w:val="en-US" w:eastAsia="en-US" w:bidi="ar-SA"/>
        </w:rPr>
        <w:t>主要负责人参加。</w:t>
      </w:r>
    </w:p>
    <w:p w14:paraId="7E2F64B8">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二十二、副</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长和</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区政府办公室主任</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受</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长委托或按照分工召开</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政府专题会议，研究、协调</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政府工作中的专门事项。议题由主持召开的</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政府领导同志确定，与议题相关的部门和单位负责人参加 。</w:t>
      </w:r>
    </w:p>
    <w:p w14:paraId="6853FD7E">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二十三、</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政府领导同志和有关部门负责同志应按要求参加</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政府有关会议，原则上不应请假。如有特殊情况不能参加的 ，要履行请假手续，由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政府办公室汇总后报会议主持人审批 。</w:t>
      </w:r>
    </w:p>
    <w:p w14:paraId="128449B1">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二十四、</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政府全体会议、</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政府常务会议、</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长办公会议、</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政府专题会议的会务组织工作，由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政府办公室负责。</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政府常务会议、</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长办公会议的纪要，由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长签发。</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政府专题会议纪要由主持召开会议的</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政府领导同志签发，委托</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政府办公室负责同志召开的专题会议纪要，由所委托的</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政府领导同志签发（其中涉及财政资金使用、国有资产监管、公共资源转让、特许经营、土地使用等事项的纪要须经</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长审定）。</w:t>
      </w:r>
    </w:p>
    <w:p w14:paraId="2248422E">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二十五、</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政府全体会议、</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政府常务会议、</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长办公会议、</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政府专题会议决定事项，由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政府办公室负责督办，并定期将会议决定事项的落实情况向</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政府领导同志报告。</w:t>
      </w:r>
    </w:p>
    <w:p w14:paraId="7477E4DA">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pPr>
      <w:r>
        <w:rPr>
          <w:rFonts w:hint="eastAsia" w:ascii="CESI仿宋-GB2312" w:hAnsi="CESI仿宋-GB2312" w:eastAsia="CESI仿宋-GB2312" w:cs="CESI仿宋-GB2312"/>
          <w:snapToGrid w:val="0"/>
          <w:color w:val="000000"/>
          <w:kern w:val="0"/>
          <w:sz w:val="32"/>
          <w:szCs w:val="32"/>
          <w:lang w:val="en-US" w:eastAsia="en-US" w:bidi="ar-SA"/>
        </w:rPr>
        <w:t>二十六、</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政府及各部门、单位以</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政府名义召开的全</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性工作会议，按照有关规定严格审批。要本着务实高效的原则，减少数量，控制规模和时间，合理确定参会人员范围。</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政府领导同志一般不出席部门的工作会议，确需出席的要严格按程序报</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政府主要领导同志批准。全</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性会议应尽可能采用电视电话、网络视频会议形式召开，一般不越级召开，已制发文件的工作事项原则上不再专门开会部署，切实减轻基层负担。各类会议都要充分准备，严肃会风会纪，提高效率和质量。</w:t>
      </w:r>
    </w:p>
    <w:p w14:paraId="58942C6E">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二十七、</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政府建立学习制度，学习活动由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长主持，</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政府领导同志参加，根据需要可安排有关部门、单位主要负责人参加。学习主题由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长确定，重点围绕贯彻落实习近平总书记重要讲话、重要指示批示要求和党中央、国务院决策部署</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color w:val="000000" w:themeColor="text1"/>
          <w:sz w:val="32"/>
          <w:szCs w:val="32"/>
          <w14:textFill>
            <w14:solidFill>
              <w14:schemeClr w14:val="tx1"/>
            </w14:solidFill>
          </w14:textFill>
        </w:rPr>
        <w:t>省委、省政府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，市委、市政府</w:t>
      </w:r>
      <w:r>
        <w:rPr>
          <w:rFonts w:hint="eastAsia" w:ascii="CESI仿宋-GB2312" w:hAnsi="CESI仿宋-GB2312" w:eastAsia="CESI仿宋-GB2312" w:cs="CESI仿宋-GB2312"/>
          <w:color w:val="000000" w:themeColor="text1"/>
          <w:sz w:val="32"/>
          <w:szCs w:val="32"/>
          <w14:textFill>
            <w14:solidFill>
              <w14:schemeClr w14:val="tx1"/>
            </w14:solidFill>
          </w14:textFill>
        </w:rPr>
        <w:t>工作要求</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和区</w:t>
      </w:r>
      <w:r>
        <w:rPr>
          <w:rFonts w:hint="eastAsia" w:ascii="CESI仿宋-GB2312" w:hAnsi="CESI仿宋-GB2312" w:eastAsia="CESI仿宋-GB2312" w:cs="CESI仿宋-GB2312"/>
          <w:color w:val="000000" w:themeColor="text1"/>
          <w:sz w:val="32"/>
          <w:szCs w:val="32"/>
          <w14:textFill>
            <w14:solidFill>
              <w14:schemeClr w14:val="tx1"/>
            </w14:solidFill>
          </w14:textFill>
        </w:rPr>
        <w:t>委工作安排，</w:t>
      </w:r>
      <w:r>
        <w:rPr>
          <w:rFonts w:hint="eastAsia" w:ascii="CESI仿宋-GB2312" w:hAnsi="CESI仿宋-GB2312" w:eastAsia="CESI仿宋-GB2312" w:cs="CESI仿宋-GB2312"/>
          <w:snapToGrid w:val="0"/>
          <w:color w:val="000000"/>
          <w:kern w:val="0"/>
          <w:sz w:val="32"/>
          <w:szCs w:val="32"/>
          <w:lang w:val="en-US" w:eastAsia="en-US" w:bidi="ar-SA"/>
        </w:rPr>
        <w:t>强化理论武装，增强知识本领，提升履职能力。</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政府组成人员要做加强学习的表率，</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政府及各部门要建设学习型机关 。</w:t>
      </w:r>
    </w:p>
    <w:p w14:paraId="20A4CF8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eastAsia="zh-CN"/>
        </w:rPr>
      </w:pPr>
    </w:p>
    <w:p w14:paraId="263618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第六章  公文处理</w:t>
      </w:r>
    </w:p>
    <w:p w14:paraId="7B7C4F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eastAsia="zh-CN"/>
        </w:rPr>
      </w:pPr>
    </w:p>
    <w:p w14:paraId="54CEE794">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二十八、报送</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的公文，应当符合《党政机关公文处理工作条例》《山东省〈党政机关公文处理工作条例〉实施办法（试行）》，严格遵循行文规则和程序。行文应当确有必要，讲求实效，注重针对性和可操作性；未经批准不得越级行文 、多头报文；请示应当一文一事，不得在报告等非请示性公文中夹带请示事项；除工作进展过程中确有事项需报</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政府领导同志决策外，工作进展过程一般不必报送，工作任务完成后由牵头部门梳理汇总后统一报送总结报告。除</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政府领导同志交办事项、确需直接报送的绝密级事项、重大突发事件以及部分涉外事项外，报送</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政府的公文一律发</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政府办公室按规定程序统一办理，不得直接报</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政府领导同志个人。拟提请</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委有关会议审议或提请以</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委、</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政府（含</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委办公室、</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政府办公室）名义联合发文的文件稿，内容主要涉及政府职责且牵头起草部门为</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政府部门的，应依照</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委、</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政府有关规定，先报</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政府履行相关审议或审核程序。</w:t>
      </w:r>
    </w:p>
    <w:p w14:paraId="00B15E9F">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7030A0"/>
          <w:sz w:val="32"/>
          <w:szCs w:val="32"/>
          <w:lang w:eastAsia="zh-CN"/>
        </w:rPr>
      </w:pP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二十九、</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政府各部门起</w:t>
      </w:r>
      <w:r>
        <w:rPr>
          <w:rFonts w:hint="eastAsia" w:ascii="CESI仿宋-GB2312" w:hAnsi="CESI仿宋-GB2312" w:eastAsia="CESI仿宋-GB2312" w:cs="CESI仿宋-GB2312"/>
          <w:color w:val="000000" w:themeColor="text1"/>
          <w:sz w:val="32"/>
          <w:szCs w:val="32"/>
          <w14:textFill>
            <w14:solidFill>
              <w14:schemeClr w14:val="tx1"/>
            </w14:solidFill>
          </w14:textFill>
        </w:rPr>
        <w:t>草规范性文件，</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以及提请</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政府研究决定重要事项的公文，必须遵守依法科学民主决策程序， 深入开展调查研究，进行必要性、合法性、科学性、可行性和宏观政策取向一致性评估论证。要切实加强政策统筹，做好制</w:t>
      </w:r>
      <w:r>
        <w:rPr>
          <w:rFonts w:hint="eastAsia" w:ascii="CESI仿宋-GB2312" w:hAnsi="CESI仿宋-GB2312" w:eastAsia="CESI仿宋-GB2312" w:cs="CESI仿宋-GB2312"/>
          <w:color w:val="000000" w:themeColor="text1"/>
          <w:sz w:val="32"/>
          <w:szCs w:val="32"/>
          <w14:textFill>
            <w14:solidFill>
              <w14:schemeClr w14:val="tx1"/>
            </w14:solidFill>
          </w14:textFill>
        </w:rPr>
        <w:t>定前和实施后的政策评估，涉及</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镇政府（街道办事处）</w:t>
      </w:r>
      <w:r>
        <w:rPr>
          <w:rFonts w:hint="eastAsia" w:ascii="CESI仿宋-GB2312" w:hAnsi="CESI仿宋-GB2312" w:eastAsia="CESI仿宋-GB2312" w:cs="CESI仿宋-GB2312"/>
          <w:color w:val="000000" w:themeColor="text1"/>
          <w:sz w:val="32"/>
          <w:szCs w:val="32"/>
          <w14:textFill>
            <w14:solidFill>
              <w14:schemeClr w14:val="tx1"/>
            </w14:solidFill>
          </w14:textFill>
        </w:rPr>
        <w:t>或其他部门的，应当事先征求意见；涉及经营主体经济活动的，应当进行公平竞争审查；涉及重大公共利益和公众权益、容易引发社会稳定问题的，要采取多种形式充分听取各方面尤其是政策受众意见，进行社会稳定风险评估和</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舆情评估研判，做</w:t>
      </w:r>
      <w:r>
        <w:rPr>
          <w:rFonts w:hint="eastAsia" w:ascii="CESI仿宋-GB2312" w:hAnsi="CESI仿宋-GB2312" w:eastAsia="CESI仿宋-GB2312" w:cs="CESI仿宋-GB2312"/>
          <w:color w:val="000000" w:themeColor="text1"/>
          <w:sz w:val="32"/>
          <w:szCs w:val="32"/>
          <w14:textFill>
            <w14:solidFill>
              <w14:schemeClr w14:val="tx1"/>
            </w14:solidFill>
          </w14:textFill>
        </w:rPr>
        <w:t>好应对预案；涉及机构、编制及经费问题的，要严格控制和把关，除有关专门文件外，其他文件原则上不对机构、编制及经费问题作出规定。规范性文件征求意见稿，除依法需要保密的外，要公开征求意见</w:t>
      </w:r>
      <w:r>
        <w:rPr>
          <w:rFonts w:hint="eastAsia" w:ascii="CESI仿宋-GB2312" w:hAnsi="CESI仿宋-GB2312" w:eastAsia="CESI仿宋-GB2312" w:cs="CESI仿宋-GB2312"/>
          <w:color w:val="7030A0"/>
          <w:sz w:val="32"/>
          <w:szCs w:val="32"/>
        </w:rPr>
        <w:t>，</w:t>
      </w:r>
      <w:r>
        <w:rPr>
          <w:rFonts w:hint="eastAsia" w:ascii="CESI仿宋-GB2312" w:hAnsi="CESI仿宋-GB2312" w:eastAsia="CESI仿宋-GB2312" w:cs="CESI仿宋-GB2312"/>
          <w:color w:val="000000" w:themeColor="text1"/>
          <w:sz w:val="32"/>
          <w:szCs w:val="32"/>
          <w14:textFill>
            <w14:solidFill>
              <w14:schemeClr w14:val="tx1"/>
            </w14:solidFill>
          </w14:textFill>
        </w:rPr>
        <w:t>对争议较大的重要事项，应充分评估、慎重决策。对相关意见建议不予采纳的，要列出理由和提供相关依据，并专门作出说明。</w:t>
      </w:r>
    </w:p>
    <w:p w14:paraId="294FDE49">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三十、报送</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政府的请示性公文，须由报送单位主要负责人签发，凡涉及其他部门职权的，主办部门须主动与相关部门充分协商，由主办部门主要负责人与相关部门主要负责人会签或联合报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政府审批。部门之间有分歧的，</w:t>
      </w:r>
      <w:r>
        <w:rPr>
          <w:rFonts w:hint="eastAsia" w:ascii="CESI仿宋-GB2312" w:hAnsi="CESI仿宋-GB2312" w:eastAsia="CESI仿宋-GB2312" w:cs="CESI仿宋-GB2312"/>
          <w:color w:val="000000" w:themeColor="text1"/>
          <w:sz w:val="32"/>
          <w:szCs w:val="32"/>
          <w14:textFill>
            <w14:solidFill>
              <w14:schemeClr w14:val="tx1"/>
            </w14:solidFill>
          </w14:textFill>
        </w:rPr>
        <w:t>部门主</w:t>
      </w:r>
      <w:r>
        <w:rPr>
          <w:rFonts w:hint="eastAsia" w:ascii="CESI仿宋-GB2312" w:hAnsi="CESI仿宋-GB2312" w:eastAsia="CESI仿宋-GB2312" w:cs="CESI仿宋-GB2312"/>
          <w:sz w:val="32"/>
          <w:szCs w:val="32"/>
        </w:rPr>
        <w:t>要负责人要加强协商；协商后仍不能取得一致意见的，主办部门应列明各方意见及理据，提出办理建议。部门之间征求意见或会签文件时，除主办部门另有时限要求外，一般应在2天内反馈，紧急事项特事特办；特殊情况不能按期回复的，应主动与主办部门沟通并商定回复时限及方式 ，逾期不回复的，视为无不同意见。</w:t>
      </w:r>
    </w:p>
    <w:p w14:paraId="24DBF5CD">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rPr>
        <w:t>三十一、对报送</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政府审批的公文，</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政府办公室要认真审核把关，提出办理意见。</w:t>
      </w:r>
      <w:r>
        <w:rPr>
          <w:rFonts w:hint="eastAsia" w:ascii="CESI仿宋-GB2312" w:hAnsi="CESI仿宋-GB2312" w:eastAsia="CESI仿宋-GB2312" w:cs="CESI仿宋-GB2312"/>
          <w:color w:val="000000" w:themeColor="text1"/>
          <w:sz w:val="32"/>
          <w:szCs w:val="32"/>
          <w14:textFill>
            <w14:solidFill>
              <w14:schemeClr w14:val="tx1"/>
            </w14:solidFill>
          </w14:textFill>
        </w:rPr>
        <w:t>涉及以</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政府或</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政府办公室名义印发规范性文件、报请</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政府同意后以部门名义印发规范性文件的，须由</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政府司法行政部门进行合法性审查。对部门之间有分歧的事项，分管主办部门的</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政府领导同志应牵头加强协调。有关</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办公室副主任</w:t>
      </w:r>
      <w:r>
        <w:rPr>
          <w:rFonts w:hint="eastAsia" w:ascii="CESI仿宋-GB2312" w:hAnsi="CESI仿宋-GB2312" w:eastAsia="CESI仿宋-GB2312" w:cs="CESI仿宋-GB2312"/>
          <w:color w:val="000000" w:themeColor="text1"/>
          <w:sz w:val="32"/>
          <w:szCs w:val="32"/>
          <w14:textFill>
            <w14:solidFill>
              <w14:schemeClr w14:val="tx1"/>
            </w14:solidFill>
          </w14:textFill>
        </w:rPr>
        <w:t>、</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政府办公室有关负责同志协助</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政府分管领导同志做好协调工作。</w:t>
      </w:r>
    </w:p>
    <w:p w14:paraId="45913BA5">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公文及办理意见由</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政府办公室按照</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政府领导同志分工呈批，涉及多位</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政府领导同志的事项应根据需要呈送</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政府其他有关领导同志核批，重要事项报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长审批。</w:t>
      </w:r>
    </w:p>
    <w:p w14:paraId="6D7BC1C6">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rPr>
        <w:t>三十二、</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政府发布的命令和决定、向</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人大或</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人大常委会提出的议案，经分管副</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长、</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办公室主任</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审核，报</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长签署。</w:t>
      </w:r>
    </w:p>
    <w:p w14:paraId="1D0B96B5">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rPr>
        <w:t>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政府名义制发的其他公文，经分管副</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区政府办公室主任</w:t>
      </w:r>
      <w:r>
        <w:rPr>
          <w:rFonts w:hint="eastAsia" w:ascii="CESI仿宋-GB2312" w:hAnsi="CESI仿宋-GB2312" w:eastAsia="CESI仿宋-GB2312" w:cs="CESI仿宋-GB2312"/>
          <w:color w:val="000000" w:themeColor="text1"/>
          <w:sz w:val="32"/>
          <w:szCs w:val="32"/>
          <w14:textFill>
            <w14:solidFill>
              <w14:schemeClr w14:val="tx1"/>
            </w14:solidFill>
          </w14:textFill>
        </w:rPr>
        <w:t>审议，报</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长签发。</w:t>
      </w:r>
    </w:p>
    <w:p w14:paraId="3C458227">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政府办公室名义制发的公文，一般报分管副</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长签发；涉及全局性工作、综合性政策、重要事项的，经分管副</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 、</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区政府办公室主任</w:t>
      </w:r>
      <w:r>
        <w:rPr>
          <w:rFonts w:hint="eastAsia" w:ascii="CESI仿宋-GB2312" w:hAnsi="CESI仿宋-GB2312" w:eastAsia="CESI仿宋-GB2312" w:cs="CESI仿宋-GB2312"/>
          <w:color w:val="000000" w:themeColor="text1"/>
          <w:sz w:val="32"/>
          <w:szCs w:val="32"/>
          <w14:textFill>
            <w14:solidFill>
              <w14:schemeClr w14:val="tx1"/>
            </w14:solidFill>
          </w14:textFill>
        </w:rPr>
        <w:t>审核后，报</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长签发；属于</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政府办公室职权范围内的，由</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区政府办公室主任</w:t>
      </w:r>
      <w:r>
        <w:rPr>
          <w:rFonts w:hint="eastAsia" w:ascii="CESI仿宋-GB2312" w:hAnsi="CESI仿宋-GB2312" w:eastAsia="CESI仿宋-GB2312" w:cs="CESI仿宋-GB2312"/>
          <w:sz w:val="32"/>
          <w:szCs w:val="32"/>
        </w:rPr>
        <w:t>签发。</w:t>
      </w:r>
    </w:p>
    <w:p w14:paraId="70BCBF72">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rPr>
        <w:t>三十三、</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政府各部门制定规范性文件，要符合宪法、法 律、法规、规章，国务院</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省政府、市政府</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和区政府</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有关决定 、命令的规定，严格遵守法定权限和程序，严格开展宏观政策取向一致性评估和合法性审查。</w:t>
      </w:r>
    </w:p>
    <w:p w14:paraId="501F611B">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7030A0"/>
          <w:sz w:val="32"/>
          <w:szCs w:val="32"/>
        </w:rPr>
      </w:pP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涉及两个及以上部门职权范围的事项，要充分听取相关部 门的意见，并由有关部门联合制定规范性文件，确有必要的由</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政府制定。其中，涉及公众权益、社会关注度高、敏感性强的重要公共政策、重大民生事项等，应当事先请示</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政府。未经</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政府批准，</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政府各部门不得向</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镇政府（街道办事处）</w:t>
      </w:r>
      <w:r>
        <w:rPr>
          <w:rFonts w:hint="eastAsia" w:ascii="CESI仿宋-GB2312" w:hAnsi="CESI仿宋-GB2312" w:eastAsia="CESI仿宋-GB2312" w:cs="CESI仿宋-GB2312"/>
          <w:color w:val="000000" w:themeColor="text1"/>
          <w:sz w:val="32"/>
          <w:szCs w:val="32"/>
          <w14:textFill>
            <w14:solidFill>
              <w14:schemeClr w14:val="tx1"/>
            </w14:solidFill>
          </w14:textFill>
        </w:rPr>
        <w:t>发布指令性公文或者在公文中向</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镇政府（街道办事处）</w:t>
      </w:r>
      <w:r>
        <w:rPr>
          <w:rFonts w:hint="eastAsia" w:ascii="CESI仿宋-GB2312" w:hAnsi="CESI仿宋-GB2312" w:eastAsia="CESI仿宋-GB2312" w:cs="CESI仿宋-GB2312"/>
          <w:color w:val="000000" w:themeColor="text1"/>
          <w:sz w:val="32"/>
          <w:szCs w:val="32"/>
          <w14:textFill>
            <w14:solidFill>
              <w14:schemeClr w14:val="tx1"/>
            </w14:solidFill>
          </w14:textFill>
        </w:rPr>
        <w:t>提出指令性要求。</w:t>
      </w:r>
    </w:p>
    <w:p w14:paraId="3DC3CC7E">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政府各部门制定的行政规范性文件，应按照有关规定报</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政府备案，由</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政府司法行政部门审查后定期向</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政府报告。</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政府制定的行政规范性文件，应按规定报</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市</w:t>
      </w:r>
      <w:r>
        <w:rPr>
          <w:rFonts w:hint="eastAsia" w:ascii="CESI仿宋-GB2312" w:hAnsi="CESI仿宋-GB2312" w:eastAsia="CESI仿宋-GB2312" w:cs="CESI仿宋-GB2312"/>
          <w:color w:val="000000" w:themeColor="text1"/>
          <w:sz w:val="32"/>
          <w:szCs w:val="32"/>
          <w14:textFill>
            <w14:solidFill>
              <w14:schemeClr w14:val="tx1"/>
            </w14:solidFill>
          </w14:textFill>
        </w:rPr>
        <w:t>政府和</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人大常委会备案。</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政府司法行政部门要定期向社会公开行政规范性文件目录。</w:t>
      </w:r>
    </w:p>
    <w:p w14:paraId="21994960">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rPr>
        <w:t>三十四、</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政府及各部门要精简文件简报。加强发文统筹 ，从严控制发文数量、发文规格和文件篇幅。属部门职权范围 内事务、应由部门自行发文或联合发文的，不以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政府或</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政府办公室名义发文。凡法律、法规、规章和上级文件已作出明确规定、现行文件已有部署且仍然适用的，不再制发文件。从严控制配套类、分工类发文。</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政府各部门不得以贯彻落实、 督查考核等名义擅自要求下级制发配套文件。工作分工方案原则上应与文件合并印发，不单独发文。</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部门简报需按程序备案编号，未经备案的简报原则上不得向</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政府报送。</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政府及各部门要加强机关数字化、智能化应用和保障，积极推广电子公文，加快实现文件、简报和资料通过网络传输和网上办理，提高公文处理质效。</w:t>
      </w:r>
    </w:p>
    <w:p w14:paraId="1CD2D4DB">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三十五、以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政府及</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政府部门名义对外签署合作协议， 要坚持实事求是，注重实际效果，杜绝形式主义。确需签署协议的，主办部门应充分征求相关部门意见，开展公平竞争审查 、合法性审查、风险评估等评估论证，严格按程序报批，做好保密工作，涉及重要事项的签署前应提请</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政府常务会议审议 。</w:t>
      </w:r>
    </w:p>
    <w:p w14:paraId="2195F304">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jc w:val="both"/>
        <w:textAlignment w:val="baseline"/>
        <w:rPr>
          <w:rFonts w:hint="eastAsia" w:ascii="CESI仿宋-GB2312" w:hAnsi="CESI仿宋-GB2312" w:eastAsia="CESI仿宋-GB2312" w:cs="CESI仿宋-GB2312"/>
          <w:sz w:val="32"/>
          <w:szCs w:val="32"/>
        </w:rPr>
      </w:pPr>
    </w:p>
    <w:p w14:paraId="6A255A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第七章  工作落实</w:t>
      </w:r>
    </w:p>
    <w:p w14:paraId="1D77302D">
      <w:pPr>
        <w:pStyle w:val="6"/>
        <w:keepNext w:val="0"/>
        <w:keepLines w:val="0"/>
        <w:pageBreakBefore w:val="0"/>
        <w:widowControl w:val="0"/>
        <w:wordWrap/>
        <w:overflowPunct/>
        <w:topLinePunct w:val="0"/>
        <w:bidi w:val="0"/>
        <w:rPr>
          <w:rFonts w:hint="eastAsia"/>
          <w:lang w:eastAsia="zh-CN"/>
        </w:rPr>
      </w:pPr>
    </w:p>
    <w:p w14:paraId="472A98ED">
      <w:pPr>
        <w:pStyle w:val="2"/>
        <w:keepNext w:val="0"/>
        <w:keepLines w:val="0"/>
        <w:pageBreakBefore w:val="0"/>
        <w:widowControl w:val="0"/>
        <w:wordWrap/>
        <w:overflowPunct/>
        <w:topLinePunct w:val="0"/>
        <w:bidi w:val="0"/>
        <w:spacing w:before="125" w:line="269" w:lineRule="auto"/>
        <w:ind w:left="2" w:firstLine="643"/>
        <w:jc w:val="both"/>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三十六、</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政府要坚决贯彻落实习近平总书记重要指示批示和党中央、国务院决策部署，认真落实省委</w:t>
      </w:r>
      <w:r>
        <w:rPr>
          <w:rFonts w:hint="eastAsia" w:ascii="CESI仿宋-GB2312" w:hAnsi="CESI仿宋-GB2312" w:eastAsia="CESI仿宋-GB2312" w:cs="CESI仿宋-GB2312"/>
          <w:snapToGrid w:val="0"/>
          <w:color w:val="000000"/>
          <w:kern w:val="0"/>
          <w:sz w:val="32"/>
          <w:szCs w:val="32"/>
          <w:lang w:val="en-US" w:eastAsia="zh-CN" w:bidi="ar-SA"/>
        </w:rPr>
        <w:t>、</w:t>
      </w:r>
      <w:r>
        <w:rPr>
          <w:rFonts w:hint="eastAsia" w:ascii="CESI仿宋-GB2312" w:hAnsi="CESI仿宋-GB2312" w:eastAsia="CESI仿宋-GB2312" w:cs="CESI仿宋-GB2312"/>
          <w:snapToGrid w:val="0"/>
          <w:color w:val="000000"/>
          <w:kern w:val="0"/>
          <w:sz w:val="32"/>
          <w:szCs w:val="32"/>
          <w:lang w:val="en-US" w:eastAsia="en-US" w:bidi="ar-SA"/>
        </w:rPr>
        <w:t>省政府</w:t>
      </w:r>
      <w:r>
        <w:rPr>
          <w:rFonts w:hint="eastAsia" w:ascii="CESI仿宋-GB2312" w:hAnsi="CESI仿宋-GB2312" w:eastAsia="CESI仿宋-GB2312" w:cs="CESI仿宋-GB2312"/>
          <w:snapToGrid w:val="0"/>
          <w:color w:val="000000"/>
          <w:kern w:val="0"/>
          <w:sz w:val="32"/>
          <w:szCs w:val="32"/>
          <w:lang w:val="en-US" w:eastAsia="zh-CN" w:bidi="ar-SA"/>
        </w:rPr>
        <w:t>和市委、市政府</w:t>
      </w:r>
      <w:r>
        <w:rPr>
          <w:rFonts w:hint="eastAsia" w:ascii="CESI仿宋-GB2312" w:hAnsi="CESI仿宋-GB2312" w:eastAsia="CESI仿宋-GB2312" w:cs="CESI仿宋-GB2312"/>
          <w:snapToGrid w:val="0"/>
          <w:color w:val="000000"/>
          <w:kern w:val="0"/>
          <w:sz w:val="32"/>
          <w:szCs w:val="32"/>
          <w:lang w:val="en-US" w:eastAsia="en-US" w:bidi="ar-SA"/>
        </w:rPr>
        <w:t>各项工作要求</w:t>
      </w:r>
      <w:r>
        <w:rPr>
          <w:rFonts w:hint="eastAsia" w:ascii="CESI仿宋-GB2312" w:hAnsi="CESI仿宋-GB2312" w:eastAsia="CESI仿宋-GB2312" w:cs="CESI仿宋-GB2312"/>
          <w:snapToGrid w:val="0"/>
          <w:color w:val="000000"/>
          <w:kern w:val="0"/>
          <w:sz w:val="32"/>
          <w:szCs w:val="32"/>
          <w:lang w:val="en-US" w:eastAsia="zh-CN" w:bidi="ar-SA"/>
        </w:rPr>
        <w:t>以及</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委</w:t>
      </w:r>
      <w:r>
        <w:rPr>
          <w:rFonts w:hint="eastAsia" w:ascii="CESI仿宋-GB2312" w:hAnsi="CESI仿宋-GB2312" w:eastAsia="CESI仿宋-GB2312" w:cs="CESI仿宋-GB2312"/>
          <w:snapToGrid w:val="0"/>
          <w:color w:val="000000"/>
          <w:kern w:val="0"/>
          <w:sz w:val="32"/>
          <w:szCs w:val="32"/>
          <w:lang w:val="en-US" w:eastAsia="en-US" w:bidi="ar-SA"/>
        </w:rPr>
        <w:t>工作安排，坚持系统观念，加强研究部署，压实主体责任，</w:t>
      </w:r>
      <w:r>
        <w:rPr>
          <w:rFonts w:hint="eastAsia" w:ascii="CESI仿宋-GB2312" w:hAnsi="CESI仿宋-GB2312" w:eastAsia="CESI仿宋-GB2312" w:cs="CESI仿宋-GB2312"/>
          <w:snapToGrid w:val="0"/>
          <w:color w:val="000000"/>
          <w:kern w:val="0"/>
          <w:sz w:val="32"/>
          <w:szCs w:val="32"/>
          <w:lang w:val="en-US" w:eastAsia="zh-CN" w:bidi="ar-SA"/>
        </w:rPr>
        <w:t>不断推进</w:t>
      </w:r>
      <w:r>
        <w:rPr>
          <w:rFonts w:hint="eastAsia" w:ascii="CESI仿宋-GB2312" w:hAnsi="CESI仿宋-GB2312" w:eastAsia="CESI仿宋-GB2312" w:cs="CESI仿宋-GB2312"/>
          <w:snapToGrid w:val="0"/>
          <w:color w:val="000000"/>
          <w:kern w:val="0"/>
          <w:sz w:val="32"/>
          <w:szCs w:val="32"/>
          <w:lang w:val="en-US" w:eastAsia="en-US" w:bidi="ar-SA"/>
        </w:rPr>
        <w:t>督查工作规范化、制度化、科学化，强化跟踪督办，</w:t>
      </w:r>
      <w:r>
        <w:rPr>
          <w:rFonts w:hint="eastAsia" w:ascii="CESI仿宋-GB2312" w:hAnsi="CESI仿宋-GB2312" w:eastAsia="CESI仿宋-GB2312" w:cs="CESI仿宋-GB2312"/>
          <w:snapToGrid w:val="0"/>
          <w:color w:val="000000"/>
          <w:kern w:val="0"/>
          <w:sz w:val="32"/>
          <w:szCs w:val="32"/>
          <w:lang w:val="en-US" w:eastAsia="zh-CN" w:bidi="ar-SA"/>
        </w:rPr>
        <w:t>确保</w:t>
      </w:r>
      <w:r>
        <w:rPr>
          <w:rFonts w:hint="eastAsia" w:ascii="CESI仿宋-GB2312" w:hAnsi="CESI仿宋-GB2312" w:eastAsia="CESI仿宋-GB2312" w:cs="CESI仿宋-GB2312"/>
          <w:snapToGrid w:val="0"/>
          <w:color w:val="000000"/>
          <w:kern w:val="0"/>
          <w:sz w:val="32"/>
          <w:szCs w:val="32"/>
          <w:lang w:val="en-US" w:eastAsia="en-US" w:bidi="ar-SA"/>
        </w:rPr>
        <w:t>工作落实落地。</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政府领导同志要亲力亲为，指导</w:t>
      </w:r>
      <w:r>
        <w:rPr>
          <w:rFonts w:hint="eastAsia" w:ascii="CESI仿宋-GB2312" w:hAnsi="CESI仿宋-GB2312" w:eastAsia="CESI仿宋-GB2312" w:cs="CESI仿宋-GB2312"/>
          <w:snapToGrid w:val="0"/>
          <w:color w:val="000000"/>
          <w:kern w:val="0"/>
          <w:sz w:val="32"/>
          <w:szCs w:val="32"/>
          <w:lang w:val="en-US" w:eastAsia="zh-CN" w:bidi="ar-SA"/>
        </w:rPr>
        <w:t>、</w:t>
      </w:r>
      <w:r>
        <w:rPr>
          <w:rFonts w:hint="eastAsia" w:ascii="CESI仿宋-GB2312" w:hAnsi="CESI仿宋-GB2312" w:eastAsia="CESI仿宋-GB2312" w:cs="CESI仿宋-GB2312"/>
          <w:snapToGrid w:val="0"/>
          <w:color w:val="000000"/>
          <w:kern w:val="0"/>
          <w:sz w:val="32"/>
          <w:szCs w:val="32"/>
          <w:lang w:val="en-US" w:eastAsia="en-US" w:bidi="ar-SA"/>
        </w:rPr>
        <w:t>推动、督促分管领域和部门扎实履行职责，确保各项决策落地见效。</w:t>
      </w:r>
    </w:p>
    <w:p w14:paraId="75305E36">
      <w:pPr>
        <w:pStyle w:val="2"/>
        <w:keepNext w:val="0"/>
        <w:keepLines w:val="0"/>
        <w:pageBreakBefore w:val="0"/>
        <w:widowControl w:val="0"/>
        <w:wordWrap/>
        <w:overflowPunct/>
        <w:topLinePunct w:val="0"/>
        <w:bidi w:val="0"/>
        <w:spacing w:before="171" w:line="260" w:lineRule="auto"/>
        <w:ind w:left="2" w:firstLine="643"/>
        <w:jc w:val="both"/>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三十七、</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政府各部门要坚决贯彻落实党中央、国务院</w:t>
      </w:r>
      <w:r>
        <w:rPr>
          <w:rFonts w:hint="eastAsia" w:ascii="CESI仿宋-GB2312" w:hAnsi="CESI仿宋-GB2312" w:eastAsia="CESI仿宋-GB2312" w:cs="CESI仿宋-GB2312"/>
          <w:snapToGrid w:val="0"/>
          <w:color w:val="000000"/>
          <w:kern w:val="0"/>
          <w:sz w:val="32"/>
          <w:szCs w:val="32"/>
          <w:lang w:val="en-US" w:eastAsia="zh-CN" w:bidi="ar-SA"/>
        </w:rPr>
        <w:t>、</w:t>
      </w:r>
      <w:r>
        <w:rPr>
          <w:rFonts w:hint="eastAsia" w:ascii="CESI仿宋-GB2312" w:hAnsi="CESI仿宋-GB2312" w:eastAsia="CESI仿宋-GB2312" w:cs="CESI仿宋-GB2312"/>
          <w:snapToGrid w:val="0"/>
          <w:color w:val="000000"/>
          <w:kern w:val="0"/>
          <w:sz w:val="32"/>
          <w:szCs w:val="32"/>
          <w:lang w:val="en-US" w:eastAsia="en-US" w:bidi="ar-SA"/>
        </w:rPr>
        <w:t>省委</w:t>
      </w:r>
      <w:r>
        <w:rPr>
          <w:rFonts w:hint="eastAsia" w:ascii="CESI仿宋-GB2312" w:hAnsi="CESI仿宋-GB2312" w:eastAsia="CESI仿宋-GB2312" w:cs="CESI仿宋-GB2312"/>
          <w:snapToGrid w:val="0"/>
          <w:color w:val="000000"/>
          <w:kern w:val="0"/>
          <w:sz w:val="32"/>
          <w:szCs w:val="32"/>
          <w:lang w:val="en-US" w:eastAsia="zh-CN" w:bidi="ar-SA"/>
        </w:rPr>
        <w:t>、</w:t>
      </w:r>
      <w:r>
        <w:rPr>
          <w:rFonts w:hint="eastAsia" w:ascii="CESI仿宋-GB2312" w:hAnsi="CESI仿宋-GB2312" w:eastAsia="CESI仿宋-GB2312" w:cs="CESI仿宋-GB2312"/>
          <w:snapToGrid w:val="0"/>
          <w:color w:val="000000"/>
          <w:kern w:val="0"/>
          <w:sz w:val="32"/>
          <w:szCs w:val="32"/>
          <w:lang w:val="en-US" w:eastAsia="en-US" w:bidi="ar-SA"/>
        </w:rPr>
        <w:t>省政府</w:t>
      </w:r>
      <w:r>
        <w:rPr>
          <w:rFonts w:hint="eastAsia" w:ascii="CESI仿宋-GB2312" w:hAnsi="CESI仿宋-GB2312" w:eastAsia="CESI仿宋-GB2312" w:cs="CESI仿宋-GB2312"/>
          <w:snapToGrid w:val="0"/>
          <w:color w:val="000000"/>
          <w:kern w:val="0"/>
          <w:sz w:val="32"/>
          <w:szCs w:val="32"/>
          <w:lang w:val="en-US" w:eastAsia="zh-CN" w:bidi="ar-SA"/>
        </w:rPr>
        <w:t>和市委、市政府</w:t>
      </w:r>
      <w:r>
        <w:rPr>
          <w:rFonts w:hint="eastAsia" w:ascii="CESI仿宋-GB2312" w:hAnsi="CESI仿宋-GB2312" w:eastAsia="CESI仿宋-GB2312" w:cs="CESI仿宋-GB2312"/>
          <w:snapToGrid w:val="0"/>
          <w:color w:val="000000"/>
          <w:kern w:val="0"/>
          <w:sz w:val="32"/>
          <w:szCs w:val="32"/>
          <w:lang w:val="en-US" w:eastAsia="en-US" w:bidi="ar-SA"/>
        </w:rPr>
        <w:t>决策部署，紧扣</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委、</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政府中心工作，严格落实工作责任制</w:t>
      </w:r>
      <w:r>
        <w:rPr>
          <w:rFonts w:hint="eastAsia" w:ascii="CESI仿宋-GB2312" w:hAnsi="CESI仿宋-GB2312" w:eastAsia="CESI仿宋-GB2312" w:cs="CESI仿宋-GB2312"/>
          <w:snapToGrid w:val="0"/>
          <w:color w:val="000000"/>
          <w:kern w:val="0"/>
          <w:sz w:val="32"/>
          <w:szCs w:val="32"/>
          <w:lang w:val="en-US" w:eastAsia="zh-CN" w:bidi="ar-SA"/>
        </w:rPr>
        <w:t>，</w:t>
      </w:r>
      <w:r>
        <w:rPr>
          <w:rFonts w:hint="eastAsia" w:ascii="CESI仿宋-GB2312" w:hAnsi="CESI仿宋-GB2312" w:eastAsia="CESI仿宋-GB2312" w:cs="CESI仿宋-GB2312"/>
          <w:snapToGrid w:val="0"/>
          <w:color w:val="000000"/>
          <w:kern w:val="0"/>
          <w:sz w:val="32"/>
          <w:szCs w:val="32"/>
          <w:lang w:val="en-US" w:eastAsia="en-US" w:bidi="ar-SA"/>
        </w:rPr>
        <w:t>加强组织协调，细化任务措施，主动担当作为，强化跟踪问效，确保各项政策举措落到实处。</w:t>
      </w:r>
    </w:p>
    <w:p w14:paraId="6824CE84">
      <w:pPr>
        <w:pStyle w:val="2"/>
        <w:keepNext w:val="0"/>
        <w:keepLines w:val="0"/>
        <w:pageBreakBefore w:val="0"/>
        <w:widowControl w:val="0"/>
        <w:wordWrap/>
        <w:overflowPunct/>
        <w:topLinePunct w:val="0"/>
        <w:bidi w:val="0"/>
        <w:spacing w:before="174" w:line="264" w:lineRule="auto"/>
        <w:ind w:firstLine="645"/>
        <w:jc w:val="both"/>
        <w:rPr>
          <w:rFonts w:hint="eastAsia" w:ascii="CESI仿宋-GB2312" w:hAnsi="CESI仿宋-GB2312" w:eastAsia="CESI仿宋-GB2312" w:cs="CESI仿宋-GB2312"/>
          <w:snapToGrid w:val="0"/>
          <w:color w:val="000000"/>
          <w:kern w:val="0"/>
          <w:sz w:val="32"/>
          <w:szCs w:val="32"/>
          <w:lang w:val="en-US" w:eastAsia="zh-CN" w:bidi="ar-SA"/>
        </w:rPr>
      </w:pPr>
      <w:r>
        <w:rPr>
          <w:rFonts w:hint="eastAsia" w:ascii="CESI仿宋-GB2312" w:hAnsi="CESI仿宋-GB2312" w:eastAsia="CESI仿宋-GB2312" w:cs="CESI仿宋-GB2312"/>
          <w:snapToGrid w:val="0"/>
          <w:color w:val="000000"/>
          <w:kern w:val="0"/>
          <w:sz w:val="32"/>
          <w:szCs w:val="32"/>
          <w:lang w:val="en-US" w:eastAsia="en-US" w:bidi="ar-SA"/>
        </w:rPr>
        <w:t>三十八、</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各部门必须进一步增强“一分部署、九分落实”意识，切实增强狠抓落实本领，把雷厉风行和久久为功有机结合起来，加强督促检查，注重运用不打招呼、明察暗访、随机抽查、数据监测等方法，充分发挥督促检查抓落实促发展的作用</w:t>
      </w:r>
      <w:r>
        <w:rPr>
          <w:rFonts w:hint="eastAsia" w:ascii="CESI仿宋-GB2312" w:hAnsi="CESI仿宋-GB2312" w:eastAsia="CESI仿宋-GB2312" w:cs="CESI仿宋-GB2312"/>
          <w:snapToGrid w:val="0"/>
          <w:color w:val="000000"/>
          <w:kern w:val="0"/>
          <w:sz w:val="32"/>
          <w:szCs w:val="32"/>
          <w:lang w:val="en-US" w:eastAsia="zh-CN" w:bidi="ar-SA"/>
        </w:rPr>
        <w:t>。</w:t>
      </w:r>
    </w:p>
    <w:p w14:paraId="104F6874">
      <w:pPr>
        <w:pStyle w:val="2"/>
        <w:keepNext w:val="0"/>
        <w:keepLines w:val="0"/>
        <w:pageBreakBefore w:val="0"/>
        <w:widowControl w:val="0"/>
        <w:wordWrap/>
        <w:overflowPunct/>
        <w:topLinePunct w:val="0"/>
        <w:bidi w:val="0"/>
        <w:spacing w:before="171" w:line="260" w:lineRule="auto"/>
        <w:ind w:left="2" w:firstLine="643"/>
        <w:jc w:val="both"/>
        <w:rPr>
          <w:rFonts w:hint="eastAsia" w:ascii="CESI仿宋-GB2312" w:hAnsi="CESI仿宋-GB2312" w:eastAsia="CESI仿宋-GB2312" w:cs="CESI仿宋-GB2312"/>
          <w:snapToGrid w:val="0"/>
          <w:color w:val="FF0000"/>
          <w:kern w:val="0"/>
          <w:sz w:val="32"/>
          <w:szCs w:val="32"/>
          <w:lang w:val="en-US" w:eastAsia="zh-CN" w:bidi="ar-SA"/>
        </w:rPr>
      </w:pPr>
      <w:r>
        <w:rPr>
          <w:rFonts w:hint="eastAsia" w:ascii="CESI仿宋-GB2312" w:hAnsi="CESI仿宋-GB2312" w:eastAsia="CESI仿宋-GB2312" w:cs="CESI仿宋-GB2312"/>
          <w:snapToGrid w:val="0"/>
          <w:color w:val="000000"/>
          <w:kern w:val="0"/>
          <w:sz w:val="32"/>
          <w:szCs w:val="32"/>
          <w:lang w:val="en-US" w:eastAsia="en-US" w:bidi="ar-SA"/>
        </w:rPr>
        <w:t>三十九、</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政府各部门要加强和规范督查，完善</w:t>
      </w:r>
      <w:r>
        <w:rPr>
          <w:rFonts w:hint="eastAsia" w:ascii="CESI仿宋-GB2312" w:hAnsi="CESI仿宋-GB2312" w:eastAsia="CESI仿宋-GB2312" w:cs="CESI仿宋-GB2312"/>
          <w:snapToGrid w:val="0"/>
          <w:color w:val="000000"/>
          <w:kern w:val="0"/>
          <w:sz w:val="32"/>
          <w:szCs w:val="32"/>
          <w:lang w:val="en-US" w:eastAsia="zh-CN" w:bidi="ar-SA"/>
        </w:rPr>
        <w:t>督查</w:t>
      </w:r>
      <w:r>
        <w:rPr>
          <w:rFonts w:hint="eastAsia" w:ascii="CESI仿宋-GB2312" w:hAnsi="CESI仿宋-GB2312" w:eastAsia="CESI仿宋-GB2312" w:cs="CESI仿宋-GB2312"/>
          <w:snapToGrid w:val="0"/>
          <w:color w:val="000000"/>
          <w:kern w:val="0"/>
          <w:sz w:val="32"/>
          <w:szCs w:val="32"/>
          <w:lang w:val="en-US" w:eastAsia="en-US" w:bidi="ar-SA"/>
        </w:rPr>
        <w:t>工作机制，突出效果导向，</w:t>
      </w:r>
      <w:r>
        <w:rPr>
          <w:rFonts w:hint="eastAsia" w:ascii="CESI仿宋-GB2312" w:hAnsi="CESI仿宋-GB2312" w:eastAsia="CESI仿宋-GB2312" w:cs="CESI仿宋-GB2312"/>
          <w:snapToGrid w:val="0"/>
          <w:color w:val="000000"/>
          <w:kern w:val="0"/>
          <w:sz w:val="32"/>
          <w:szCs w:val="32"/>
          <w:lang w:val="en-US" w:eastAsia="zh-CN" w:bidi="ar-SA"/>
        </w:rPr>
        <w:t>创新督查方式，</w:t>
      </w:r>
      <w:r>
        <w:rPr>
          <w:rFonts w:hint="eastAsia" w:ascii="CESI仿宋-GB2312" w:hAnsi="CESI仿宋-GB2312" w:eastAsia="CESI仿宋-GB2312" w:cs="CESI仿宋-GB2312"/>
          <w:snapToGrid w:val="0"/>
          <w:color w:val="000000"/>
          <w:kern w:val="0"/>
          <w:sz w:val="32"/>
          <w:szCs w:val="32"/>
          <w:lang w:val="en-US" w:eastAsia="en-US" w:bidi="ar-SA"/>
        </w:rPr>
        <w:t>坚持督帮一体，加强统筹规范、协同配合、联动贯通，增强督查的针对性和实效性，防止重复督查</w:t>
      </w:r>
      <w:r>
        <w:rPr>
          <w:rFonts w:hint="eastAsia" w:ascii="CESI仿宋-GB2312" w:hAnsi="CESI仿宋-GB2312" w:eastAsia="CESI仿宋-GB2312" w:cs="CESI仿宋-GB2312"/>
          <w:snapToGrid w:val="0"/>
          <w:color w:val="000000"/>
          <w:kern w:val="0"/>
          <w:sz w:val="32"/>
          <w:szCs w:val="32"/>
          <w:lang w:val="en-US" w:eastAsia="zh-CN" w:bidi="ar-SA"/>
        </w:rPr>
        <w:t>、多头督查</w:t>
      </w:r>
      <w:r>
        <w:rPr>
          <w:rFonts w:hint="eastAsia" w:ascii="CESI仿宋-GB2312" w:hAnsi="CESI仿宋-GB2312" w:eastAsia="CESI仿宋-GB2312" w:cs="CESI仿宋-GB2312"/>
          <w:snapToGrid w:val="0"/>
          <w:color w:val="000000"/>
          <w:kern w:val="0"/>
          <w:sz w:val="32"/>
          <w:szCs w:val="32"/>
          <w:lang w:val="en-US" w:eastAsia="en-US" w:bidi="ar-SA"/>
        </w:rPr>
        <w:t>，</w:t>
      </w:r>
      <w:r>
        <w:rPr>
          <w:rFonts w:hint="eastAsia" w:ascii="CESI仿宋-GB2312" w:hAnsi="CESI仿宋-GB2312" w:eastAsia="CESI仿宋-GB2312" w:cs="CESI仿宋-GB2312"/>
          <w:snapToGrid w:val="0"/>
          <w:color w:val="000000"/>
          <w:kern w:val="0"/>
          <w:sz w:val="32"/>
          <w:szCs w:val="32"/>
          <w:lang w:val="en-US" w:eastAsia="zh-CN" w:bidi="ar-SA"/>
        </w:rPr>
        <w:t>严肃督查纪律，</w:t>
      </w:r>
      <w:r>
        <w:rPr>
          <w:rFonts w:hint="eastAsia" w:ascii="CESI仿宋-GB2312" w:hAnsi="CESI仿宋-GB2312" w:eastAsia="CESI仿宋-GB2312" w:cs="CESI仿宋-GB2312"/>
          <w:snapToGrid w:val="0"/>
          <w:color w:val="000000"/>
          <w:kern w:val="0"/>
          <w:sz w:val="32"/>
          <w:szCs w:val="32"/>
          <w:lang w:val="en-US" w:eastAsia="en-US" w:bidi="ar-SA"/>
        </w:rPr>
        <w:t>减轻基层负担。</w:t>
      </w:r>
    </w:p>
    <w:p w14:paraId="7D15E6D1">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jc w:val="both"/>
        <w:textAlignment w:val="baseline"/>
        <w:rPr>
          <w:rFonts w:hint="eastAsia" w:ascii="CESI仿宋-GB2312" w:hAnsi="CESI仿宋-GB2312" w:eastAsia="CESI仿宋-GB2312" w:cs="CESI仿宋-GB2312"/>
          <w:sz w:val="32"/>
          <w:szCs w:val="32"/>
        </w:rPr>
      </w:pPr>
    </w:p>
    <w:p w14:paraId="4D7186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第八章  工作纪律和自身建设</w:t>
      </w:r>
    </w:p>
    <w:p w14:paraId="05C05871">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jc w:val="both"/>
        <w:textAlignment w:val="baseline"/>
        <w:rPr>
          <w:rFonts w:hint="eastAsia" w:ascii="CESI仿宋-GB2312" w:hAnsi="CESI仿宋-GB2312" w:eastAsia="CESI仿宋-GB2312" w:cs="CESI仿宋-GB2312"/>
          <w:sz w:val="32"/>
          <w:szCs w:val="32"/>
        </w:rPr>
      </w:pPr>
    </w:p>
    <w:p w14:paraId="2973B0C9">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四十、</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政府及各部门要严格履行全面从严治党主体责任 ，切实加强自身建设。要严守政治纪律和政治规矩，严格执行廉洁从政各项规定，严格落实中央八项规定及其实施细则精神和省、市</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实施办法、</w:t>
      </w:r>
      <w:r>
        <w:rPr>
          <w:rFonts w:hint="eastAsia" w:ascii="CESI仿宋-GB2312" w:hAnsi="CESI仿宋-GB2312" w:eastAsia="CESI仿宋-GB2312" w:cs="CESI仿宋-GB2312"/>
          <w:sz w:val="32"/>
          <w:szCs w:val="32"/>
        </w:rPr>
        <w:t>意见，持续深化党风廉政建设，营造风清气正的政治生态。</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政府领导同志要以身作则、以上率下，严于律己、严负其责、严管所辖，切实抓好分管领域和部门的党风廉政建设和反腐败工作。</w:t>
      </w:r>
    </w:p>
    <w:p w14:paraId="203502E3">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四十一、</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w:t>
      </w:r>
      <w:r>
        <w:rPr>
          <w:rFonts w:hint="eastAsia" w:ascii="CESI仿宋-GB2312" w:hAnsi="CESI仿宋-GB2312" w:eastAsia="CESI仿宋-GB2312" w:cs="CESI仿宋-GB2312"/>
          <w:snapToGrid w:val="0"/>
          <w:color w:val="000000"/>
          <w:kern w:val="0"/>
          <w:sz w:val="32"/>
          <w:szCs w:val="32"/>
          <w:lang w:val="en-US" w:eastAsia="en-US" w:bidi="ar-SA"/>
        </w:rPr>
        <w:t>府及各部门要加强和改进调查研究，大兴调查研究之风，改进调研工作作风，</w:t>
      </w:r>
      <w:r>
        <w:rPr>
          <w:rFonts w:hint="eastAsia" w:ascii="CESI仿宋-GB2312" w:hAnsi="CESI仿宋-GB2312" w:eastAsia="CESI仿宋-GB2312" w:cs="CESI仿宋-GB2312"/>
          <w:snapToGrid w:val="0"/>
          <w:color w:val="000000"/>
          <w:kern w:val="0"/>
          <w:sz w:val="32"/>
          <w:szCs w:val="32"/>
          <w:lang w:val="en-US" w:eastAsia="zh-CN" w:bidi="ar-SA"/>
        </w:rPr>
        <w:t>增强调研实效。</w:t>
      </w:r>
      <w:r>
        <w:rPr>
          <w:rFonts w:hint="eastAsia" w:ascii="CESI仿宋-GB2312" w:hAnsi="CESI仿宋-GB2312" w:eastAsia="CESI仿宋-GB2312" w:cs="CESI仿宋-GB2312"/>
          <w:snapToGrid w:val="0"/>
          <w:color w:val="000000"/>
          <w:kern w:val="0"/>
          <w:sz w:val="32"/>
          <w:szCs w:val="32"/>
          <w:lang w:val="en-US" w:eastAsia="en-US" w:bidi="ar-SA"/>
        </w:rPr>
        <w:t>深入实际、深入基层、深入群众，</w:t>
      </w:r>
      <w:r>
        <w:rPr>
          <w:rFonts w:hint="eastAsia" w:ascii="CESI仿宋-GB2312" w:hAnsi="CESI仿宋-GB2312" w:eastAsia="CESI仿宋-GB2312" w:cs="CESI仿宋-GB2312"/>
          <w:snapToGrid w:val="0"/>
          <w:color w:val="000000"/>
          <w:kern w:val="0"/>
          <w:sz w:val="32"/>
          <w:szCs w:val="32"/>
          <w:lang w:val="en-US" w:eastAsia="zh-CN" w:bidi="ar-SA"/>
        </w:rPr>
        <w:t>多到</w:t>
      </w:r>
      <w:r>
        <w:rPr>
          <w:rFonts w:hint="eastAsia" w:ascii="CESI仿宋-GB2312" w:hAnsi="CESI仿宋-GB2312" w:eastAsia="CESI仿宋-GB2312" w:cs="CESI仿宋-GB2312"/>
          <w:snapToGrid w:val="0"/>
          <w:color w:val="000000"/>
          <w:kern w:val="0"/>
          <w:sz w:val="32"/>
          <w:szCs w:val="32"/>
          <w:lang w:val="en-US" w:eastAsia="en-US" w:bidi="ar-SA"/>
        </w:rPr>
        <w:t>困难多、群众意见集中、工作打不开局面的地方和单位开展调研，摸清</w:t>
      </w:r>
      <w:r>
        <w:rPr>
          <w:rFonts w:hint="eastAsia" w:ascii="CESI仿宋-GB2312" w:hAnsi="CESI仿宋-GB2312" w:eastAsia="CESI仿宋-GB2312" w:cs="CESI仿宋-GB2312"/>
          <w:color w:val="000000" w:themeColor="text1"/>
          <w:sz w:val="32"/>
          <w:szCs w:val="32"/>
          <w14:textFill>
            <w14:solidFill>
              <w14:schemeClr w14:val="tx1"/>
            </w14:solidFill>
          </w14:textFill>
        </w:rPr>
        <w:t>情况、找准问题、提实对策</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。坚持先调研后决策，</w:t>
      </w:r>
      <w:r>
        <w:rPr>
          <w:rFonts w:hint="eastAsia" w:ascii="CESI仿宋-GB2312" w:hAnsi="CESI仿宋-GB2312" w:eastAsia="CESI仿宋-GB2312" w:cs="CESI仿宋-GB2312"/>
          <w:color w:val="000000" w:themeColor="text1"/>
          <w:sz w:val="32"/>
          <w:szCs w:val="32"/>
          <w14:textFill>
            <w14:solidFill>
              <w14:schemeClr w14:val="tx1"/>
            </w14:solidFill>
          </w14:textFill>
        </w:rPr>
        <w:t>做到不调</w:t>
      </w:r>
      <w:r>
        <w:rPr>
          <w:rFonts w:hint="eastAsia" w:ascii="CESI仿宋-GB2312" w:hAnsi="CESI仿宋-GB2312" w:eastAsia="CESI仿宋-GB2312" w:cs="CESI仿宋-GB2312"/>
          <w:sz w:val="32"/>
          <w:szCs w:val="32"/>
        </w:rPr>
        <w:t>研不决策、不充分论证评估不决策、不进行合法合规性审查不决策。要积极为基层服务，帮助解决工作中的困难和问题。</w:t>
      </w:r>
    </w:p>
    <w:p w14:paraId="3DA894F8">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四十二、</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政府及各部门要严格执行请示报告制度，工作中涉及经济、政治、文化、社会、生态文明建设中的重要问题 ，以及其他应当请示报告的重要事项，要按程序请示报告。</w:t>
      </w:r>
    </w:p>
    <w:p w14:paraId="62D58263">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政府各部门工作中的政策、计划和重要行政措施，应当向</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政府请示报告。</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政府各部门发布涉及政府重要工作部署、经济社会发展重要问题的信息，要经过严格审查，重要情况要及时向</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政府报告。</w:t>
      </w:r>
    </w:p>
    <w:p w14:paraId="7D7F9881">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四十三、</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政府组成人员要严格遵守各项工作纪律，全面贯彻执行党和国家的路线方针政策，</w:t>
      </w:r>
      <w:r>
        <w:rPr>
          <w:rFonts w:hint="eastAsia" w:ascii="CESI仿宋-GB2312" w:hAnsi="CESI仿宋-GB2312" w:eastAsia="CESI仿宋-GB2312" w:cs="CESI仿宋-GB2312"/>
          <w:color w:val="000000" w:themeColor="text1"/>
          <w:sz w:val="32"/>
          <w:szCs w:val="32"/>
          <w14:textFill>
            <w14:solidFill>
              <w14:schemeClr w14:val="tx1"/>
            </w14:solidFill>
          </w14:textFill>
        </w:rPr>
        <w:t>省委</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省政府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市委</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市政府部署</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要求</w:t>
      </w:r>
      <w:r>
        <w:rPr>
          <w:rFonts w:hint="eastAsia" w:ascii="CESI仿宋-GB2312" w:hAnsi="CESI仿宋-GB2312" w:eastAsia="CESI仿宋-GB2312" w:cs="CESI仿宋-GB2312"/>
          <w:color w:val="000000" w:themeColor="text1"/>
          <w:sz w:val="32"/>
          <w:szCs w:val="32"/>
          <w14:textFill>
            <w14:solidFill>
              <w14:schemeClr w14:val="tx1"/>
            </w14:solidFill>
          </w14:textFill>
        </w:rPr>
        <w:t>和</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区委、区政府</w:t>
      </w:r>
      <w:r>
        <w:rPr>
          <w:rFonts w:hint="eastAsia" w:ascii="CESI仿宋-GB2312" w:hAnsi="CESI仿宋-GB2312" w:eastAsia="CESI仿宋-GB2312" w:cs="CESI仿宋-GB2312"/>
          <w:color w:val="000000" w:themeColor="text1"/>
          <w:sz w:val="32"/>
          <w:szCs w:val="32"/>
          <w14:textFill>
            <w14:solidFill>
              <w14:schemeClr w14:val="tx1"/>
            </w14:solidFill>
          </w14:textFill>
        </w:rPr>
        <w:t>工作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安排</w:t>
      </w:r>
      <w:r>
        <w:rPr>
          <w:rFonts w:hint="eastAsia" w:ascii="CESI仿宋-GB2312" w:hAnsi="CESI仿宋-GB2312" w:eastAsia="CESI仿宋-GB2312" w:cs="CESI仿宋-GB2312"/>
          <w:color w:val="000000" w:themeColor="text1"/>
          <w:sz w:val="32"/>
          <w:szCs w:val="32"/>
          <w14:textFill>
            <w14:solidFill>
              <w14:schemeClr w14:val="tx1"/>
            </w14:solidFill>
          </w14:textFill>
        </w:rPr>
        <w:t>，</w:t>
      </w:r>
      <w:r>
        <w:rPr>
          <w:rFonts w:hint="eastAsia" w:ascii="CESI仿宋-GB2312" w:hAnsi="CESI仿宋-GB2312" w:eastAsia="CESI仿宋-GB2312" w:cs="CESI仿宋-GB2312"/>
          <w:sz w:val="32"/>
          <w:szCs w:val="32"/>
        </w:rPr>
        <w:t>有令必行，有禁必止，不得有任何与党中央、国务院，</w:t>
      </w:r>
      <w:r>
        <w:rPr>
          <w:rFonts w:hint="eastAsia" w:ascii="CESI仿宋-GB2312" w:hAnsi="CESI仿宋-GB2312" w:eastAsia="CESI仿宋-GB2312" w:cs="CESI仿宋-GB2312"/>
          <w:color w:val="000000" w:themeColor="text1"/>
          <w:sz w:val="32"/>
          <w:szCs w:val="32"/>
          <w14:textFill>
            <w14:solidFill>
              <w14:schemeClr w14:val="tx1"/>
            </w14:solidFill>
          </w14:textFill>
        </w:rPr>
        <w:t>省委</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省政府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市委</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市政府和</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区委、区政府</w:t>
      </w:r>
      <w:r>
        <w:rPr>
          <w:rFonts w:hint="eastAsia" w:ascii="CESI仿宋-GB2312" w:hAnsi="CESI仿宋-GB2312" w:eastAsia="CESI仿宋-GB2312" w:cs="CESI仿宋-GB2312"/>
          <w:color w:val="000000" w:themeColor="text1"/>
          <w:sz w:val="32"/>
          <w:szCs w:val="32"/>
          <w14:textFill>
            <w14:solidFill>
              <w14:schemeClr w14:val="tx1"/>
            </w14:solidFill>
          </w14:textFill>
        </w:rPr>
        <w:t>决定相违背的言</w:t>
      </w:r>
      <w:r>
        <w:rPr>
          <w:rFonts w:hint="eastAsia" w:ascii="CESI仿宋-GB2312" w:hAnsi="CESI仿宋-GB2312" w:eastAsia="CESI仿宋-GB2312" w:cs="CESI仿宋-GB2312"/>
          <w:sz w:val="32"/>
          <w:szCs w:val="32"/>
        </w:rPr>
        <w:t>论和行为。</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政府领导同志考察调研、出席会议活动要严格执行中央、省委</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市委</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及区委</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有关规定要求，减少陪同人员，简化接待工作，规范新闻报道，切实减轻基层负担。</w:t>
      </w:r>
      <w:r>
        <w:rPr>
          <w:rFonts w:hint="eastAsia" w:ascii="CESI仿宋-GB2312" w:hAnsi="CESI仿宋-GB2312" w:eastAsia="CESI仿宋-GB2312" w:cs="CESI仿宋-GB2312"/>
          <w:sz w:val="32"/>
          <w:szCs w:val="32"/>
        </w:rPr>
        <w:t>未经批准，</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政府领导同志个人不公开出版著作，不发贺信、贺电，不题词、题字、作序。</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政府组成人员代表</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政府发表讲话和文章，个人发表署名文章、接受媒体专访，必须严格按照有关规定执行。</w:t>
      </w:r>
    </w:p>
    <w:p w14:paraId="26E1AAE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pPr>
      <w:r>
        <w:rPr>
          <w:rFonts w:hint="eastAsia" w:ascii="CESI仿宋-GB2312" w:hAnsi="CESI仿宋-GB2312" w:eastAsia="CESI仿宋-GB2312" w:cs="CESI仿宋-GB2312"/>
          <w:snapToGrid w:val="0"/>
          <w:color w:val="000000"/>
          <w:kern w:val="0"/>
          <w:sz w:val="32"/>
          <w:szCs w:val="32"/>
          <w:lang w:val="en-US" w:eastAsia="en-US" w:bidi="ar-SA"/>
        </w:rPr>
        <w:t>要严格执行请销假制度。</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副区长，各镇政府镇长、街道办事处主任，</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各开发区管委会</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主要负责人，区政府各部门主要负责人出差（出访）、学习、离岗休假、探亲、就医等，应提前3天向区委书记、区长报告行止日期、地点、事由和代为主持工作的负责人。外出时间超过3天的，要附有关通知、方案及日程安排。因紧急事项临时外出的，要及时报备，并说明理由。</w:t>
      </w:r>
    </w:p>
    <w:p w14:paraId="19D2274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pPr>
      <w:r>
        <w:rPr>
          <w:rFonts w:hint="default"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要保持通信联络畅通，确保24小时能随时取得联系，不允许出现失联和通讯联络不畅的情况。</w:t>
      </w:r>
    </w:p>
    <w:p w14:paraId="2CC7DE97">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rPr>
        <w:t>要严格执行财经纪律，</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艰苦奋斗、勤俭节约，坚决制止奢侈浪费，</w:t>
      </w:r>
      <w:r>
        <w:rPr>
          <w:rFonts w:hint="eastAsia" w:ascii="CESI仿宋-GB2312" w:hAnsi="CESI仿宋-GB2312" w:eastAsia="CESI仿宋-GB2312" w:cs="CESI仿宋-GB2312"/>
          <w:color w:val="000000" w:themeColor="text1"/>
          <w:sz w:val="32"/>
          <w:szCs w:val="32"/>
          <w14:textFill>
            <w14:solidFill>
              <w14:schemeClr w14:val="tx1"/>
            </w14:solidFill>
          </w14:textFill>
        </w:rPr>
        <w:t>严格执行办公用房、住房、用车、交通、休假等方面的待遇规定，坚决反对特权、不搞特权</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，建设节约型政府</w:t>
      </w:r>
      <w:r>
        <w:rPr>
          <w:rFonts w:hint="eastAsia" w:ascii="CESI仿宋-GB2312" w:hAnsi="CESI仿宋-GB2312" w:eastAsia="CESI仿宋-GB2312" w:cs="CESI仿宋-GB2312"/>
          <w:color w:val="000000" w:themeColor="text1"/>
          <w:sz w:val="32"/>
          <w:szCs w:val="32"/>
          <w14:textFill>
            <w14:solidFill>
              <w14:schemeClr w14:val="tx1"/>
            </w14:solidFill>
          </w14:textFill>
        </w:rPr>
        <w:t>。严格控制因公出国（境）团组数量和规模。</w:t>
      </w:r>
    </w:p>
    <w:p w14:paraId="05220710">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要严格遵守保密纪律和外事纪律，严禁泄露国家秘密、工 作秘密或因履行职责掌握的商业秘密等，坚决维护国家的安全 、荣誉和利益。</w:t>
      </w:r>
    </w:p>
    <w:p w14:paraId="3031D2AD">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四十四、</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政府工作人员要牢记“三个务必”，树牢和践行正确政绩观，强化责任担当，勤勉干事创业，依法履职尽责 ，当好执行者、行动派、实干家。坚持反“四风”、树新风，坚决反对形式主义、官僚主义，推进作风建设常态化长效化。</w:t>
      </w:r>
    </w:p>
    <w:p w14:paraId="31130996">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政府及各部门要进一步建立健全工作责任体系和激励约束机制，为担当者担当，为负责者负责，为干事者撑腰，让愿担当、敢担当、善担当蔚然成风，持续营造干事创业的良好氛围 。</w:t>
      </w:r>
    </w:p>
    <w:p w14:paraId="4C73F33F">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四十五、</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政府派出机构、直属事业单位适用本《规则》。</w:t>
      </w:r>
    </w:p>
    <w:p w14:paraId="5EE064A3">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四十六、本规则自发布之日起施行。2022年</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31</w:t>
      </w:r>
      <w:r>
        <w:rPr>
          <w:rFonts w:hint="eastAsia" w:ascii="CESI仿宋-GB2312" w:hAnsi="CESI仿宋-GB2312" w:eastAsia="CESI仿宋-GB2312" w:cs="CESI仿宋-GB2312"/>
          <w:sz w:val="32"/>
          <w:szCs w:val="32"/>
        </w:rPr>
        <w:t>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政府印发的《</w:t>
      </w:r>
      <w:r>
        <w:rPr>
          <w:rFonts w:hint="eastAsia" w:ascii="CESI仿宋-GB2312" w:hAnsi="CESI仿宋-GB2312" w:eastAsia="CESI仿宋-GB2312" w:cs="CESI仿宋-GB2312"/>
          <w:sz w:val="32"/>
          <w:szCs w:val="32"/>
          <w:lang w:eastAsia="zh-CN"/>
        </w:rPr>
        <w:t>临淄区</w:t>
      </w:r>
      <w:r>
        <w:rPr>
          <w:rFonts w:hint="eastAsia" w:ascii="CESI仿宋-GB2312" w:hAnsi="CESI仿宋-GB2312" w:eastAsia="CESI仿宋-GB2312" w:cs="CESI仿宋-GB2312"/>
          <w:sz w:val="32"/>
          <w:szCs w:val="32"/>
        </w:rPr>
        <w:t>人民政府工作规则》停止执行。</w:t>
      </w:r>
    </w:p>
    <w:p w14:paraId="7B35B26F">
      <w:pPr>
        <w:pStyle w:val="6"/>
        <w:rPr>
          <w:rFonts w:hint="eastAsia" w:ascii="CESI仿宋-GB2312" w:hAnsi="CESI仿宋-GB2312" w:eastAsia="CESI仿宋-GB2312" w:cs="CESI仿宋-GB2312"/>
          <w:sz w:val="32"/>
          <w:szCs w:val="32"/>
        </w:rPr>
      </w:pPr>
    </w:p>
    <w:p w14:paraId="09E33AF3">
      <w:pPr>
        <w:pStyle w:val="6"/>
        <w:rPr>
          <w:rFonts w:hint="eastAsia" w:ascii="CESI仿宋-GB2312" w:hAnsi="CESI仿宋-GB2312" w:eastAsia="CESI仿宋-GB2312" w:cs="CESI仿宋-GB2312"/>
          <w:sz w:val="32"/>
          <w:szCs w:val="32"/>
        </w:rPr>
      </w:pPr>
    </w:p>
    <w:p w14:paraId="1205004D">
      <w:pPr>
        <w:pStyle w:val="6"/>
        <w:rPr>
          <w:rFonts w:hint="eastAsia" w:ascii="CESI仿宋-GB2312" w:hAnsi="CESI仿宋-GB2312" w:eastAsia="CESI仿宋-GB2312" w:cs="CESI仿宋-GB2312"/>
          <w:sz w:val="32"/>
          <w:szCs w:val="32"/>
        </w:rPr>
      </w:pPr>
    </w:p>
    <w:p w14:paraId="7A22725D">
      <w:pPr>
        <w:pStyle w:val="6"/>
        <w:rPr>
          <w:rFonts w:hint="eastAsia" w:ascii="CESI仿宋-GB2312" w:hAnsi="CESI仿宋-GB2312" w:eastAsia="CESI仿宋-GB2312" w:cs="CESI仿宋-GB2312"/>
          <w:sz w:val="32"/>
          <w:szCs w:val="32"/>
        </w:rPr>
      </w:pPr>
    </w:p>
    <w:p w14:paraId="0CAF218C">
      <w:pPr>
        <w:pStyle w:val="6"/>
        <w:rPr>
          <w:rFonts w:hint="eastAsia" w:ascii="CESI仿宋-GB2312" w:hAnsi="CESI仿宋-GB2312" w:eastAsia="CESI仿宋-GB2312" w:cs="CESI仿宋-GB2312"/>
          <w:sz w:val="32"/>
          <w:szCs w:val="32"/>
        </w:rPr>
      </w:pPr>
    </w:p>
    <w:p w14:paraId="2FEFDB19">
      <w:pPr>
        <w:pStyle w:val="6"/>
        <w:rPr>
          <w:rFonts w:hint="eastAsia" w:ascii="CESI仿宋-GB2312" w:hAnsi="CESI仿宋-GB2312" w:eastAsia="CESI仿宋-GB2312" w:cs="CESI仿宋-GB2312"/>
          <w:sz w:val="32"/>
          <w:szCs w:val="32"/>
        </w:rPr>
      </w:pPr>
    </w:p>
    <w:p w14:paraId="4A2E4C55">
      <w:pPr>
        <w:pStyle w:val="6"/>
        <w:rPr>
          <w:rFonts w:hint="eastAsia" w:ascii="CESI仿宋-GB2312" w:hAnsi="CESI仿宋-GB2312" w:eastAsia="CESI仿宋-GB2312" w:cs="CESI仿宋-GB2312"/>
          <w:sz w:val="32"/>
          <w:szCs w:val="32"/>
        </w:rPr>
      </w:pPr>
    </w:p>
    <w:p w14:paraId="4C75F88B">
      <w:pPr>
        <w:pStyle w:val="6"/>
        <w:rPr>
          <w:rFonts w:hint="eastAsia" w:ascii="CESI仿宋-GB2312" w:hAnsi="CESI仿宋-GB2312" w:eastAsia="CESI仿宋-GB2312" w:cs="CESI仿宋-GB2312"/>
          <w:sz w:val="32"/>
          <w:szCs w:val="32"/>
        </w:rPr>
      </w:pPr>
    </w:p>
    <w:p w14:paraId="7C0C171E">
      <w:pPr>
        <w:pStyle w:val="6"/>
        <w:rPr>
          <w:rFonts w:hint="eastAsia" w:ascii="CESI仿宋-GB2312" w:hAnsi="CESI仿宋-GB2312" w:eastAsia="CESI仿宋-GB2312" w:cs="CESI仿宋-GB2312"/>
          <w:sz w:val="32"/>
          <w:szCs w:val="32"/>
        </w:rPr>
      </w:pPr>
    </w:p>
    <w:p w14:paraId="1D6BE0D9">
      <w:pPr>
        <w:pStyle w:val="6"/>
        <w:rPr>
          <w:rFonts w:hint="eastAsia" w:ascii="CESI仿宋-GB2312" w:hAnsi="CESI仿宋-GB2312" w:eastAsia="CESI仿宋-GB2312" w:cs="CESI仿宋-GB2312"/>
          <w:sz w:val="32"/>
          <w:szCs w:val="32"/>
        </w:rPr>
      </w:pPr>
    </w:p>
    <w:p w14:paraId="13D65AEE">
      <w:pPr>
        <w:pStyle w:val="6"/>
        <w:rPr>
          <w:rFonts w:hint="eastAsia" w:ascii="CESI仿宋-GB2312" w:hAnsi="CESI仿宋-GB2312" w:eastAsia="CESI仿宋-GB2312" w:cs="CESI仿宋-GB2312"/>
          <w:sz w:val="32"/>
          <w:szCs w:val="32"/>
        </w:rPr>
      </w:pPr>
    </w:p>
    <w:p w14:paraId="5D15D091">
      <w:pPr>
        <w:pStyle w:val="6"/>
        <w:rPr>
          <w:rFonts w:hint="eastAsia" w:ascii="CESI仿宋-GB2312" w:hAnsi="CESI仿宋-GB2312" w:eastAsia="CESI仿宋-GB2312" w:cs="CESI仿宋-GB2312"/>
          <w:sz w:val="32"/>
          <w:szCs w:val="32"/>
        </w:rPr>
      </w:pPr>
    </w:p>
    <w:p w14:paraId="43FE25C3">
      <w:pPr>
        <w:pStyle w:val="6"/>
        <w:rPr>
          <w:rFonts w:hint="eastAsia" w:ascii="CESI仿宋-GB2312" w:hAnsi="CESI仿宋-GB2312" w:eastAsia="CESI仿宋-GB2312" w:cs="CESI仿宋-GB2312"/>
          <w:sz w:val="32"/>
          <w:szCs w:val="32"/>
        </w:rPr>
      </w:pPr>
    </w:p>
    <w:p w14:paraId="723B47FB">
      <w:pPr>
        <w:pStyle w:val="6"/>
        <w:rPr>
          <w:rFonts w:hint="eastAsia" w:ascii="CESI仿宋-GB2312" w:hAnsi="CESI仿宋-GB2312" w:eastAsia="CESI仿宋-GB2312" w:cs="CESI仿宋-GB2312"/>
          <w:sz w:val="32"/>
          <w:szCs w:val="32"/>
        </w:rPr>
      </w:pPr>
    </w:p>
    <w:p w14:paraId="4F4509F8">
      <w:pPr>
        <w:pStyle w:val="6"/>
        <w:rPr>
          <w:rFonts w:hint="eastAsia" w:ascii="CESI仿宋-GB2312" w:hAnsi="CESI仿宋-GB2312" w:eastAsia="CESI仿宋-GB2312" w:cs="CESI仿宋-GB2312"/>
          <w:sz w:val="32"/>
          <w:szCs w:val="32"/>
        </w:rPr>
      </w:pPr>
    </w:p>
    <w:p w14:paraId="43CC2505">
      <w:pPr>
        <w:pStyle w:val="11"/>
        <w:rPr>
          <w:rFonts w:hint="eastAsia"/>
        </w:rPr>
      </w:pPr>
    </w:p>
    <w:p w14:paraId="6018D233">
      <w:pPr>
        <w:widowControl w:val="0"/>
        <w:spacing w:line="560" w:lineRule="exact"/>
      </w:pPr>
    </w:p>
    <w:p w14:paraId="1897BAB1">
      <w:pPr>
        <w:widowControl w:val="0"/>
        <w:spacing w:line="560" w:lineRule="exact"/>
      </w:pPr>
    </w:p>
    <w:p w14:paraId="02BE4EA0">
      <w:pPr>
        <w:widowControl w:val="0"/>
        <w:spacing w:line="560" w:lineRule="exact"/>
      </w:pPr>
    </w:p>
    <w:p w14:paraId="291AD1FC">
      <w:pPr>
        <w:widowControl w:val="0"/>
        <w:spacing w:line="560" w:lineRule="exact"/>
      </w:pPr>
    </w:p>
    <w:p w14:paraId="2300CC73">
      <w:pPr>
        <w:widowControl w:val="0"/>
        <w:spacing w:line="560" w:lineRule="exact"/>
      </w:pPr>
    </w:p>
    <w:p w14:paraId="2AAF87F0">
      <w:pPr>
        <w:widowControl w:val="0"/>
        <w:spacing w:line="560" w:lineRule="exact"/>
      </w:pPr>
    </w:p>
    <w:p w14:paraId="3BA9C3B9">
      <w:pPr>
        <w:widowControl w:val="0"/>
        <w:spacing w:line="560" w:lineRule="exact"/>
      </w:pPr>
    </w:p>
    <w:p w14:paraId="1E554F0A">
      <w:pPr>
        <w:widowControl w:val="0"/>
        <w:spacing w:line="560" w:lineRule="exact"/>
      </w:pPr>
    </w:p>
    <w:p w14:paraId="7DE463C0">
      <w:pPr>
        <w:widowControl w:val="0"/>
        <w:spacing w:line="560" w:lineRule="exact"/>
      </w:pPr>
    </w:p>
    <w:p w14:paraId="7FB8D7AA">
      <w:pPr>
        <w:widowControl w:val="0"/>
        <w:spacing w:line="560" w:lineRule="exact"/>
      </w:pPr>
    </w:p>
    <w:p w14:paraId="496E7D60">
      <w:pPr>
        <w:widowControl w:val="0"/>
        <w:spacing w:line="560" w:lineRule="exact"/>
      </w:pPr>
    </w:p>
    <w:p w14:paraId="52E70FAD">
      <w:pPr>
        <w:widowControl w:val="0"/>
        <w:spacing w:line="560" w:lineRule="exact"/>
      </w:pPr>
    </w:p>
    <w:p w14:paraId="5177AF76">
      <w:pPr>
        <w:widowControl w:val="0"/>
        <w:spacing w:line="560" w:lineRule="exact"/>
      </w:pPr>
    </w:p>
    <w:p w14:paraId="510FE54F">
      <w:pPr>
        <w:widowControl w:val="0"/>
        <w:spacing w:line="560" w:lineRule="exact"/>
      </w:pPr>
    </w:p>
    <w:p w14:paraId="1F36E9D9">
      <w:pPr>
        <w:widowControl w:val="0"/>
        <w:spacing w:line="560" w:lineRule="exact"/>
      </w:pPr>
    </w:p>
    <w:p w14:paraId="64A25057">
      <w:pPr>
        <w:widowControl w:val="0"/>
        <w:spacing w:line="560" w:lineRule="exact"/>
      </w:pPr>
    </w:p>
    <w:p w14:paraId="36163F71">
      <w:pPr>
        <w:widowControl w:val="0"/>
        <w:spacing w:line="560" w:lineRule="exact"/>
      </w:pPr>
    </w:p>
    <w:p w14:paraId="7F8ECA22">
      <w:pPr>
        <w:widowControl w:val="0"/>
        <w:spacing w:line="560" w:lineRule="exact"/>
      </w:pPr>
    </w:p>
    <w:p w14:paraId="5BD11472">
      <w:pPr>
        <w:spacing w:line="500" w:lineRule="exact"/>
        <w:rPr>
          <w:rFonts w:ascii="仿宋" w:hAnsi="仿宋" w:cs="仿宋"/>
          <w:sz w:val="28"/>
          <w:szCs w:val="28"/>
        </w:rPr>
      </w:pPr>
      <w:r>
        <w:rPr>
          <w:rFonts w:ascii="仿宋" w:hAnsi="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25400</wp:posOffset>
                </wp:positionV>
                <wp:extent cx="5715000" cy="0"/>
                <wp:effectExtent l="0" t="5080" r="0" b="4445"/>
                <wp:wrapNone/>
                <wp:docPr id="19" name="直接连接符 19"/>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pt;height:0pt;width:450pt;z-index:251659264;mso-width-relative:page;mso-height-relative:page;" filled="f" stroked="t" coordsize="21600,21600" o:gfxdata="UEsDBAoAAAAAAIdO4kAAAAAAAAAAAAAAAAAEAAAAZHJzL1BLAwQUAAAACACHTuJAG0k9HNQAAAAH&#10;AQAADwAAAGRycy9kb3ducmV2LnhtbE2PzU7EMAyE70i8Q2QkLqvdpAWhqjTdA9AbFxYQV29j2orG&#10;6TbZH3h6DBc42aOxxt9U65Mf1YHmOAS2kK0MKOI2uIE7Cy/PzbIAFROywzEwWfikCOv6/KzC0oUj&#10;P9FhkzolIRxLtNCnNJVax7Ynj3EVJmLx3sPsMYmcO+1mPEq4H3VuzI32OLB86HGiu57aj83eW4jN&#10;K+2ar0W7MG9XXaB8d//4gNZeXmTmFlSiU/o7hh98QYdamLZhzy6q0cIyK6RLsnAtQ/yiyGXZ/mpd&#10;V/o/f/0NUEsDBBQAAAAIAIdO4kCjc2lo8gEAAOgDAAAOAAAAZHJzL2Uyb0RvYy54bWytU72OEzEQ&#10;7pF4B8s92U2kALfK5ooLR4MgEvAAE9ubteQ/eXzZ5CV4ASQ6qCjpeRvuHoOxNxeOo0nBFt6xZ+ab&#10;+T6PF5d7a9hORdTetXw6qTlTTnip3bblHz9cP3vJGSZwEox3quUHhfxy+fTJYgiNmvneG6kiIxCH&#10;zRBa3qcUmqpC0SsLOPFBOXJ2PlpItI3bSkYYCN2aalbXz6vBRxmiFwqRTlejkx8R4zmAvuu0UCsv&#10;bqxyaUSNykAiStjrgHxZuu06JdK7rkOVmGk5MU1lpSJkb/JaLRfQbCOEXotjC3BOC484WdCOip6g&#10;VpCA3UT9D5TVInr0XZoIb6uRSFGEWEzrR9q87yGowoWkxnASHf8frHi7W0emJU3CBWcOLN347ecf&#10;vz59vfv5hdbb798YeUimIWBD0VduHY87DOuYOe+7aPOf2LB9kfZwklbtExN0OH8xndc1qS7ufdWf&#10;xBAxvVbesmy03GiXWUMDuzeYqBiF3ofkY+PY0PKL+WxOcEAj2NHVk2kD0UC3LbnojZbX2picgXG7&#10;uTKR7SCPQfkyJcL9KywXWQH2Y1xxjQPSK5CvnGTpEEgfR++C5xaskpwZRc8oWwQITQJtzomk0sbl&#10;BFWG9Mgzazyqmq2Nl4cidpV3NACl4+Ow5gl7uCf74QN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ST0c1AAAAAcBAAAPAAAAAAAAAAEAIAAAACIAAABkcnMvZG93bnJldi54bWxQSwECFAAUAAAA&#10;CACHTuJAo3NpaPIBAADoAwAADgAAAAAAAAABACAAAAAjAQAAZHJzL2Uyb0RvYy54bWxQSwUGAAAA&#10;AAYABgBZAQAAhwUAAAAA&#10;">
                <v:fill on="f" focussize="0,0"/>
                <v:stroke color="#000000" joinstyle="round"/>
                <v:imagedata o:title=""/>
                <o:lock v:ext="edit" aspectratio="f"/>
              </v:line>
            </w:pict>
          </mc:Fallback>
        </mc:AlternateContent>
      </w:r>
      <w:r>
        <w:rPr>
          <w:rFonts w:ascii="仿宋" w:hAnsi="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692150</wp:posOffset>
                </wp:positionV>
                <wp:extent cx="5715000" cy="0"/>
                <wp:effectExtent l="0" t="5080" r="0" b="4445"/>
                <wp:wrapNone/>
                <wp:docPr id="18" name="直接连接符 1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54.5pt;height:0pt;width:450pt;z-index:251660288;mso-width-relative:page;mso-height-relative:page;" filled="f" stroked="t" coordsize="21600,21600" o:gfxdata="UEsDBAoAAAAAAIdO4kAAAAAAAAAAAAAAAAAEAAAAZHJzL1BLAwQUAAAACACHTuJASlOWltUAAAAL&#10;AQAADwAAAGRycy9kb3ducmV2LnhtbE1Py07DMBC8I/EP1iJxqVo7QUIhxOkByI0LBcR1Gy9JRLxO&#10;Y/cBX88iIcFtZmc0O1OtT35UB5rjENhCtjKgiNvgBu4svDw3ywJUTMgOx8Bk4ZMirOvzswpLF478&#10;RIdN6pSEcCzRQp/SVGod2548xlWYiEV7D7PHJHTutJvxKOF+1Lkx19rjwPKhx4nuemo/NntvITav&#10;tGu+Fu3CvF11gfLd/eMDWnt5kZlbUIlO6c8MP/WlOtTSaRv27KIaLSyzQrYkEcyNAHEURS5g+3vR&#10;daX/b6i/AVBLAwQUAAAACACHTuJA6CY04fEBAADoAwAADgAAAGRycy9lMm9Eb2MueG1srVNLjhMx&#10;EN0jcQfLe9KdSOHTSmcWE4YNgkjAASq2O23JP7k86eQSXACJHaxYsuc2DMeg7M6E+WyyoBfusqvq&#10;Vb3n8uJibw3bqYjau5ZPJzVnygkvtdu2/NPHq2cvOcMEToLxTrX8oJBfLJ8+WQyhUTPfeyNVZATi&#10;sBlCy/uUQlNVKHplASc+KEfOzkcLibZxW8kIA6FbU83q+nk1+ChD9EIh0ulqdPIjYjwH0HedFmrl&#10;xbVVLo2oURlIRAl7HZAvS7ddp0R633WoEjMtJ6aprFSE7E1eq+UCmm2E0GtxbAHOaeEBJwvaUdET&#10;1AoSsOuoH0FZLaJH36WJ8LYaiRRFiMW0fqDNhx6CKlxIagwn0fH/wYp3u3VkWtIk0L07sHTjN19+&#10;/v787c+vr7Te/PjOyEMyDQEbir5063jcYVjHzHnfRZv/xIbti7SHk7Rqn5igw/mL6byuSXVx66v+&#10;JYaI6Y3ylmWj5Ua7zBoa2L3FRMUo9DYkHxvHhpa/ms/mBAc0gh1dPZk2EA1025KL3mh5pY3JGRi3&#10;m0sT2Q7yGJQvUyLce2G5yAqwH+OKaxyQXoF87SRLh0D6OHoXPLdgleTMKHpG2SJAaBJoc04klTYu&#10;J6gypEeeWeNR1WxtvDwUsau8owEoHR+HNU/Y3T3Zdx/o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U5aW1QAAAAsBAAAPAAAAAAAAAAEAIAAAACIAAABkcnMvZG93bnJldi54bWxQSwECFAAUAAAA&#10;CACHTuJA6CY04fEBAADoAwAADgAAAAAAAAABACAAAAAkAQAAZHJzL2Uyb0RvYy54bWxQSwUGAAAA&#10;AAYABgBZAQAAhwUAAAAA&#10;">
                <v:fill on="f" focussize="0,0"/>
                <v:stroke color="#000000" joinstyle="round"/>
                <v:imagedata o:title=""/>
                <o:lock v:ext="edit" aspectratio="f"/>
              </v:line>
            </w:pict>
          </mc:Fallback>
        </mc:AlternateContent>
      </w:r>
      <w:r>
        <w:rPr>
          <w:rFonts w:hint="eastAsia" w:ascii="仿宋" w:hAnsi="仿宋" w:cs="仿宋"/>
          <w:sz w:val="28"/>
          <w:szCs w:val="28"/>
        </w:rPr>
        <w:t>抄送</w:t>
      </w:r>
      <w:r>
        <w:rPr>
          <w:rFonts w:hint="eastAsia" w:ascii="楷体_GB2312" w:hAnsi="楷体_GB2312" w:eastAsia="楷体_GB2312" w:cs="楷体_GB2312"/>
          <w:sz w:val="28"/>
          <w:szCs w:val="28"/>
        </w:rPr>
        <w:t>：</w:t>
      </w:r>
      <w:r>
        <w:rPr>
          <w:rFonts w:hint="eastAsia" w:ascii="仿宋" w:hAnsi="仿宋" w:cs="仿宋"/>
          <w:sz w:val="28"/>
          <w:szCs w:val="28"/>
        </w:rPr>
        <w:t>区委各部门，区人大、区政协、区纪委监委、区人武部办公室</w:t>
      </w:r>
      <w:r>
        <w:rPr>
          <w:rFonts w:hint="eastAsia" w:ascii="仿宋" w:hAnsi="仿宋" w:eastAsia="宋体" w:cs="仿宋"/>
          <w:sz w:val="28"/>
          <w:szCs w:val="28"/>
          <w:lang w:eastAsia="zh-CN"/>
        </w:rPr>
        <w:t>，</w:t>
      </w:r>
      <w:r>
        <w:rPr>
          <w:rFonts w:hint="eastAsia" w:ascii="仿宋" w:hAnsi="仿宋" w:cs="仿宋"/>
          <w:sz w:val="28"/>
          <w:szCs w:val="28"/>
        </w:rPr>
        <w:t>区法院，区检察院。</w:t>
      </w:r>
    </w:p>
    <w:p w14:paraId="45C5C2DB">
      <w:pPr>
        <w:spacing w:line="520" w:lineRule="exact"/>
        <w:rPr>
          <w:rFonts w:ascii="仿宋" w:hAnsi="仿宋" w:cs="仿宋"/>
          <w:b/>
          <w:bCs/>
          <w:kern w:val="0"/>
          <w:szCs w:val="32"/>
        </w:rPr>
      </w:pPr>
      <w:r>
        <w:rPr>
          <w:rFonts w:ascii="仿宋" w:hAnsi="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328930</wp:posOffset>
                </wp:positionV>
                <wp:extent cx="5715000" cy="0"/>
                <wp:effectExtent l="0" t="5080" r="0" b="4445"/>
                <wp:wrapNone/>
                <wp:docPr id="17" name="直接连接符 1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5.9pt;height:0pt;width:450pt;z-index:251661312;mso-width-relative:page;mso-height-relative:page;" filled="f" stroked="t" coordsize="21600,21600" o:gfxdata="UEsDBAoAAAAAAIdO4kAAAAAAAAAAAAAAAAAEAAAAZHJzL1BLAwQUAAAACACHTuJAr6SvsNUAAAAJ&#10;AQAADwAAAGRycy9kb3ducmV2LnhtbE2PvU7EMBCEeyTewVokmtOdnSBQFOJcAaSj4QDR7sVLEhGv&#10;c7HvB56eRRRQ7uxoZr5qffKjOtAch8AWspUBRdwGN3Bn4eW5WRagYkJ2OAYmC58UYV2fn1VYunDk&#10;JzpsUqckhGOJFvqUplLr2PbkMa7CRCy/9zB7THLOnXYzHiXcjzo35kZ7HFgaepzorqf2Y7P3FmLz&#10;Srvma9EuzNtVFyjf3T8+oLWXF5m5BZXolP7M8DNfpkMtm7Zhzy6q0cIyK4QlWbjOBEEMRZGLsP0V&#10;dF3p/wT1N1BLAwQUAAAACACHTuJART+IePIBAADoAwAADgAAAGRycy9lMm9Eb2MueG1srVO9jhMx&#10;EO6ReAfLPdlNpHCwyuaKC0eDIBLwABPbm7XkP3l82eQleAEkOqgo6Xkb7h6DsTcXjqNJwRbesWfm&#10;m/k+jxeXe2vYTkXU3rV8Oqk5U054qd225R8/XD97wRkmcBKMd6rlB4X8cvn0yWIIjZr53hupIiMQ&#10;h80QWt6nFJqqQtErCzjxQTlydj5aSLSN20pGGAjdmmpW18+rwUcZohcKkU5Xo5MfEeM5gL7rtFAr&#10;L26scmlEjcpAIkrY64B8WbrtOiXSu65DlZhpOTFNZaUiZG/yWi0X0GwjhF6LYwtwTguPOFnQjoqe&#10;oFaQgN1E/Q+U1SJ69F2aCG+rkUhRhFhM60favO8hqMKFpMZwEh3/H6x4u1tHpiVNwgVnDizd+O3n&#10;H78+fb37+YXW2+/fGHlIpiFgQ9FXbh2POwzrmDnvu2jzn9iwfZH2cJJW7RMTdDi/mM7rmlQX977q&#10;T2KImF4rb1k2Wm60y6yhgd0bTFSMQu9D8rFxbGj5y/lsTnBAI9jR1ZNpA9FAty256I2W19qYnIFx&#10;u7kyke0gj0H5MiXC/SssF1kB9mNccY0D0iuQr5xk6RBIH0fvgucWrJKcGUXPKFsECE0Cbc6JpNLG&#10;5QRVhvTIM2s8qpqtjZeHInaVdzQApePjsOYJe7gn++ED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6SvsNUAAAAJAQAADwAAAAAAAAABACAAAAAiAAAAZHJzL2Rvd25yZXYueG1sUEsBAhQAFAAA&#10;AAgAh07iQEU/iHjyAQAA6AMAAA4AAAAAAAAAAQAgAAAAJAEAAGRycy9lMm9Eb2MueG1sUEsFBgAA&#10;AAAGAAYAWQEAAIgFAAAAAA==&#10;">
                <v:fill on="f" focussize="0,0"/>
                <v:stroke color="#000000" joinstyle="round"/>
                <v:imagedata o:title=""/>
                <o:lock v:ext="edit" aspectratio="f"/>
              </v:line>
            </w:pict>
          </mc:Fallback>
        </mc:AlternateContent>
      </w:r>
      <w:r>
        <w:rPr>
          <w:rFonts w:hint="eastAsia" w:ascii="仿宋" w:hAnsi="仿宋" w:cs="仿宋"/>
          <w:sz w:val="28"/>
          <w:szCs w:val="28"/>
        </w:rPr>
        <w:t xml:space="preserve">临淄区人民政府办公室                  </w:t>
      </w:r>
      <w:r>
        <w:rPr>
          <w:rFonts w:hint="eastAsia" w:ascii="仿宋" w:hAnsi="仿宋" w:eastAsia="宋体" w:cs="仿宋"/>
          <w:sz w:val="28"/>
          <w:szCs w:val="28"/>
          <w:lang w:val="en-US" w:eastAsia="zh-CN"/>
        </w:rPr>
        <w:t xml:space="preserve">      </w:t>
      </w:r>
      <w:bookmarkStart w:id="0" w:name="_GoBack"/>
      <w:bookmarkEnd w:id="0"/>
      <w:r>
        <w:rPr>
          <w:rFonts w:hint="eastAsia" w:ascii="仿宋" w:hAnsi="仿宋" w:cs="仿宋"/>
          <w:sz w:val="28"/>
          <w:szCs w:val="28"/>
        </w:rPr>
        <w:t>20</w:t>
      </w:r>
      <w:r>
        <w:rPr>
          <w:rFonts w:ascii="仿宋" w:hAnsi="仿宋" w:cs="仿宋"/>
          <w:sz w:val="28"/>
          <w:szCs w:val="28"/>
        </w:rPr>
        <w:t>2</w:t>
      </w:r>
      <w:r>
        <w:rPr>
          <w:rFonts w:hint="eastAsia" w:ascii="仿宋" w:hAnsi="仿宋" w:cs="仿宋"/>
          <w:sz w:val="28"/>
          <w:szCs w:val="28"/>
        </w:rPr>
        <w:t>5年</w:t>
      </w:r>
      <w:r>
        <w:rPr>
          <w:rFonts w:hint="eastAsia" w:ascii="仿宋" w:hAnsi="仿宋" w:eastAsia="宋体" w:cs="仿宋"/>
          <w:sz w:val="28"/>
          <w:szCs w:val="28"/>
          <w:lang w:val="en-US" w:eastAsia="zh-CN"/>
        </w:rPr>
        <w:t>4</w:t>
      </w:r>
      <w:r>
        <w:rPr>
          <w:rFonts w:hint="eastAsia" w:ascii="仿宋" w:hAnsi="仿宋" w:cs="仿宋"/>
          <w:sz w:val="28"/>
          <w:szCs w:val="28"/>
        </w:rPr>
        <w:t>月</w:t>
      </w:r>
      <w:r>
        <w:rPr>
          <w:rFonts w:hint="eastAsia" w:ascii="仿宋" w:hAnsi="仿宋" w:eastAsia="宋体" w:cs="仿宋"/>
          <w:sz w:val="28"/>
          <w:szCs w:val="28"/>
          <w:lang w:val="en-US" w:eastAsia="zh-CN"/>
        </w:rPr>
        <w:t>3</w:t>
      </w:r>
      <w:r>
        <w:rPr>
          <w:rFonts w:hint="eastAsia" w:ascii="仿宋" w:hAnsi="仿宋" w:cs="仿宋"/>
          <w:sz w:val="28"/>
          <w:szCs w:val="28"/>
        </w:rPr>
        <w:t>日印发</w:t>
      </w:r>
    </w:p>
    <w:p w14:paraId="66060FD7">
      <w:pPr>
        <w:pStyle w:val="6"/>
        <w:rPr>
          <w:rFonts w:hint="eastAsia" w:ascii="CESI仿宋-GB2312" w:hAnsi="CESI仿宋-GB2312" w:eastAsia="CESI仿宋-GB2312" w:cs="CESI仿宋-GB2312"/>
          <w:sz w:val="32"/>
          <w:szCs w:val="32"/>
        </w:rPr>
      </w:pPr>
    </w:p>
    <w:sectPr>
      <w:footerReference r:id="rId6" w:type="default"/>
      <w:pgSz w:w="11905" w:h="16836"/>
      <w:pgMar w:top="2098" w:right="1474" w:bottom="1984" w:left="1587" w:header="0" w:footer="15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C366D">
    <w:pPr>
      <w:pStyle w:val="2"/>
      <w:spacing w:line="312" w:lineRule="exact"/>
      <w:ind w:left="7668"/>
      <w:rPr>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7508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17508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89B68">
    <w:pPr>
      <w:pStyle w:val="2"/>
      <w:spacing w:line="308" w:lineRule="exact"/>
      <w:ind w:left="243"/>
      <w:rPr>
        <w:sz w:val="26"/>
        <w:szCs w:val="26"/>
      </w:rPr>
    </w:pPr>
    <w:r>
      <w:rPr>
        <w:sz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2D7D7">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02D7D7">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763B2"/>
    <w:multiLevelType w:val="singleLevel"/>
    <w:tmpl w:val="BF5763B2"/>
    <w:lvl w:ilvl="0" w:tentative="0">
      <w:start w:val="5"/>
      <w:numFmt w:val="chineseCounting"/>
      <w:suff w:val="space"/>
      <w:lvlText w:val="第%1章"/>
      <w:lvlJc w:val="left"/>
      <w:rPr>
        <w:rFonts w:hint="eastAsia"/>
      </w:rPr>
    </w:lvl>
  </w:abstractNum>
  <w:abstractNum w:abstractNumId="1">
    <w:nsid w:val="FBFF7147"/>
    <w:multiLevelType w:val="singleLevel"/>
    <w:tmpl w:val="FBFF7147"/>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1EFEA341"/>
    <w:rsid w:val="20955F43"/>
    <w:rsid w:val="27B92AB7"/>
    <w:rsid w:val="30AE6631"/>
    <w:rsid w:val="38AF73EA"/>
    <w:rsid w:val="3BFFEF02"/>
    <w:rsid w:val="3CFA6632"/>
    <w:rsid w:val="3F6547D2"/>
    <w:rsid w:val="3F6FA95C"/>
    <w:rsid w:val="3FDDB299"/>
    <w:rsid w:val="4CB123A8"/>
    <w:rsid w:val="5253210D"/>
    <w:rsid w:val="5ED3870E"/>
    <w:rsid w:val="5EFA7CCD"/>
    <w:rsid w:val="60E90E3C"/>
    <w:rsid w:val="6C57578B"/>
    <w:rsid w:val="72C324F2"/>
    <w:rsid w:val="76FD0D45"/>
    <w:rsid w:val="771D899D"/>
    <w:rsid w:val="775F8DB9"/>
    <w:rsid w:val="77FF8DDC"/>
    <w:rsid w:val="7A6F205A"/>
    <w:rsid w:val="7DFF2B56"/>
    <w:rsid w:val="AFF02C99"/>
    <w:rsid w:val="BA7B23C6"/>
    <w:rsid w:val="BE7DC768"/>
    <w:rsid w:val="D5FF206B"/>
    <w:rsid w:val="D6FD3599"/>
    <w:rsid w:val="DDEF79EC"/>
    <w:rsid w:val="E9771117"/>
    <w:rsid w:val="EFDB790B"/>
    <w:rsid w:val="F16020AE"/>
    <w:rsid w:val="F5F79DD4"/>
    <w:rsid w:val="F77FF306"/>
    <w:rsid w:val="F9D9CC91"/>
    <w:rsid w:val="F9E27884"/>
    <w:rsid w:val="FCFE4DD6"/>
    <w:rsid w:val="FDBF63C0"/>
    <w:rsid w:val="FDFF9B8C"/>
    <w:rsid w:val="FEB63D14"/>
    <w:rsid w:val="FFEEF2B8"/>
    <w:rsid w:val="FFFCA4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微软雅黑" w:hAnsi="微软雅黑" w:eastAsia="微软雅黑" w:cs="微软雅黑"/>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qFormat/>
    <w:uiPriority w:val="0"/>
    <w:pPr>
      <w:ind w:firstLine="420" w:firstLineChars="1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华文楷体" w:hAnsi="华文楷体" w:eastAsia="华文楷体" w:cs="华文楷体"/>
      <w:sz w:val="28"/>
      <w:szCs w:val="28"/>
      <w:lang w:val="en-US" w:eastAsia="en-US" w:bidi="ar-SA"/>
    </w:rPr>
  </w:style>
  <w:style w:type="paragraph" w:customStyle="1" w:styleId="11">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8959</Words>
  <Characters>8981</Characters>
  <TotalTime>3</TotalTime>
  <ScaleCrop>false</ScaleCrop>
  <LinksUpToDate>false</LinksUpToDate>
  <CharactersWithSpaces>9043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2025-03-29T19:35:00Z</dcterms:created>
  <dc:creator>administrator</dc:creator>
  <cp:lastModifiedBy>糖芯</cp:lastModifiedBy>
  <dcterms:modified xsi:type="dcterms:W3CDTF">2025-12-09T01:54:20Z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2025-03-24T11:15:40Z</vt:filetime>
  </property>
  <property fmtid="{D5CDD505-2E9C-101B-9397-08002B2CF9AE}" pid="4" name="KSOProductBuildVer">
    <vt:lpwstr>2052-12.1.0.22529</vt:lpwstr>
  </property>
  <property fmtid="{D5CDD505-2E9C-101B-9397-08002B2CF9AE}" pid="5" name="KSOTemplateDocerSaveRecord">
    <vt:lpwstr>eyJoZGlkIjoiZjQ5YmNjNGRiYmMyM2VhZTljMjQ3YTY0Nzk4MjJmOTMiLCJ1c2VySWQiOiI1MTg0NDc3MzkifQ==</vt:lpwstr>
  </property>
  <property fmtid="{D5CDD505-2E9C-101B-9397-08002B2CF9AE}" pid="6" name="ICV">
    <vt:lpwstr>8485EBA9ABD84101859E05B0478EF377_12</vt:lpwstr>
  </property>
</Properties>
</file>