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9C46B">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5DA846F4">
                            <w:pPr>
                              <w:pStyle w:val="5"/>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5DA846F4">
                      <w:pPr>
                        <w:pStyle w:val="5"/>
                        <w:spacing w:before="0" w:beforeAutospacing="0" w:after="0" w:afterAutospacing="0"/>
                        <w:jc w:val="both"/>
                      </w:pPr>
                    </w:p>
                  </w:txbxContent>
                </v:textbox>
                <w10:anchorlock/>
              </v:shape>
            </w:pict>
          </mc:Fallback>
        </mc:AlternateContent>
      </w:r>
    </w:p>
    <w:p w14:paraId="7F85C33E">
      <w:pPr>
        <w:rPr>
          <w:rFonts w:ascii="华文中宋" w:hAnsi="华文中宋" w:eastAsia="华文中宋"/>
          <w:b/>
          <w:sz w:val="36"/>
          <w:szCs w:val="36"/>
        </w:rPr>
      </w:pPr>
    </w:p>
    <w:p w14:paraId="141D8EE4">
      <w:pPr>
        <w:rPr>
          <w:rFonts w:ascii="华文中宋" w:hAnsi="华文中宋" w:eastAsia="华文中宋"/>
          <w:b/>
          <w:sz w:val="36"/>
          <w:szCs w:val="36"/>
        </w:rPr>
      </w:pPr>
    </w:p>
    <w:p w14:paraId="6D24516C">
      <w:pPr>
        <w:rPr>
          <w:rFonts w:ascii="华文中宋" w:hAnsi="华文中宋" w:eastAsia="华文中宋"/>
          <w:b/>
          <w:sz w:val="36"/>
          <w:szCs w:val="36"/>
        </w:rPr>
      </w:pPr>
    </w:p>
    <w:p w14:paraId="0E991180">
      <w:pPr>
        <w:rPr>
          <w:rFonts w:ascii="仿宋_GB2312" w:eastAsia="仿宋_GB2312"/>
          <w:sz w:val="32"/>
          <w:szCs w:val="32"/>
        </w:rPr>
      </w:pPr>
      <w:bookmarkStart w:id="0" w:name="_GoBack"/>
      <w:bookmarkEnd w:id="0"/>
    </w:p>
    <w:p w14:paraId="11A3EB4E">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152</w:t>
      </w:r>
      <w:r>
        <w:rPr>
          <w:rFonts w:hint="eastAsia" w:ascii="仿宋" w:hAnsi="仿宋" w:eastAsia="仿宋" w:cs="仿宋"/>
          <w:sz w:val="32"/>
          <w:szCs w:val="32"/>
        </w:rPr>
        <w:t>号</w:t>
      </w:r>
      <w:r>
        <w:rPr>
          <w:rFonts w:hint="eastAsia" w:ascii="仿宋" w:hAnsi="仿宋" w:eastAsia="仿宋" w:cs="仿宋"/>
          <w:b/>
          <w:sz w:val="36"/>
          <w:szCs w:val="36"/>
        </w:rPr>
        <w:t xml:space="preserve">            </w:t>
      </w:r>
    </w:p>
    <w:p w14:paraId="2FF804DD">
      <w:pPr>
        <w:rPr>
          <w:rFonts w:ascii="仿宋_GB2312" w:eastAsia="仿宋_GB2312"/>
          <w:sz w:val="32"/>
          <w:szCs w:val="32"/>
        </w:rPr>
      </w:pPr>
    </w:p>
    <w:p w14:paraId="24522FBD">
      <w:pPr>
        <w:spacing w:line="520" w:lineRule="exact"/>
        <w:jc w:val="center"/>
        <w:rPr>
          <w:rFonts w:ascii="仿宋" w:hAnsi="仿宋" w:eastAsia="仿宋"/>
          <w:sz w:val="32"/>
          <w:szCs w:val="32"/>
        </w:rPr>
      </w:pPr>
      <w:r>
        <w:rPr>
          <w:rFonts w:hint="eastAsia" w:ascii="仿宋" w:hAnsi="仿宋" w:eastAsia="仿宋"/>
          <w:sz w:val="32"/>
          <w:szCs w:val="32"/>
        </w:rPr>
        <w:t xml:space="preserve">       </w:t>
      </w:r>
    </w:p>
    <w:p w14:paraId="16B58A4D">
      <w:pPr>
        <w:spacing w:line="600" w:lineRule="exact"/>
        <w:jc w:val="center"/>
        <w:rPr>
          <w:rFonts w:ascii="方正小标宋简体" w:hAnsi="方正小标宋简体" w:eastAsia="方正小标宋简体" w:cs="方正小标宋简体"/>
          <w:sz w:val="44"/>
          <w:szCs w:val="44"/>
        </w:rPr>
      </w:pPr>
      <w:r>
        <w:rPr>
          <w:rFonts w:hint="eastAsia" w:ascii="仿宋" w:hAnsi="仿宋" w:eastAsia="仿宋"/>
          <w:sz w:val="32"/>
          <w:szCs w:val="32"/>
        </w:rPr>
        <w:t xml:space="preserve"> </w:t>
      </w:r>
      <w:r>
        <w:rPr>
          <w:rFonts w:hint="eastAsia" w:ascii="方正小标宋简体" w:hAnsi="方正小标宋简体" w:eastAsia="方正小标宋简体" w:cs="方正小标宋简体"/>
          <w:sz w:val="44"/>
          <w:szCs w:val="44"/>
        </w:rPr>
        <w:t>临淄区人民政府</w:t>
      </w:r>
    </w:p>
    <w:p w14:paraId="295A2AE4">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关于公布2019年度中国石油化工股份有限公司齐鲁分公司、中国石化集团资产经营管理有限公司齐鲁石化分公司“亩产效益”评价结果的通知</w:t>
      </w:r>
    </w:p>
    <w:p w14:paraId="70E77FE2">
      <w:pPr>
        <w:spacing w:line="600" w:lineRule="exact"/>
        <w:jc w:val="center"/>
        <w:rPr>
          <w:rFonts w:eastAsia="华文中宋"/>
          <w:sz w:val="32"/>
          <w:szCs w:val="32"/>
        </w:rPr>
      </w:pPr>
    </w:p>
    <w:p w14:paraId="6398333A">
      <w:pPr>
        <w:spacing w:line="560" w:lineRule="exact"/>
        <w:jc w:val="left"/>
        <w:rPr>
          <w:rFonts w:ascii="仿宋" w:hAnsi="仿宋" w:eastAsia="仿宋" w:cs="仿宋"/>
          <w:sz w:val="32"/>
          <w:szCs w:val="32"/>
        </w:rPr>
      </w:pPr>
      <w:r>
        <w:rPr>
          <w:rFonts w:hint="eastAsia" w:ascii="仿宋" w:hAnsi="仿宋" w:eastAsia="仿宋" w:cs="仿宋"/>
          <w:sz w:val="32"/>
          <w:szCs w:val="32"/>
        </w:rPr>
        <w:t>各镇人民政府、街道办事处，各开发区管委会，区政府有关部门，各有关企业：</w:t>
      </w:r>
    </w:p>
    <w:p w14:paraId="35CE2F1A">
      <w:pPr>
        <w:ind w:firstLine="640" w:firstLineChars="200"/>
        <w:rPr>
          <w:rFonts w:ascii="仿宋" w:hAnsi="仿宋" w:eastAsia="仿宋" w:cs="仿宋_GB2312"/>
          <w:sz w:val="32"/>
          <w:szCs w:val="32"/>
        </w:rPr>
      </w:pPr>
      <w:r>
        <w:rPr>
          <w:rFonts w:hint="eastAsia" w:ascii="仿宋" w:hAnsi="仿宋" w:eastAsia="仿宋" w:cs="仿宋_GB2312"/>
          <w:sz w:val="32"/>
          <w:szCs w:val="32"/>
        </w:rPr>
        <w:t>为贯彻落实《山东省人民政府关于开展“亩产效益”评价改革工作的指导意见》（鲁政字〔2019〕235号），加快建立以质量和效益为导向的工业企业分类综合评价体系，促进全区工业新旧动能转换和高质量发展，根据《临淄区人民政府关于印发&lt;临淄区工业企业“亩产效益”评价改革实施方案 (试行）&gt;的通知》</w:t>
      </w:r>
      <w:r>
        <w:rPr>
          <w:rFonts w:hint="eastAsia" w:ascii="仿宋" w:hAnsi="仿宋" w:eastAsia="仿宋" w:cs="仿宋"/>
          <w:sz w:val="32"/>
          <w:szCs w:val="32"/>
        </w:rPr>
        <w:t>（临政字〔2020〕13号），按照省市将驻地央企纳入评价改革的要求，临淄区工业企业“亩产效益”评价改革工作领导小组办公室根据中国石油化工股份有限公司齐鲁分公司、中国石化集团资产经营管理有限公司齐鲁石化分公司提报的相关数据，进行补充综合评分评级。按照</w:t>
      </w:r>
      <w:r>
        <w:rPr>
          <w:rFonts w:hint="eastAsia" w:ascii="仿宋" w:hAnsi="仿宋" w:eastAsia="仿宋" w:cs="仿宋_GB2312"/>
          <w:sz w:val="32"/>
          <w:szCs w:val="32"/>
        </w:rPr>
        <w:t>《临淄区工业企业“亩产效益”评价改革实施方案 (试行）》的要求，对“一地多企”进行合并评价。</w:t>
      </w:r>
    </w:p>
    <w:p w14:paraId="7D2C5B51">
      <w:pPr>
        <w:ind w:firstLine="640" w:firstLineChars="200"/>
        <w:rPr>
          <w:rFonts w:ascii="仿宋" w:hAnsi="仿宋" w:eastAsia="仿宋" w:cs="仿宋"/>
          <w:sz w:val="32"/>
          <w:szCs w:val="32"/>
        </w:rPr>
      </w:pPr>
      <w:r>
        <w:rPr>
          <w:rFonts w:hint="eastAsia" w:ascii="仿宋" w:hAnsi="仿宋" w:eastAsia="仿宋" w:cs="仿宋_GB2312"/>
          <w:sz w:val="32"/>
          <w:szCs w:val="32"/>
        </w:rPr>
        <w:t>经综合评价：</w:t>
      </w:r>
      <w:r>
        <w:rPr>
          <w:rFonts w:hint="eastAsia" w:ascii="仿宋" w:hAnsi="仿宋" w:eastAsia="仿宋" w:cs="仿宋"/>
          <w:sz w:val="32"/>
          <w:szCs w:val="32"/>
        </w:rPr>
        <w:t>中国石油化工股份有限公司齐鲁分公司（中国石化集团资产经营管理有限公司齐鲁石化分公司）评价结果为A类。</w:t>
      </w:r>
    </w:p>
    <w:p w14:paraId="08AFB2DE">
      <w:pPr>
        <w:pStyle w:val="2"/>
        <w:rPr>
          <w:rFonts w:ascii="仿宋" w:hAnsi="仿宋" w:eastAsia="仿宋" w:cs="仿宋"/>
          <w:sz w:val="32"/>
          <w:szCs w:val="32"/>
        </w:rPr>
      </w:pPr>
    </w:p>
    <w:p w14:paraId="23CD96A3">
      <w:pPr>
        <w:rPr>
          <w:rFonts w:ascii="仿宋" w:hAnsi="仿宋" w:eastAsia="仿宋" w:cs="仿宋"/>
          <w:sz w:val="32"/>
          <w:szCs w:val="32"/>
        </w:rPr>
      </w:pPr>
    </w:p>
    <w:p w14:paraId="2EC16155">
      <w:pPr>
        <w:pStyle w:val="2"/>
        <w:rPr>
          <w:rFonts w:ascii="仿宋" w:hAnsi="仿宋" w:eastAsia="仿宋" w:cs="仿宋"/>
          <w:sz w:val="32"/>
          <w:szCs w:val="32"/>
        </w:rPr>
      </w:pPr>
    </w:p>
    <w:p w14:paraId="2E42DBAF">
      <w:pPr>
        <w:spacing w:line="560" w:lineRule="exact"/>
        <w:jc w:val="center"/>
        <w:rPr>
          <w:rFonts w:ascii="仿宋" w:hAnsi="仿宋" w:eastAsia="仿宋" w:cs="仿宋_GB2312"/>
          <w:sz w:val="32"/>
          <w:szCs w:val="32"/>
        </w:rPr>
      </w:pPr>
      <w:r>
        <w:rPr>
          <w:rFonts w:hint="eastAsia" w:ascii="仿宋" w:hAnsi="仿宋" w:eastAsia="仿宋" w:cs="仿宋_GB2312"/>
          <w:sz w:val="32"/>
          <w:szCs w:val="32"/>
        </w:rPr>
        <w:t xml:space="preserve">                             临淄区人民政府</w:t>
      </w:r>
    </w:p>
    <w:p w14:paraId="5BEBC1D0">
      <w:pPr>
        <w:spacing w:line="560" w:lineRule="exact"/>
        <w:ind w:firstLine="640" w:firstLineChars="200"/>
        <w:jc w:val="center"/>
        <w:rPr>
          <w:rFonts w:eastAsia="仿宋"/>
        </w:rPr>
      </w:pPr>
      <w:r>
        <w:rPr>
          <w:rFonts w:hint="eastAsia" w:ascii="仿宋" w:hAnsi="仿宋" w:eastAsia="仿宋" w:cs="仿宋"/>
          <w:sz w:val="32"/>
          <w:szCs w:val="32"/>
        </w:rPr>
        <w:t xml:space="preserve">                          2020年1</w:t>
      </w:r>
      <w:r>
        <w:rPr>
          <w:rFonts w:ascii="仿宋" w:hAnsi="仿宋" w:eastAsia="仿宋" w:cs="仿宋"/>
          <w:sz w:val="32"/>
          <w:szCs w:val="32"/>
        </w:rPr>
        <w:t>1</w:t>
      </w:r>
      <w:r>
        <w:rPr>
          <w:rFonts w:hint="eastAsia" w:ascii="仿宋" w:hAnsi="仿宋" w:eastAsia="仿宋" w:cs="仿宋"/>
          <w:sz w:val="32"/>
          <w:szCs w:val="32"/>
        </w:rPr>
        <w:t>月</w:t>
      </w:r>
      <w:r>
        <w:rPr>
          <w:rFonts w:ascii="仿宋" w:hAnsi="仿宋" w:eastAsia="仿宋" w:cs="仿宋"/>
          <w:sz w:val="32"/>
          <w:szCs w:val="32"/>
        </w:rPr>
        <w:t>4</w:t>
      </w:r>
      <w:r>
        <w:rPr>
          <w:rFonts w:hint="eastAsia" w:ascii="仿宋" w:hAnsi="仿宋" w:eastAsia="仿宋" w:cs="仿宋"/>
          <w:sz w:val="32"/>
          <w:szCs w:val="32"/>
        </w:rPr>
        <w:t>日</w:t>
      </w:r>
    </w:p>
    <w:p w14:paraId="2D5577E4">
      <w:pPr>
        <w:rPr>
          <w:rFonts w:ascii="仿宋" w:hAnsi="仿宋" w:eastAsia="仿宋" w:cs="仿宋"/>
          <w:sz w:val="32"/>
          <w:szCs w:val="32"/>
        </w:rPr>
      </w:pPr>
      <w:r>
        <w:rPr>
          <w:rFonts w:hint="eastAsia" w:ascii="仿宋" w:hAnsi="仿宋" w:eastAsia="仿宋" w:cs="仿宋"/>
          <w:sz w:val="32"/>
          <w:szCs w:val="32"/>
        </w:rPr>
        <w:t>（此件公开发布）</w:t>
      </w:r>
    </w:p>
    <w:p w14:paraId="6A8418DC">
      <w:pPr>
        <w:spacing w:line="600" w:lineRule="exact"/>
        <w:rPr>
          <w:rFonts w:ascii="仿宋" w:hAnsi="仿宋" w:eastAsia="仿宋"/>
          <w:sz w:val="32"/>
          <w:szCs w:val="32"/>
        </w:rPr>
      </w:pPr>
    </w:p>
    <w:p w14:paraId="4F42DABF">
      <w:pPr>
        <w:jc w:val="center"/>
        <w:rPr>
          <w:rFonts w:ascii="方正大标宋简体" w:hAnsi="华文中宋" w:eastAsia="方正大标宋简体"/>
          <w:sz w:val="44"/>
          <w:szCs w:val="44"/>
        </w:rPr>
      </w:pPr>
    </w:p>
    <w:p w14:paraId="2693A65A">
      <w:pPr>
        <w:jc w:val="center"/>
        <w:rPr>
          <w:rFonts w:ascii="方正大标宋简体" w:hAnsi="华文中宋" w:eastAsia="方正大标宋简体"/>
          <w:sz w:val="44"/>
          <w:szCs w:val="44"/>
        </w:rPr>
      </w:pPr>
    </w:p>
    <w:p w14:paraId="0BFFFBC4">
      <w:pPr>
        <w:jc w:val="center"/>
        <w:rPr>
          <w:rFonts w:ascii="方正大标宋简体" w:hAnsi="华文中宋" w:eastAsia="方正大标宋简体"/>
          <w:sz w:val="44"/>
          <w:szCs w:val="44"/>
        </w:rPr>
      </w:pPr>
    </w:p>
    <w:p w14:paraId="39ED75D0">
      <w:pPr>
        <w:jc w:val="center"/>
        <w:rPr>
          <w:rFonts w:ascii="方正大标宋简体" w:hAnsi="华文中宋" w:eastAsia="方正大标宋简体"/>
          <w:sz w:val="44"/>
          <w:szCs w:val="44"/>
        </w:rPr>
      </w:pPr>
    </w:p>
    <w:p w14:paraId="50AE2983">
      <w:pPr>
        <w:jc w:val="center"/>
        <w:rPr>
          <w:rFonts w:ascii="方正大标宋简体" w:hAnsi="华文中宋" w:eastAsia="方正大标宋简体"/>
          <w:sz w:val="44"/>
          <w:szCs w:val="44"/>
        </w:rPr>
      </w:pPr>
    </w:p>
    <w:p w14:paraId="4E995833">
      <w:pPr>
        <w:jc w:val="center"/>
        <w:rPr>
          <w:rFonts w:ascii="方正大标宋简体" w:hAnsi="华文中宋" w:eastAsia="方正大标宋简体"/>
          <w:sz w:val="44"/>
          <w:szCs w:val="44"/>
        </w:rPr>
      </w:pPr>
    </w:p>
    <w:p w14:paraId="4322FB7F">
      <w:pPr>
        <w:jc w:val="center"/>
        <w:rPr>
          <w:rFonts w:ascii="方正大标宋简体" w:hAnsi="华文中宋" w:eastAsia="方正大标宋简体"/>
          <w:sz w:val="44"/>
          <w:szCs w:val="44"/>
        </w:rPr>
      </w:pPr>
    </w:p>
    <w:p w14:paraId="4CFBF687">
      <w:pPr>
        <w:jc w:val="center"/>
        <w:rPr>
          <w:rFonts w:ascii="方正大标宋简体" w:hAnsi="华文中宋" w:eastAsia="方正大标宋简体"/>
          <w:sz w:val="44"/>
          <w:szCs w:val="44"/>
        </w:rPr>
      </w:pPr>
    </w:p>
    <w:p w14:paraId="10021F1B">
      <w:pPr>
        <w:jc w:val="center"/>
        <w:rPr>
          <w:rFonts w:ascii="方正大标宋简体" w:hAnsi="华文中宋" w:eastAsia="方正大标宋简体"/>
          <w:sz w:val="44"/>
          <w:szCs w:val="44"/>
        </w:rPr>
      </w:pPr>
    </w:p>
    <w:p w14:paraId="3265F0BC">
      <w:pPr>
        <w:jc w:val="center"/>
        <w:rPr>
          <w:rFonts w:ascii="方正大标宋简体" w:hAnsi="华文中宋" w:eastAsia="方正大标宋简体"/>
          <w:sz w:val="44"/>
          <w:szCs w:val="44"/>
        </w:rPr>
      </w:pPr>
    </w:p>
    <w:p w14:paraId="230B3923">
      <w:pPr>
        <w:jc w:val="center"/>
        <w:rPr>
          <w:rFonts w:ascii="方正大标宋简体" w:hAnsi="华文中宋" w:eastAsia="方正大标宋简体"/>
          <w:sz w:val="44"/>
          <w:szCs w:val="44"/>
        </w:rPr>
      </w:pPr>
    </w:p>
    <w:p w14:paraId="6B2FBE4C">
      <w:pPr>
        <w:jc w:val="center"/>
        <w:rPr>
          <w:rFonts w:ascii="方正大标宋简体" w:hAnsi="华文中宋" w:eastAsia="方正大标宋简体"/>
          <w:sz w:val="44"/>
          <w:szCs w:val="44"/>
        </w:rPr>
      </w:pPr>
    </w:p>
    <w:p w14:paraId="72C82255">
      <w:pPr>
        <w:jc w:val="center"/>
        <w:rPr>
          <w:rFonts w:ascii="方正大标宋简体" w:hAnsi="华文中宋" w:eastAsia="方正大标宋简体"/>
          <w:sz w:val="44"/>
          <w:szCs w:val="44"/>
        </w:rPr>
      </w:pPr>
    </w:p>
    <w:p w14:paraId="655D92A2">
      <w:pPr>
        <w:jc w:val="center"/>
        <w:rPr>
          <w:rFonts w:ascii="方正大标宋简体" w:hAnsi="华文中宋" w:eastAsia="方正大标宋简体"/>
          <w:sz w:val="44"/>
          <w:szCs w:val="44"/>
        </w:rPr>
      </w:pPr>
    </w:p>
    <w:p w14:paraId="0C77232C">
      <w:pPr>
        <w:jc w:val="center"/>
        <w:rPr>
          <w:rFonts w:ascii="方正大标宋简体" w:hAnsi="华文中宋" w:eastAsia="方正大标宋简体"/>
          <w:sz w:val="44"/>
          <w:szCs w:val="44"/>
        </w:rPr>
      </w:pPr>
    </w:p>
    <w:p w14:paraId="1BB32C14">
      <w:pPr>
        <w:jc w:val="center"/>
        <w:rPr>
          <w:rFonts w:ascii="方正大标宋简体" w:hAnsi="华文中宋" w:eastAsia="方正大标宋简体"/>
          <w:sz w:val="44"/>
          <w:szCs w:val="44"/>
        </w:rPr>
      </w:pPr>
    </w:p>
    <w:p w14:paraId="7AA16B74">
      <w:pPr>
        <w:jc w:val="center"/>
        <w:rPr>
          <w:rFonts w:ascii="方正大标宋简体" w:hAnsi="华文中宋" w:eastAsia="方正大标宋简体"/>
          <w:sz w:val="44"/>
          <w:szCs w:val="44"/>
        </w:rPr>
      </w:pPr>
    </w:p>
    <w:p w14:paraId="4EA55719">
      <w:pPr>
        <w:jc w:val="center"/>
        <w:rPr>
          <w:rFonts w:ascii="方正大标宋简体" w:hAnsi="华文中宋" w:eastAsia="方正大标宋简体"/>
          <w:sz w:val="44"/>
          <w:szCs w:val="44"/>
        </w:rPr>
      </w:pPr>
    </w:p>
    <w:p w14:paraId="69FAF790">
      <w:pPr>
        <w:jc w:val="center"/>
        <w:rPr>
          <w:rFonts w:ascii="方正大标宋简体" w:hAnsi="华文中宋" w:eastAsia="方正大标宋简体"/>
          <w:sz w:val="44"/>
          <w:szCs w:val="44"/>
        </w:rPr>
      </w:pPr>
    </w:p>
    <w:p w14:paraId="033D86EA">
      <w:pPr>
        <w:jc w:val="center"/>
        <w:rPr>
          <w:rFonts w:ascii="方正大标宋简体" w:hAnsi="华文中宋" w:eastAsia="方正大标宋简体"/>
          <w:sz w:val="44"/>
          <w:szCs w:val="44"/>
        </w:rPr>
      </w:pPr>
    </w:p>
    <w:p w14:paraId="6FA3364F">
      <w:pPr>
        <w:jc w:val="center"/>
        <w:rPr>
          <w:rFonts w:ascii="方正大标宋简体" w:hAnsi="华文中宋" w:eastAsia="方正大标宋简体"/>
          <w:sz w:val="44"/>
          <w:szCs w:val="44"/>
        </w:rPr>
      </w:pPr>
    </w:p>
    <w:p w14:paraId="71ED17F8">
      <w:pPr>
        <w:jc w:val="center"/>
        <w:rPr>
          <w:rFonts w:ascii="方正大标宋简体" w:hAnsi="华文中宋" w:eastAsia="方正大标宋简体"/>
          <w:sz w:val="44"/>
          <w:szCs w:val="44"/>
        </w:rPr>
      </w:pPr>
    </w:p>
    <w:p w14:paraId="41BCB040">
      <w:pPr>
        <w:jc w:val="center"/>
        <w:rPr>
          <w:rFonts w:ascii="方正大标宋简体" w:hAnsi="华文中宋" w:eastAsia="方正大标宋简体"/>
          <w:sz w:val="44"/>
          <w:szCs w:val="44"/>
        </w:rPr>
      </w:pPr>
    </w:p>
    <w:p w14:paraId="7E3C8AE8">
      <w:pPr>
        <w:jc w:val="center"/>
        <w:rPr>
          <w:rFonts w:ascii="方正大标宋简体" w:hAnsi="华文中宋" w:eastAsia="方正大标宋简体"/>
          <w:sz w:val="44"/>
          <w:szCs w:val="44"/>
        </w:rPr>
      </w:pPr>
    </w:p>
    <w:p w14:paraId="6E316337">
      <w:pPr>
        <w:jc w:val="center"/>
        <w:rPr>
          <w:rFonts w:ascii="方正大标宋简体" w:hAnsi="华文中宋" w:eastAsia="方正大标宋简体"/>
          <w:sz w:val="44"/>
          <w:szCs w:val="44"/>
        </w:rPr>
      </w:pPr>
    </w:p>
    <w:p w14:paraId="2E852250">
      <w:pPr>
        <w:jc w:val="center"/>
        <w:rPr>
          <w:rFonts w:hint="eastAsia" w:ascii="方正大标宋简体" w:hAnsi="华文中宋" w:eastAsia="方正大标宋简体"/>
          <w:sz w:val="44"/>
          <w:szCs w:val="44"/>
        </w:rPr>
      </w:pPr>
    </w:p>
    <w:p w14:paraId="7822E5D6">
      <w:pPr>
        <w:spacing w:line="600" w:lineRule="exact"/>
        <w:rPr>
          <w:rFonts w:hint="eastAsia" w:ascii="仿宋" w:hAnsi="仿宋" w:eastAsia="仿宋"/>
          <w:sz w:val="28"/>
          <w:szCs w:val="28"/>
        </w:rPr>
      </w:pPr>
      <w: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0</wp:posOffset>
                </wp:positionV>
                <wp:extent cx="5714365" cy="635"/>
                <wp:effectExtent l="10160" t="13335" r="9525"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5714365" cy="635"/>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8.95pt;margin-top:0pt;height:0.05pt;width:449.95pt;z-index:251660288;mso-width-relative:page;mso-height-relative:page;" filled="f" stroked="t" coordsize="21600,21600" o:gfxdata="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wa0gN0wAAAAUBAAAPAAAAAAAAAAEAIAAAACIAAABkcnMvZG93&#10;bnJldi54bWxQSwECFAAUAAAACACHTuJAqpMgEcwBAAChAwAADgAAAAAAAAABACAAAAAiAQAAZHJz&#10;L2Uyb0RvYy54bWxQSwUGAAAAAAYABgBZAQAAYAUAAAAA&#10;">
                <v:fill on="f" focussize="0,0"/>
                <v:stroke color="#000000" joinstyle="round"/>
                <v:imagedata o:title=""/>
                <o:lock v:ext="edit" aspectratio="f"/>
              </v:line>
            </w:pict>
          </mc:Fallback>
        </mc:AlternateContent>
      </w:r>
      <w:r>
        <w:rPr>
          <w:rFonts w:hint="eastAsia" w:ascii="仿宋" w:hAnsi="仿宋" w:eastAsia="仿宋" w:cs="仿宋"/>
          <w:sz w:val="28"/>
          <w:szCs w:val="28"/>
        </w:rPr>
        <w:t>抄送：区委各部门，区人大、区政协、区纪委监委、区人武部办公室，</w:t>
      </w:r>
    </w:p>
    <w:p w14:paraId="1065349B">
      <w:pPr>
        <w:spacing w:line="600" w:lineRule="exact"/>
        <w:ind w:firstLine="840" w:firstLineChars="300"/>
        <w:rPr>
          <w:rFonts w:ascii="仿宋" w:hAnsi="仿宋" w:eastAsia="仿宋" w:cs="仿宋"/>
          <w:sz w:val="28"/>
          <w:szCs w:val="28"/>
        </w:rPr>
      </w:pPr>
      <w:r>
        <w:rPr>
          <w:rFonts w:hint="eastAsia" w:ascii="仿宋" w:hAnsi="仿宋" w:eastAsia="仿宋" w:cs="仿宋"/>
          <w:sz w:val="28"/>
          <w:szCs w:val="28"/>
        </w:rPr>
        <w:t>区法院，区检察院。</w:t>
      </w:r>
      <w:r>
        <w:rPr>
          <w:rFonts w:ascii="仿宋" w:hAnsi="仿宋" w:eastAsia="仿宋" w:cs="仿宋"/>
          <w:sz w:val="28"/>
          <w:szCs w:val="28"/>
        </w:rPr>
        <w:t xml:space="preserve"> </w:t>
      </w:r>
    </w:p>
    <w:p w14:paraId="145075CB">
      <w:pPr>
        <w:spacing w:line="600" w:lineRule="exact"/>
        <w:rPr>
          <w:rFonts w:hint="eastAsia" w:ascii="仿宋_GB2312" w:eastAsia="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posOffset>-113665</wp:posOffset>
                </wp:positionH>
                <wp:positionV relativeFrom="paragraph">
                  <wp:posOffset>396240</wp:posOffset>
                </wp:positionV>
                <wp:extent cx="5714365" cy="635"/>
                <wp:effectExtent l="10160" t="9525" r="9525" b="889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5714365" cy="635"/>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8.95pt;margin-top:31.2pt;height:0.05pt;width:449.95pt;z-index:251662336;mso-width-relative:page;mso-height-relative:page;" filled="f" stroked="t" coordsize="21600,21600" o:gfxdata="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VUtGzXAAAACQEAAA8AAAAAAAAAAQAgAAAAIgAAAGRy&#10;cy9kb3ducmV2LnhtbFBLAQIUABQAAAAIAIdO4kC0B+l3zQEAAKEDAAAOAAAAAAAAAAEAIAAAACYB&#10;AABkcnMvZTJvRG9jLnhtbFBLBQYAAAAABgAGAFkBAABl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0</wp:posOffset>
                </wp:positionV>
                <wp:extent cx="5714365" cy="635"/>
                <wp:effectExtent l="10160" t="13335" r="9525" b="5080"/>
                <wp:wrapNone/>
                <wp:docPr id="2" name="Line 4"/>
                <wp:cNvGraphicFramePr/>
                <a:graphic xmlns:a="http://schemas.openxmlformats.org/drawingml/2006/main">
                  <a:graphicData uri="http://schemas.microsoft.com/office/word/2010/wordprocessingShape">
                    <wps:wsp>
                      <wps:cNvCnPr>
                        <a:cxnSpLocks noChangeShapeType="1"/>
                      </wps:cNvCnPr>
                      <wps:spPr bwMode="auto">
                        <a:xfrm>
                          <a:off x="0" y="0"/>
                          <a:ext cx="5714365" cy="635"/>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8.95pt;margin-top:0pt;height:0.05pt;width:449.95pt;z-index:251661312;mso-width-relative:page;mso-height-relative:page;" filled="f" stroked="t" coordsize="21600,21600" o:gfxdata="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wa0gN0wAAAAUBAAAPAAAAAAAAAAEAIAAAACIAAABkcnMvZG93&#10;bnJldi54bWxQSwECFAAUAAAACACHTuJAr3PdeMwBAAChAwAADgAAAAAAAAABACAAAAAiAQAAZHJz&#10;L2Uyb0RvYy54bWxQSwUGAAAAAAYABgBZAQAAYAU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w:t>
      </w:r>
      <w:r>
        <w:rPr>
          <w:rFonts w:ascii="仿宋" w:hAnsi="仿宋" w:eastAsia="仿宋" w:cs="仿宋"/>
          <w:sz w:val="28"/>
          <w:szCs w:val="28"/>
        </w:rPr>
        <w:t xml:space="preserve">                 2020</w:t>
      </w:r>
      <w:r>
        <w:rPr>
          <w:rFonts w:hint="eastAsia" w:ascii="仿宋" w:hAnsi="仿宋" w:eastAsia="仿宋" w:cs="仿宋"/>
          <w:sz w:val="28"/>
          <w:szCs w:val="28"/>
        </w:rPr>
        <w:t xml:space="preserve">年 </w:t>
      </w:r>
      <w:r>
        <w:rPr>
          <w:rFonts w:ascii="仿宋" w:hAnsi="仿宋" w:eastAsia="仿宋" w:cs="仿宋"/>
          <w:sz w:val="28"/>
          <w:szCs w:val="28"/>
        </w:rPr>
        <w:t>11</w:t>
      </w:r>
      <w:r>
        <w:rPr>
          <w:rFonts w:hint="eastAsia" w:ascii="仿宋" w:hAnsi="仿宋" w:eastAsia="仿宋" w:cs="仿宋"/>
          <w:sz w:val="28"/>
          <w:szCs w:val="28"/>
        </w:rPr>
        <w:t xml:space="preserve"> 月</w:t>
      </w:r>
      <w:r>
        <w:rPr>
          <w:rFonts w:ascii="仿宋" w:hAnsi="仿宋" w:eastAsia="仿宋" w:cs="仿宋"/>
          <w:sz w:val="28"/>
          <w:szCs w:val="28"/>
        </w:rPr>
        <w:t xml:space="preserve"> 4 </w:t>
      </w:r>
      <w:r>
        <w:rPr>
          <w:rFonts w:hint="eastAsia" w:ascii="仿宋" w:hAnsi="仿宋" w:eastAsia="仿宋" w:cs="仿宋"/>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A08AB"/>
    <w:rsid w:val="002262D6"/>
    <w:rsid w:val="00236CB1"/>
    <w:rsid w:val="002B6389"/>
    <w:rsid w:val="00333442"/>
    <w:rsid w:val="004E7E44"/>
    <w:rsid w:val="005A4FF9"/>
    <w:rsid w:val="008101C7"/>
    <w:rsid w:val="00B66932"/>
    <w:rsid w:val="00CC0678"/>
    <w:rsid w:val="00F4326F"/>
    <w:rsid w:val="00FE7BC5"/>
    <w:rsid w:val="4CDC1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0"/>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uiPriority w:val="0"/>
    <w:rPr>
      <w:rFonts w:ascii="Times New Roman" w:hAnsi="Times New Roman" w:eastAsia="仿宋_GB2312" w:cs="Times New Roman"/>
      <w:b/>
      <w:bCs/>
      <w:snapToGrid w:val="0"/>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548</Words>
  <Characters>573</Characters>
  <Lines>5</Lines>
  <Paragraphs>1</Paragraphs>
  <TotalTime>1</TotalTime>
  <ScaleCrop>false</ScaleCrop>
  <LinksUpToDate>false</LinksUpToDate>
  <CharactersWithSpaces>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2020-12-30T06:02:00Z</dcterms:created>
  <dc:creator>政府办管理员</dc:creator>
  <cp:lastModifiedBy>糖芯</cp:lastModifiedBy>
  <dcterms:modified xsi:type="dcterms:W3CDTF">2025-12-02T01:10:45Z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2052-12.1.0.22529</vt:lpwstr>
  </property>
  <property fmtid="{D5CDD505-2E9C-101B-9397-08002B2CF9AE}" pid="4" name="ICV">
    <vt:lpwstr>A20172DE88F1431EB94876C76184666A_12</vt:lpwstr>
  </property>
</Properties>
</file>