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495300</wp:posOffset>
                </wp:positionV>
                <wp:extent cx="5372100" cy="1089660"/>
                <wp:effectExtent l="15875" t="19050" r="12700" b="15240"/>
                <wp:wrapNone/>
                <wp:docPr id="6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08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临淄区人民政府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1.25pt;margin-top:39pt;height:85.8pt;width:423pt;z-index:251659264;mso-width-relative:page;mso-height-relative:page;" filled="f" stroked="f" coordsize="21600,21600" o:gfxdata="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jY1unXAAAACAEAAA8AAAAAAAAA&#10;AQAgAAAAIgAAAGRycy9kb3ducmV2LnhtbFBLAQIUABQAAAAIAIdO4kCTETerEgIAACgEAAAOAAAA&#10;AAAAAAEAIAAAACYBAABkcnMvZTJvRG9jLnhtbFBLBQYAAAAABgAGAFkBAACq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临淄区人民政府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948055</wp:posOffset>
                </wp:positionV>
                <wp:extent cx="5943600" cy="0"/>
                <wp:effectExtent l="10160" t="8890" r="8890" b="10160"/>
                <wp:wrapNone/>
                <wp:docPr id="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-5.2pt;margin-top:74.65pt;height:0pt;width:468pt;z-index:251660288;mso-width-relative:page;mso-height-relative:page;" filled="f" stroked="t" coordsize="21600,21600" o:gfxdata="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458bg2AAAAAsBAAAPAAAAAAAAAAEAIAAAACIAAABkcnMv&#10;ZG93bnJldi54bWxQSwECFAAUAAAACACHTuJAK54acsoBAACgAwAADgAAAAAAAAABACAAAAAnAQAA&#10;ZHJzL2Uyb0RvYy54bWxQSwUGAAAAAAYABgBZAQAAYwUAAAAA&#10;">
                <v:fill on="f" focussize="0,0"/>
                <v:stroke weight="1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临政字〔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/>
          <w:sz w:val="36"/>
          <w:szCs w:val="36"/>
        </w:rPr>
        <w:t xml:space="preserve">            </w:t>
      </w:r>
      <w:r>
        <w:rPr>
          <w:rFonts w:ascii="宋体" w:hAnsi="宋体" w:cs="宋体"/>
          <w:kern w:val="0"/>
          <w:sz w:val="24"/>
        </w:rPr>
        <w:t> 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临淄区人民政府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关于加快推进临淄区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</w:rPr>
        <w:t>四强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hint="eastAsia" w:ascii="Times New Roman" w:hAnsi="Times New Roman" w:eastAsia="方正小标宋简体"/>
          <w:sz w:val="44"/>
          <w:szCs w:val="44"/>
        </w:rPr>
        <w:t>产业发展的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实施意见</w:t>
      </w:r>
    </w:p>
    <w:p>
      <w:pPr>
        <w:pStyle w:val="2"/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各镇人民政府、街道办事处，各开发区管委会，区政府各部门，有关企事业单位：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为全面贯彻区委十三届十次全体会议精神，落实区委</w:t>
      </w:r>
      <w:r>
        <w:rPr>
          <w:rFonts w:ascii="Times New Roman" w:hAnsi="Times New Roman" w:eastAsia="仿宋_GB2312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/>
          <w:sz w:val="32"/>
          <w:szCs w:val="32"/>
        </w:rPr>
        <w:t>富民强区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八大行动工作部署，加速培育以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为支柱的新兴产业生态，赋能和带动传统产业提质增效，加快打造新型工业化强区，坚定不移推动经济高质量发展，现制定如下意见。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一、总体目标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按照动能转换优存量、高端引领扩增量、厚植品牌提质量的总体思路，坚持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紧盯前沿、打造生态、沿链聚合、集群发展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的产业组织理念，聚焦产业链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提高度、增厚度、拉长度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，围绕智能化技术改造、优势企业培育、创新平台建设等关键任务，持续引进、培育和发展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产业新项目、新技术、新模式，全面打赢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十四五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产业攀登攻坚战。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力争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产业增加值占全区规模以上工业增加值比重达到</w:t>
      </w:r>
      <w:r>
        <w:rPr>
          <w:rFonts w:ascii="Times New Roman" w:hAnsi="Times New Roman" w:eastAsia="仿宋_GB2312"/>
          <w:sz w:val="32"/>
          <w:szCs w:val="32"/>
        </w:rPr>
        <w:t>38%</w:t>
      </w:r>
      <w:r>
        <w:rPr>
          <w:rFonts w:hint="eastAsia" w:ascii="Times New Roman" w:hAnsi="Times New Roman" w:eastAsia="仿宋_GB2312"/>
          <w:sz w:val="32"/>
          <w:szCs w:val="32"/>
        </w:rPr>
        <w:t>左右，到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十四五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末占比达到</w:t>
      </w:r>
      <w:r>
        <w:rPr>
          <w:rFonts w:ascii="Times New Roman" w:hAnsi="Times New Roman" w:eastAsia="仿宋_GB2312"/>
          <w:sz w:val="32"/>
          <w:szCs w:val="32"/>
        </w:rPr>
        <w:t>45%</w:t>
      </w:r>
      <w:r>
        <w:rPr>
          <w:rFonts w:hint="eastAsia" w:ascii="Times New Roman" w:hAnsi="Times New Roman" w:eastAsia="仿宋_GB2312"/>
          <w:sz w:val="32"/>
          <w:szCs w:val="32"/>
        </w:rPr>
        <w:t>左右，其中新材料产业规模达到</w:t>
      </w:r>
      <w:r>
        <w:rPr>
          <w:rFonts w:ascii="Times New Roman" w:hAnsi="Times New Roman" w:eastAsia="仿宋_GB2312"/>
          <w:sz w:val="32"/>
          <w:szCs w:val="32"/>
        </w:rPr>
        <w:t>800</w:t>
      </w:r>
      <w:r>
        <w:rPr>
          <w:rFonts w:hint="eastAsia" w:ascii="Times New Roman" w:hAnsi="Times New Roman" w:eastAsia="仿宋_GB2312"/>
          <w:sz w:val="32"/>
          <w:szCs w:val="32"/>
        </w:rPr>
        <w:t>亿元，智能装备产业规模达到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hint="eastAsia" w:ascii="Times New Roman" w:hAnsi="Times New Roman" w:eastAsia="仿宋_GB2312"/>
          <w:sz w:val="32"/>
          <w:szCs w:val="32"/>
        </w:rPr>
        <w:t>亿元，新医药产业规模达到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亿元，电子信息产业规模达到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亿元，形成链条完整、生态完善、效益显著的产业发展新格局，实现传统工业强区涅</w:t>
      </w:r>
      <w:r>
        <w:rPr>
          <w:rFonts w:hint="eastAsia" w:ascii="仿宋" w:hAnsi="仿宋" w:eastAsia="仿宋"/>
          <w:sz w:val="32"/>
          <w:szCs w:val="32"/>
        </w:rPr>
        <w:t>槃</w:t>
      </w:r>
      <w:r>
        <w:rPr>
          <w:rFonts w:hint="eastAsia" w:ascii="Times New Roman" w:hAnsi="Times New Roman" w:eastAsia="仿宋_GB2312"/>
          <w:sz w:val="32"/>
          <w:szCs w:val="32"/>
        </w:rPr>
        <w:t>蝶变。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二、重点任务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通过实施链群聚合、企业培育、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双招双引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和平台引领等方面的专项行动和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五个优化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倍增行动，完善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产业攀登支撑体系，优化产业发展生态，健全配套服务机制，加快科技成果转化，拓宽企业融资渠道，赋能产业转型升级。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（一）产业链群聚合行动。</w:t>
      </w:r>
      <w:r>
        <w:rPr>
          <w:rFonts w:hint="eastAsia" w:ascii="Times New Roman" w:hAnsi="Times New Roman" w:eastAsia="仿宋_GB2312"/>
          <w:sz w:val="32"/>
          <w:szCs w:val="32"/>
        </w:rPr>
        <w:t>突出在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补链、延链、强链上下功夫，梳理优势产业链条和产业集群，支持我区优势企业参与国家、省、市产业链和产业集群布局，重点培育高端化工新材料、特种油加工、医药健康、稀土新材料、军民融合、高端装备制造、半导体新材料、大数据和储能产业等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个优势产业链条和特色产业集群。补链方面，推行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六个一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招引机制，依托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专职招商公司，瞄准产业内世界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hint="eastAsia" w:ascii="Times New Roman" w:hAnsi="Times New Roman" w:eastAsia="仿宋_GB2312"/>
          <w:sz w:val="32"/>
          <w:szCs w:val="32"/>
        </w:rPr>
        <w:t>强和中国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hint="eastAsia" w:ascii="Times New Roman" w:hAnsi="Times New Roman" w:eastAsia="仿宋_GB2312"/>
          <w:sz w:val="32"/>
          <w:szCs w:val="32"/>
        </w:rPr>
        <w:t>强等头部企业实施专业化招商，补全缺项断点和薄弱环节；延链方面，支持同业协作和资本运作，努力向产业上游研发设计和下游高端市场拓展，提升企业效益和产品附加值；强链方面，推行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一业一策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扶持现有产业龙头做大做强，引领产业要素集聚，加快塑造协作共建、集约共享、生态共生的产业链群。</w:t>
      </w:r>
      <w:r>
        <w:rPr>
          <w:rFonts w:hint="eastAsia" w:ascii="Times New Roman" w:hAnsi="Times New Roman" w:eastAsia="楷体_GB2312"/>
          <w:sz w:val="32"/>
          <w:szCs w:val="32"/>
        </w:rPr>
        <w:t>（责任单位：区工信局、区发改局、区自然资源局、区应急管理局、区行政审批服务局、临淄生态环境分局、区投资促进中心、临淄经开区）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专栏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1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临淄特色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四强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产业链（集群）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新材料</w:t>
            </w:r>
          </w:p>
        </w:tc>
        <w:tc>
          <w:tcPr>
            <w:tcW w:w="7272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以齐鲁化工区齐翔腾达、天辰齐翔、一诺威新材料和化工重点监控点睿霖化工为链主企业，以尼龙新材料、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MMA/PMMA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、高端聚胺酯、高端聚烯烃、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1,2/1,3-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丙二醇、新型环保材料等为主攻产品，发展高端化工新材料产业链；依托电科北方半导体科技（山东）有限公司，延链发展氧化铝陶瓷、氮化物陶瓷等第三代半导体新材料。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对标和招商头部企业：万华化学、佳化化学、三聚环保、蓝星集团、双箭橡胶、浩普新材料等。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目标：年产值达到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800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智能装备</w:t>
            </w:r>
          </w:p>
        </w:tc>
        <w:tc>
          <w:tcPr>
            <w:tcW w:w="7272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在临淄经济开发区规划建设总占地面积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1.5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万亩的智能网联汽车产业园，发挥淄博舜泰汽车有限公司生产、资源优势，建设省级智能网联汽车协同创新中心，打造全国设施最完善、场景最丰富的智能驾驶综合测试场地，产业链上游重点培育智能传感、系统算法、线控底盘、云网平台等技术研发板块，中游重点培育智能驾驶零部件、特定场景专用装备、整车研发生产和海外出口板块，下游重点培育车路协同、智能公交、智能物流等网联服务板块。同时，在新能源汽车电机驱动、电控系统、电池等领域补链沿链一批优质项目。规划建设总占地面积约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亩的光伏产业基地，依托产业基金和现有企业，引进做大光伏组件、太阳能电池、边框、焊带等一批产业链关联企业，全力创建全省最大的光伏产业基地。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对标和招商头部企业：百度、阿里、华为、奇瑞、五菱、长安、大唐高鸿、中交建、智行者、智加科技、文远智行等。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目标：年产值达到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医药健康</w:t>
            </w:r>
          </w:p>
        </w:tc>
        <w:tc>
          <w:tcPr>
            <w:tcW w:w="7272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以健康防护和大输液为两条产业主链，支持蓝帆医疗、英科医疗、齐都药业等重点企业发展总部经济，向设计研发和品牌营销等高附加值端延链，加快培育服务型制造业。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对标和招商头部企业：国药集团、步长制药、华润医药、华兰生物、迈瑞医疗、鱼跃医疗、上海微创医疗等。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目标：年产值达到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大数据</w:t>
            </w:r>
          </w:p>
        </w:tc>
        <w:tc>
          <w:tcPr>
            <w:tcW w:w="7272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以爱特云翔为链主企业，规划建设总占地面积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2400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亩的临淄区大数据产业园，向上游延伸数据生产、数据采集、数据传输，向下游发展数据处理、数据分析、数据应用，同步配套建设信创产业、超高清视频基地、算力中心等支撑项目。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对标和招商头部企业：华为、阿里巴巴、腾讯、紫光、小米、科大讯飞、寒武纪、海康威视、商汤科技、比特大陆、旷视科技等。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目标：年产值达到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200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亿元。</w:t>
            </w:r>
          </w:p>
        </w:tc>
      </w:tr>
    </w:tbl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（二）优势企业培育行动。</w:t>
      </w:r>
      <w:r>
        <w:rPr>
          <w:rFonts w:hint="eastAsia" w:ascii="Times New Roman" w:hAnsi="Times New Roman" w:eastAsia="仿宋_GB2312"/>
          <w:sz w:val="32"/>
          <w:szCs w:val="32"/>
        </w:rPr>
        <w:t>加快推进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领航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企业、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潜力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企业跨越发展，重点培育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领域独角兽、单项冠军、瞪羚、哪吒和专精特新中小企业。全面实施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研究齐鲁、联合齐鲁、服务齐鲁、延伸齐鲁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战略，发挥齐鲁石化链主企业优势，鼓励地方石化优势企业加强与齐鲁公司合作，积极参与相关产业链协同发展。支持优势企业策划和实施一批核心支撑项目，重点推进天辰齐翔尼龙新材料、清源集团特种油成品生产基地建设、鑫泰石化烷烃综合利用、齐翔腾达丙烷脱氢和叔丁醇及配套</w:t>
      </w:r>
      <w:r>
        <w:rPr>
          <w:rFonts w:ascii="Times New Roman" w:hAnsi="Times New Roman" w:eastAsia="仿宋_GB2312"/>
          <w:sz w:val="32"/>
          <w:szCs w:val="32"/>
        </w:rPr>
        <w:t>PMMA</w:t>
      </w:r>
      <w:r>
        <w:rPr>
          <w:rFonts w:hint="eastAsia" w:ascii="Times New Roman" w:hAnsi="Times New Roman" w:eastAsia="仿宋_GB2312"/>
          <w:sz w:val="32"/>
          <w:szCs w:val="32"/>
        </w:rPr>
        <w:t>等产业经济带动作用较强的石油化工项目建设，以坚实稳固的产业基础筑牢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产业攀登攻坚的基石和阶梯，实现优势企业跨越式发展。</w:t>
      </w:r>
      <w:r>
        <w:rPr>
          <w:rFonts w:hint="eastAsia" w:ascii="Times New Roman" w:hAnsi="Times New Roman" w:eastAsia="楷体_GB2312"/>
          <w:sz w:val="32"/>
          <w:szCs w:val="32"/>
        </w:rPr>
        <w:t>（责任单位：区工信局、区发改局、区科技局、区自然资源局、区优化营商环境服务中心）</w:t>
      </w:r>
    </w:p>
    <w:tbl>
      <w:tblPr>
        <w:tblStyle w:val="8"/>
        <w:tblpPr w:leftFromText="180" w:rightFromText="180" w:vertAnchor="text" w:horzAnchor="page" w:tblpXSpec="center" w:tblpY="3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专栏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2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优势企业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领航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潜力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企业</w:t>
            </w:r>
          </w:p>
        </w:tc>
        <w:tc>
          <w:tcPr>
            <w:tcW w:w="7381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按地方税收贡献确定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领航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企业，按企业增速和发展空间确定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潜力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企业，对标我市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旗舰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雏鹰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企业培育，支持企业快速发展、高速成长。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家企业总产值翻一番。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跨越发展计划</w:t>
            </w:r>
          </w:p>
        </w:tc>
        <w:tc>
          <w:tcPr>
            <w:tcW w:w="7381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以营业收入进阶升级为目标，划分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200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亿等企业跨越发展梯次，促进优势企业崛起壮大。我区齐翔腾达等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家企业列入全市跨越发展计划。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家企业全部完成梯次跨越。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优秀企业三年倍增计划</w:t>
            </w:r>
          </w:p>
        </w:tc>
        <w:tc>
          <w:tcPr>
            <w:tcW w:w="7381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在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年全区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企业家节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上受表扬的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23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家优秀企业，按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一企一策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制定发展目标、具体措施和支撑项目，在国内外同行业中保持高质量快速增长，不断开拓创新、提质增效、争先进位。力争三年实现产值、利税、知识产权等经济和科技指标倍增。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新物种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</w:p>
        </w:tc>
        <w:tc>
          <w:tcPr>
            <w:tcW w:w="7381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重点在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四强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领域培育独角兽、单项冠军、瞪羚、哪吒、专精特新等增速快、前景好、潜力大的新经济企业。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目标：各类企业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新物种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累计达到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家。</w:t>
            </w:r>
          </w:p>
        </w:tc>
      </w:tr>
    </w:tbl>
    <w:p>
      <w:pPr>
        <w:spacing w:line="60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（三）平台创新引领行动。</w:t>
      </w:r>
      <w:r>
        <w:rPr>
          <w:rFonts w:hint="eastAsia" w:ascii="Times New Roman" w:hAnsi="Times New Roman" w:eastAsia="仿宋_GB2312"/>
          <w:sz w:val="32"/>
          <w:szCs w:val="32"/>
        </w:rPr>
        <w:t>充分发挥行业优势企业、投融资基金平台、高端人才队伍、科技创新平台、行业协会商会等产业主体作用，专业化、精准化、规模化招引落户一批顶尖人才团队和科研平台。注重发挥九合金控的资本和投融资平台优势，聚力打造金融市场和实体经济集聚发展的良好生态，通过银行、保险、基金等传统金融业态和产业链金融、融资租赁、金融科技等多样化的新型资本模式，吸引头部企业，支持项目建设，助力产业攀登。明确和强化企业在科技创新中的主体地位，推动本地龙头企业与知名高等院校、科研机构战略合作，鼓励企业牵头创建产业创新中心、技术创新中心、制造业创新中心等新型高端科研平台，链接聚合更多优质资源要素。</w:t>
      </w:r>
      <w:r>
        <w:rPr>
          <w:rFonts w:hint="eastAsia" w:ascii="Times New Roman" w:hAnsi="Times New Roman" w:eastAsia="楷体_GB2312"/>
          <w:sz w:val="32"/>
          <w:szCs w:val="32"/>
        </w:rPr>
        <w:t>（责任单位：区发改局、区科技局、区工信局、区财政局、区人社局、区金融发展促进中心）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专栏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3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人才和创新平台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重点人才工程</w:t>
            </w:r>
          </w:p>
        </w:tc>
        <w:tc>
          <w:tcPr>
            <w:tcW w:w="7492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以优势企业为依托，面向海内外引进培养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高精尖缺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产业领军人才，带动产业创新能力提升，破解制约产业发展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卡脖子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技术，加快形成高质量发展新动能。主要包括国家人才计划、泰山产业领军人才工程、齐鲁首席技师、外专双百计划、齐鲁金融之星、淄博英才等。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目标：市级以上高层次人才达到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120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高端创新平台</w:t>
            </w:r>
          </w:p>
        </w:tc>
        <w:tc>
          <w:tcPr>
            <w:tcW w:w="7492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由国家发改委、科技部、工信部分别牵头创建的产业创新中心、技术创新中心、制造业创新中心，是整合联合行业创新资源、构建高效协作创新网络的重要载体，在特定战略性领域开发和推广颠覆性技术、先进适用技术、行业共性技术等，与行业内各主体共建共享，是孵化和培育高成长型科技企业的重要平台，是推动新兴产业集聚发展、提升经济新动能的重要力量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十四五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目标：打造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家省级高端创新平台。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三、政策措施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（一）加力</w:t>
      </w:r>
      <w:r>
        <w:rPr>
          <w:rFonts w:ascii="Times New Roman" w:hAnsi="Times New Roman" w:eastAsia="楷体_GB2312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四强</w:t>
      </w:r>
      <w:r>
        <w:rPr>
          <w:rFonts w:ascii="Times New Roman" w:hAnsi="Times New Roman" w:eastAsia="楷体_GB2312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产业创新。</w:t>
      </w:r>
      <w:r>
        <w:rPr>
          <w:rFonts w:hint="eastAsia" w:ascii="Times New Roman" w:hAnsi="Times New Roman" w:eastAsia="仿宋_GB2312"/>
          <w:sz w:val="32"/>
          <w:szCs w:val="32"/>
        </w:rPr>
        <w:t>对获得省、市首台（套）重大技术装备、首版次高端软件、首批次新材料保险补偿的企业，区财政按保费的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hint="eastAsia" w:ascii="Times New Roman" w:hAnsi="Times New Roman" w:eastAsia="仿宋_GB2312"/>
          <w:sz w:val="32"/>
          <w:szCs w:val="32"/>
        </w:rPr>
        <w:t>给予一次性奖励，最高不超过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万元；对开展仿制药质量和疗效一致性评价的医药企业，按省、市级鼓励仿制药质量和疗效一致性评价的专项政策（鲁财社〔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号、淄政办发〔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号）给予奖补。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（二）助力</w:t>
      </w:r>
      <w:r>
        <w:rPr>
          <w:rFonts w:ascii="Times New Roman" w:hAnsi="Times New Roman" w:eastAsia="楷体_GB2312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四强</w:t>
      </w:r>
      <w:r>
        <w:rPr>
          <w:rFonts w:ascii="Times New Roman" w:hAnsi="Times New Roman" w:eastAsia="楷体_GB2312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产业壮大。</w:t>
      </w:r>
      <w:r>
        <w:rPr>
          <w:rFonts w:hint="eastAsia" w:ascii="Times New Roman" w:hAnsi="Times New Roman" w:eastAsia="仿宋_GB2312"/>
          <w:sz w:val="32"/>
          <w:szCs w:val="32"/>
        </w:rPr>
        <w:t>对获得我市《关于印发促进新材料、智能装备、新医药、电子信息产业加快发展若干政策的通知》（淄政办字〔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号）中固定资产投资奖补、营收突破奖补、税收增量奖补、融资奖补等各类政策扶持的，区财政按企业实际获得市级财政资金的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hint="eastAsia" w:ascii="Times New Roman" w:hAnsi="Times New Roman" w:eastAsia="仿宋_GB2312"/>
          <w:sz w:val="32"/>
          <w:szCs w:val="32"/>
        </w:rPr>
        <w:t>给予一次性配套奖励，最高不超过</w:t>
      </w:r>
      <w:r>
        <w:rPr>
          <w:rFonts w:ascii="Times New Roman" w:hAnsi="Times New Roman" w:eastAsia="仿宋_GB2312"/>
          <w:sz w:val="32"/>
          <w:szCs w:val="32"/>
        </w:rPr>
        <w:t>150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（三）扩大</w:t>
      </w:r>
      <w:r>
        <w:rPr>
          <w:rFonts w:ascii="Times New Roman" w:hAnsi="Times New Roman" w:eastAsia="楷体_GB2312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四强</w:t>
      </w:r>
      <w:r>
        <w:rPr>
          <w:rFonts w:ascii="Times New Roman" w:hAnsi="Times New Roman" w:eastAsia="楷体_GB2312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产业规模。</w:t>
      </w:r>
      <w:r>
        <w:rPr>
          <w:rFonts w:hint="eastAsia" w:ascii="Times New Roman" w:hAnsi="Times New Roman" w:eastAsia="仿宋_GB2312"/>
          <w:sz w:val="32"/>
          <w:szCs w:val="32"/>
        </w:rPr>
        <w:t>对主营业务、主要产品转型为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产业的规模以上工业企业，按照《关于做好淄博市规模以上工业企业行业代码核实工作的通知》（淄统发〔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号）要求修改行业代码，首次新列入我市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统计范围的，区财政按企业上年度税收区级财力贡献的</w:t>
      </w:r>
      <w:r>
        <w:rPr>
          <w:rFonts w:ascii="Times New Roman" w:hAnsi="Times New Roman" w:eastAsia="仿宋_GB2312"/>
          <w:sz w:val="32"/>
          <w:szCs w:val="32"/>
        </w:rPr>
        <w:t>10%</w:t>
      </w:r>
      <w:r>
        <w:rPr>
          <w:rFonts w:hint="eastAsia" w:ascii="Times New Roman" w:hAnsi="Times New Roman" w:eastAsia="仿宋_GB2312"/>
          <w:sz w:val="32"/>
          <w:szCs w:val="32"/>
        </w:rPr>
        <w:t>给予一次性奖励，最高不超过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万元。辖区内有企业享受以上政策的镇（街道），在年度考核中予以加分。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（四）加大</w:t>
      </w:r>
      <w:r>
        <w:rPr>
          <w:rFonts w:ascii="Times New Roman" w:hAnsi="Times New Roman" w:eastAsia="楷体_GB2312"/>
          <w:b/>
          <w:sz w:val="32"/>
          <w:szCs w:val="32"/>
        </w:rPr>
        <w:t>“</w:t>
      </w:r>
      <w:r>
        <w:rPr>
          <w:rFonts w:hint="eastAsia" w:ascii="Times New Roman" w:hAnsi="Times New Roman" w:eastAsia="楷体_GB2312"/>
          <w:b/>
          <w:sz w:val="32"/>
          <w:szCs w:val="32"/>
        </w:rPr>
        <w:t>四强</w:t>
      </w:r>
      <w:r>
        <w:rPr>
          <w:rFonts w:ascii="Times New Roman" w:hAnsi="Times New Roman" w:eastAsia="楷体_GB2312"/>
          <w:b/>
          <w:sz w:val="32"/>
          <w:szCs w:val="32"/>
        </w:rPr>
        <w:t>”</w:t>
      </w:r>
      <w:r>
        <w:rPr>
          <w:rFonts w:hint="eastAsia" w:ascii="Times New Roman" w:hAnsi="Times New Roman" w:eastAsia="楷体_GB2312"/>
          <w:b/>
          <w:sz w:val="32"/>
          <w:szCs w:val="32"/>
        </w:rPr>
        <w:t>产业招商力度。</w:t>
      </w:r>
      <w:r>
        <w:rPr>
          <w:rFonts w:hint="eastAsia" w:ascii="Times New Roman" w:hAnsi="Times New Roman" w:eastAsia="仿宋_GB2312"/>
          <w:sz w:val="32"/>
          <w:szCs w:val="32"/>
        </w:rPr>
        <w:t>对新引进的外来投资企业和项目，按区招商引资相关政策予以奖补，对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产业给予优先支持和政策倾斜。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（五）加强技术改造奖补。</w:t>
      </w:r>
      <w:r>
        <w:rPr>
          <w:rFonts w:hint="eastAsia" w:ascii="Times New Roman" w:hAnsi="Times New Roman" w:eastAsia="仿宋_GB2312"/>
          <w:sz w:val="32"/>
          <w:szCs w:val="32"/>
        </w:rPr>
        <w:t>对获得市级设备（软件）购置补助的技改项目，区财政按市级资金的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hint="eastAsia" w:ascii="Times New Roman" w:hAnsi="Times New Roman" w:eastAsia="仿宋_GB2312"/>
          <w:sz w:val="32"/>
          <w:szCs w:val="32"/>
        </w:rPr>
        <w:t>给予一次性配套补助，最高不超过</w:t>
      </w:r>
      <w:r>
        <w:rPr>
          <w:rFonts w:ascii="Times New Roman" w:hAnsi="Times New Roman" w:eastAsia="仿宋_GB2312"/>
          <w:sz w:val="32"/>
          <w:szCs w:val="32"/>
        </w:rPr>
        <w:t>150</w:t>
      </w:r>
      <w:r>
        <w:rPr>
          <w:rFonts w:hint="eastAsia" w:ascii="Times New Roman" w:hAnsi="Times New Roman" w:eastAsia="仿宋_GB2312"/>
          <w:sz w:val="32"/>
          <w:szCs w:val="32"/>
        </w:rPr>
        <w:t>万元；对开展精益化管理、智能化改造、绿色化提升、平台化服务的企业，按照市、区制造业智能化技术改造相关政策给予扶持。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（六）加快工业互联网发展。</w:t>
      </w:r>
      <w:r>
        <w:rPr>
          <w:rFonts w:hint="eastAsia" w:ascii="Times New Roman" w:hAnsi="Times New Roman" w:eastAsia="仿宋_GB2312"/>
          <w:sz w:val="32"/>
          <w:szCs w:val="32"/>
        </w:rPr>
        <w:t>对获得我市《关于加快工业互联网、人工智能等新一代信息技术与制造业融合发展的若干政策措施》（淄政办发〔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号）扶持资金的企业或项目，区财政按企业实际获得市级财政资金的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hint="eastAsia" w:ascii="Times New Roman" w:hAnsi="Times New Roman" w:eastAsia="仿宋_GB2312"/>
          <w:sz w:val="32"/>
          <w:szCs w:val="32"/>
        </w:rPr>
        <w:t>给予一次性配套奖励；对首次获得两化融合管理体系贯标认定的企业，区财政给予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万元奖励；对新认定为我市智慧工厂和智能车间的企业，区财政分别给予一次性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万元和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万元的奖励。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（七）</w:t>
      </w:r>
      <w:r>
        <w:rPr>
          <w:rFonts w:ascii="Times New Roman" w:hAnsi="Times New Roman" w:eastAsia="楷体_GB2312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五个优化</w:t>
      </w:r>
      <w:r>
        <w:rPr>
          <w:rFonts w:ascii="Times New Roman" w:hAnsi="Times New Roman" w:eastAsia="楷体_GB2312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转型升级。</w:t>
      </w:r>
      <w:r>
        <w:rPr>
          <w:rFonts w:hint="eastAsia" w:ascii="Times New Roman" w:hAnsi="Times New Roman" w:eastAsia="仿宋_GB2312"/>
          <w:sz w:val="32"/>
          <w:szCs w:val="32"/>
        </w:rPr>
        <w:t>对贯彻落实优化提升技术工艺、优化拓展产品体系、优化提高产品质量、优化完善产业链条、优化提升经济效益的企业或项目，按照《临淄区大力推进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五个优化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传统产业转型升级三年倍增计划（</w:t>
      </w:r>
      <w:r>
        <w:rPr>
          <w:rFonts w:ascii="Times New Roman" w:hAnsi="Times New Roman" w:eastAsia="仿宋_GB2312"/>
          <w:sz w:val="32"/>
          <w:szCs w:val="32"/>
        </w:rPr>
        <w:t xml:space="preserve">2020—2022 </w:t>
      </w:r>
      <w:r>
        <w:rPr>
          <w:rFonts w:hint="eastAsia" w:ascii="Times New Roman" w:hAnsi="Times New Roman" w:eastAsia="仿宋_GB2312"/>
          <w:sz w:val="32"/>
          <w:szCs w:val="32"/>
        </w:rPr>
        <w:t>年）》（临发〔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号）给予扶持。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（八）优势企业跨越发展</w:t>
      </w:r>
      <w:r>
        <w:rPr>
          <w:rFonts w:hint="eastAsia" w:ascii="Times New Roman" w:hAnsi="Times New Roman" w:eastAsia="仿宋_GB2312"/>
          <w:sz w:val="32"/>
          <w:szCs w:val="32"/>
        </w:rPr>
        <w:t>。对获得我市《关于加快企业跨越发展的若干政策》（淄政发〔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号）扶持资金的企业或项目，区财政按企业实际获得市级财政资金的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hint="eastAsia" w:ascii="Times New Roman" w:hAnsi="Times New Roman" w:eastAsia="仿宋_GB2312"/>
          <w:sz w:val="32"/>
          <w:szCs w:val="32"/>
        </w:rPr>
        <w:t>给予一次性配套奖励，最高不超过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万元；入选国家级、省级制造业单项冠军和列入单项冠军培育提升名单的企业，按照《临淄区制造业单项冠军企业培育提升三年行动计划实施方案》（临办发〔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号）给予扶持；首次入选市级及以上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瞪羚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企业的，区财政给予一次性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万元奖励。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（九）培育高端创新中心。</w:t>
      </w:r>
      <w:r>
        <w:rPr>
          <w:rFonts w:hint="eastAsia" w:ascii="Times New Roman" w:hAnsi="Times New Roman" w:eastAsia="仿宋_GB2312"/>
          <w:sz w:val="32"/>
          <w:szCs w:val="32"/>
        </w:rPr>
        <w:t>发改部门牵头培育建设产业创新中心、科技部门牵头培育建设技术创新中心、工信部门牵头培育建设制造业创新中心，对新认定的上述省级创新中心的，区财政给予一次性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万元奖励，自第二年起，连续三年给予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年的研发费用补贴；对升级为国家级创新中心的，区财政给予一次性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hint="eastAsia" w:ascii="Times New Roman" w:hAnsi="Times New Roman" w:eastAsia="仿宋_GB2312"/>
          <w:sz w:val="32"/>
          <w:szCs w:val="32"/>
        </w:rPr>
        <w:t>万元奖励，自第二年起，连续三年给予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年的研发费用补贴。</w:t>
      </w:r>
    </w:p>
    <w:p>
      <w:pPr>
        <w:spacing w:line="600" w:lineRule="exact"/>
        <w:ind w:firstLine="643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（十）鼓励企业创新研发。</w:t>
      </w:r>
      <w:r>
        <w:rPr>
          <w:rFonts w:hint="eastAsia" w:ascii="Times New Roman" w:hAnsi="Times New Roman" w:eastAsia="仿宋_GB2312"/>
          <w:sz w:val="32"/>
          <w:szCs w:val="32"/>
        </w:rPr>
        <w:t>对新认定的国家级、省级技术创新示范企业，区财政分别给予一次性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万元、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万元的奖励；对新认定的省级、市级工业企业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一企一技术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研发中心，区财政分别给予一次性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万元、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万元的奖励；对新认定的省级、市级工业设计项目，区财政分别给予一次性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万元、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万元的奖励。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四、保障机制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（一）强化组织领导。</w:t>
      </w:r>
      <w:r>
        <w:rPr>
          <w:rFonts w:hint="eastAsia" w:ascii="Times New Roman" w:hAnsi="Times New Roman" w:eastAsia="仿宋_GB2312"/>
          <w:sz w:val="32"/>
          <w:szCs w:val="32"/>
        </w:rPr>
        <w:t>成立由区政府主要领导任组长的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产业攻坚行动领导小组，统筹推进全区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产业发展。领导小组建立和完善会议协调制度、动态调度制度、督查通报制度等推进机制，落实项目策划、政策申报、企业培育等重点任务，全力解决产业发展中的难点、痛点、堵点问题，及时向区委、区政府提出政策建议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（二）强化要素保障。</w:t>
      </w:r>
      <w:r>
        <w:rPr>
          <w:rFonts w:hint="eastAsia" w:ascii="Times New Roman" w:hAnsi="Times New Roman" w:eastAsia="仿宋_GB2312"/>
          <w:sz w:val="32"/>
          <w:szCs w:val="32"/>
        </w:rPr>
        <w:t>优化各类要素供应机制，确保要素资源服务产业、服务企业、服务项目，实施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亩产效益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评价改革，对企业用地、能耗、排放、效益等综合考评，强化要素指标统筹保障，推动资源向优质企业聚集。提升行政服务效能，以流程再造推动审批程序革命和效率革命，实行无差别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一窗受理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，落实工业投资项目</w:t>
      </w:r>
      <w:r>
        <w:rPr>
          <w:rFonts w:ascii="Times New Roman" w:hAnsi="Times New Roman" w:eastAsia="仿宋_GB2312"/>
          <w:sz w:val="32"/>
          <w:szCs w:val="32"/>
        </w:rPr>
        <w:t>“1+N”</w:t>
      </w:r>
      <w:r>
        <w:rPr>
          <w:rFonts w:hint="eastAsia" w:ascii="Times New Roman" w:hAnsi="Times New Roman" w:eastAsia="仿宋_GB2312"/>
          <w:sz w:val="32"/>
          <w:szCs w:val="32"/>
        </w:rPr>
        <w:t>拿地即开工和容缺机制。下大力气持续优化营商环境，对推诿扯皮、无故刁难、阻挠建设或发生其他形式主义、官僚主义问题的，由区纪委监委严肃问责。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（三）强化企业家队伍建设。</w:t>
      </w:r>
      <w:r>
        <w:rPr>
          <w:rFonts w:hint="eastAsia" w:ascii="Times New Roman" w:hAnsi="Times New Roman" w:eastAsia="仿宋_GB2312"/>
          <w:sz w:val="32"/>
          <w:szCs w:val="32"/>
        </w:rPr>
        <w:t>落实《关心关爱企业家的十条措施》，建立实行企业免检免扰制度，各级干部大胆为企业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站台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，畅通优秀企业家绿色服务通道；每年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企业家节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通报表扬一批对我区经济社会发展做出突出贡献的优秀企业家，提高企业家地位，提振企业家信心，支持企业家以恒心办恒业、以创新创未来。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（四）强化宣传引导。</w:t>
      </w:r>
      <w:r>
        <w:rPr>
          <w:rFonts w:hint="eastAsia" w:ascii="Times New Roman" w:hAnsi="Times New Roman" w:eastAsia="仿宋_GB2312"/>
          <w:sz w:val="32"/>
          <w:szCs w:val="32"/>
        </w:rPr>
        <w:t>对外借助新闻媒体、报刊、网站、新媒体等平台，全方位宣传我区经济优势、区位优势、产业优势、企业优势和政策优势，加大优秀企业家、企业发展典型案例的宣传力度，提高我区知名度和影响力，营造优渥的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双招双引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环境和氛围。对内开展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树标、对标、夺标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活动，积极营造只争朝夕的产业攀登气氛；各涉企部门通过各类渠道大力宣传惠企政策，加大对上争取力度，引导企业响应政策、运用政策、享受政策，将各级支持产业发展的政策落到实处。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本意见自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日起施行，有效期至</w:t>
      </w: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企业名单以每年度统计部门确认名单为准。原有规定与本意见不一致的，按本意见执行；已有具体政策的，按现行政策执行；未尽事宜由区工信局负责解释。</w:t>
      </w:r>
    </w:p>
    <w:p>
      <w:pPr>
        <w:pStyle w:val="2"/>
        <w:spacing w:after="0"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</w:rPr>
        <w:t>临淄区人民政府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（此件公开发布）</w:t>
      </w:r>
    </w:p>
    <w:p>
      <w:pPr>
        <w:pStyle w:val="2"/>
      </w:pP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line="500" w:lineRule="exact"/>
        <w:ind w:left="1023" w:leftChars="87" w:hanging="840" w:hanging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5715000" cy="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pt;height:0pt;width:450pt;z-index:251661312;mso-width-relative:page;mso-height-relative:page;" filled="f" stroked="t" coordsize="21600,21600" o:gfxdata="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ST0c1AAAAAcBAAAPAAAAAAAAAAEAIAAAACIAAABkcnMvZG93bnJldi54bWxQSwECFAAUAAAA&#10;CACHTuJAo3NpaPIBAADo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692150</wp:posOffset>
                </wp:positionV>
                <wp:extent cx="5715000" cy="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4.5pt;height:0pt;width:450pt;z-index:251662336;mso-width-relative:page;mso-height-relative:page;" filled="f" stroked="t" coordsize="21600,21600" o:gfxdata="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U5aW1QAAAAsBAAAPAAAAAAAAAAEAIAAAACIAAABkcnMvZG93bnJldi54bWxQSwECFAAUAAAA&#10;CACHTuJA6CY04fEBAADo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抄送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区委各部门，区人大、区政协、区纪委监委、区人武部办公室，</w:t>
      </w:r>
    </w:p>
    <w:p>
      <w:pPr>
        <w:widowControl/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区法院，区检察院。</w:t>
      </w:r>
    </w:p>
    <w:p>
      <w:pPr>
        <w:widowControl/>
        <w:spacing w:line="520" w:lineRule="exact"/>
        <w:ind w:firstLine="280" w:firstLineChars="1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328930</wp:posOffset>
                </wp:positionV>
                <wp:extent cx="57150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5.9pt;height:0pt;width:450pt;z-index:251663360;mso-width-relative:page;mso-height-relative:page;" filled="f" stroked="t" coordsize="21600,21600" o:gfxdata="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6SvsNUAAAAJAQAADwAAAAAAAAABACAAAAAiAAAAZHJzL2Rvd25yZXYueG1sUEsBAhQAFAAA&#10;AAgAh07iQEU/iHjyAQAA6A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临淄区人民政府办公室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361" w:right="1616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+FPEF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29937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6"/>
    <w:rsid w:val="000F5637"/>
    <w:rsid w:val="001773D4"/>
    <w:rsid w:val="001A0243"/>
    <w:rsid w:val="001A08AB"/>
    <w:rsid w:val="002262D6"/>
    <w:rsid w:val="00236CB1"/>
    <w:rsid w:val="00236FE6"/>
    <w:rsid w:val="00333442"/>
    <w:rsid w:val="003B352A"/>
    <w:rsid w:val="00467C97"/>
    <w:rsid w:val="004A6477"/>
    <w:rsid w:val="004E7E44"/>
    <w:rsid w:val="004F1020"/>
    <w:rsid w:val="00520C15"/>
    <w:rsid w:val="005A4FF9"/>
    <w:rsid w:val="006168A4"/>
    <w:rsid w:val="00662890"/>
    <w:rsid w:val="00692EA6"/>
    <w:rsid w:val="006D77B5"/>
    <w:rsid w:val="006E42C6"/>
    <w:rsid w:val="007A20BD"/>
    <w:rsid w:val="008101C7"/>
    <w:rsid w:val="00861D25"/>
    <w:rsid w:val="0088179D"/>
    <w:rsid w:val="009E1870"/>
    <w:rsid w:val="00B60471"/>
    <w:rsid w:val="00B66932"/>
    <w:rsid w:val="00B7071D"/>
    <w:rsid w:val="00C033B8"/>
    <w:rsid w:val="00C97B23"/>
    <w:rsid w:val="00CC0678"/>
    <w:rsid w:val="00CF06A6"/>
    <w:rsid w:val="00D0785D"/>
    <w:rsid w:val="00D60EB1"/>
    <w:rsid w:val="00DE7152"/>
    <w:rsid w:val="00E41DC1"/>
    <w:rsid w:val="00E918DA"/>
    <w:rsid w:val="00F13FCE"/>
    <w:rsid w:val="00F4326F"/>
    <w:rsid w:val="00FE7BC5"/>
    <w:rsid w:val="41D81B02"/>
    <w:rsid w:val="4FE40ACA"/>
    <w:rsid w:val="723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4"/>
    <w:qFormat/>
    <w:uiPriority w:val="0"/>
    <w:pPr>
      <w:outlineLvl w:val="0"/>
    </w:pPr>
    <w:rPr>
      <w:rFonts w:ascii="Times New Roman" w:hAnsi="Times New Roman" w:eastAsia="仿宋_GB2312" w:cs="Times New Roman"/>
      <w:b/>
      <w:bCs/>
      <w:snapToGrid w:val="0"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paragraph" w:styleId="4">
    <w:name w:val="Balloon Text"/>
    <w:basedOn w:val="1"/>
    <w:link w:val="20"/>
    <w:semiHidden/>
    <w:unhideWhenUsed/>
    <w:uiPriority w:val="99"/>
    <w:pPr>
      <w:autoSpaceDE w:val="0"/>
      <w:autoSpaceDN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3"/>
    <w:uiPriority w:val="0"/>
    <w:rPr>
      <w:rFonts w:ascii="Times New Roman" w:hAnsi="Times New Roman" w:eastAsia="仿宋_GB2312" w:cs="Times New Roman"/>
      <w:b/>
      <w:bCs/>
      <w:snapToGrid w:val="0"/>
      <w:kern w:val="44"/>
      <w:sz w:val="44"/>
      <w:szCs w:val="44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17">
    <w:name w:val="List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9">
    <w:name w:val="fontstyle01"/>
    <w:basedOn w:val="9"/>
    <w:qFormat/>
    <w:uiPriority w:val="0"/>
    <w:rPr>
      <w:rFonts w:hint="eastAsia" w:ascii="宋体+FPEF" w:eastAsia="宋体+FPEF"/>
      <w:color w:val="000000"/>
      <w:sz w:val="22"/>
      <w:szCs w:val="22"/>
    </w:rPr>
  </w:style>
  <w:style w:type="character" w:customStyle="1" w:styleId="20">
    <w:name w:val="批注框文本 字符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2020-12-31T01:54:00Z</dcterms:created>
  <dc:creator>政府办管理员</dc:creator>
  <cp:lastModifiedBy>孟雪晴</cp:lastModifiedBy>
  <cp:lastPrinted>2020-12-31T01:47:00Z</cp:lastPrinted>
  <dcterms:modified xsi:type="dcterms:W3CDTF">2021-08-23T06:02:45Z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709A51F248BE45DB824252682A558DBA</vt:lpwstr>
  </property>
</Properties>
</file>