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F6D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方正小标宋简体" w:cs="方正小标宋简体"/>
          <w:color w:val="000000"/>
          <w:spacing w:val="0"/>
          <w:kern w:val="0"/>
          <w:sz w:val="44"/>
          <w:szCs w:val="44"/>
        </w:rPr>
      </w:pPr>
    </w:p>
    <w:p w14:paraId="0BF2D4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</w:t>
      </w:r>
      <w:r>
        <w:rPr>
          <w:rFonts w:hint="eastAsia" w:ascii="仿宋" w:hAnsi="仿宋" w:eastAsia="仿宋" w:cs="仿宋"/>
          <w:sz w:val="32"/>
          <w:szCs w:val="32"/>
        </w:rPr>
        <w:t>政办发〔202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6FEEF8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80" w:firstLineChars="20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pacing w:val="0"/>
          <w:kern w:val="0"/>
          <w:sz w:val="44"/>
          <w:szCs w:val="44"/>
        </w:rPr>
      </w:pPr>
    </w:p>
    <w:p w14:paraId="07A7E2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pacing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pacing w:val="0"/>
          <w:kern w:val="0"/>
          <w:sz w:val="44"/>
          <w:szCs w:val="44"/>
        </w:rPr>
        <w:t>临淄区人民政府办公室</w:t>
      </w:r>
    </w:p>
    <w:p w14:paraId="289488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pacing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pacing w:val="0"/>
          <w:kern w:val="0"/>
          <w:sz w:val="44"/>
          <w:szCs w:val="44"/>
        </w:rPr>
        <w:t>关于调整</w:t>
      </w:r>
      <w:r>
        <w:rPr>
          <w:rFonts w:hint="eastAsia" w:ascii="Times New Roman" w:hAnsi="Times New Roman" w:eastAsia="方正小标宋简体" w:cs="方正小标宋简体"/>
          <w:color w:val="000000"/>
          <w:spacing w:val="0"/>
          <w:kern w:val="0"/>
          <w:sz w:val="44"/>
          <w:szCs w:val="44"/>
          <w:lang w:eastAsia="zh-CN"/>
        </w:rPr>
        <w:t>《</w:t>
      </w:r>
      <w:r>
        <w:rPr>
          <w:rFonts w:hint="eastAsia" w:ascii="Times New Roman" w:hAnsi="Times New Roman" w:eastAsia="方正小标宋简体" w:cs="方正小标宋简体"/>
          <w:color w:val="000000"/>
          <w:spacing w:val="0"/>
          <w:kern w:val="0"/>
          <w:sz w:val="44"/>
          <w:szCs w:val="44"/>
          <w:lang w:val="en-US" w:eastAsia="zh-CN"/>
        </w:rPr>
        <w:t>临淄区人民政府2025年度</w:t>
      </w:r>
      <w:r>
        <w:rPr>
          <w:rFonts w:hint="eastAsia" w:ascii="Times New Roman" w:hAnsi="Times New Roman" w:eastAsia="方正小标宋简体" w:cs="方正小标宋简体"/>
          <w:color w:val="000000"/>
          <w:spacing w:val="0"/>
          <w:kern w:val="0"/>
          <w:sz w:val="44"/>
          <w:szCs w:val="44"/>
        </w:rPr>
        <w:t>重大行政决策目录</w:t>
      </w:r>
      <w:r>
        <w:rPr>
          <w:rFonts w:hint="eastAsia" w:ascii="Times New Roman" w:hAnsi="Times New Roman" w:eastAsia="方正小标宋简体" w:cs="方正小标宋简体"/>
          <w:color w:val="000000"/>
          <w:spacing w:val="0"/>
          <w:kern w:val="0"/>
          <w:sz w:val="44"/>
          <w:szCs w:val="44"/>
          <w:lang w:eastAsia="zh-CN"/>
        </w:rPr>
        <w:t>》</w:t>
      </w:r>
      <w:r>
        <w:rPr>
          <w:rFonts w:hint="eastAsia" w:ascii="Times New Roman" w:hAnsi="Times New Roman" w:eastAsia="方正小标宋简体" w:cs="方正小标宋简体"/>
          <w:color w:val="000000"/>
          <w:spacing w:val="0"/>
          <w:kern w:val="0"/>
          <w:sz w:val="44"/>
          <w:szCs w:val="44"/>
        </w:rPr>
        <w:t>的通知</w:t>
      </w:r>
    </w:p>
    <w:p w14:paraId="05EED3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jc w:val="both"/>
        <w:textAlignment w:val="auto"/>
        <w:rPr>
          <w:rFonts w:hint="eastAsia" w:ascii="Times New Roman" w:hAnsi="Times New Roman" w:eastAsia="方正小标宋简体" w:cs="方正小标宋简体"/>
          <w:color w:val="000000"/>
          <w:spacing w:val="0"/>
          <w:kern w:val="0"/>
          <w:sz w:val="44"/>
          <w:szCs w:val="44"/>
        </w:rPr>
      </w:pPr>
    </w:p>
    <w:p w14:paraId="1E6031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left"/>
        <w:textAlignment w:val="auto"/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</w:rPr>
      </w:pP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</w:rPr>
        <w:t>各镇人民政府、街道办事处，各开发区管委会，区政府各部门，各企事业单位：</w:t>
      </w:r>
    </w:p>
    <w:p w14:paraId="702DC7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</w:rPr>
      </w:pP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  <w:t>根据《淄博市重大行政决策程序规定》、《淄博市重大行政决策目录管理办法》的有关规定，对本年度重大决策事项进行调整梳理。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</w:rPr>
        <w:t>经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  <w:t>区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</w:rPr>
        <w:t>政府研究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eastAsia="zh-CN"/>
        </w:rPr>
        <w:t>，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</w:rPr>
        <w:t>决定对《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  <w:t>临淄区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</w:rPr>
        <w:t>人民政府202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</w:rPr>
        <w:t>年度重大行政决策事项目录》作出调整，现通知如下：</w:t>
      </w:r>
    </w:p>
    <w:p w14:paraId="454CC58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</w:rPr>
        <w:t>将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  <w:t>区民政局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</w:rPr>
        <w:t>承办的《淄博市临淄区殡葬设施专项规划（2021-2035年）》调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  <w:t>入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</w:rPr>
        <w:t>202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</w:rPr>
        <w:t>年度重大行政决策事项目录。</w:t>
      </w:r>
    </w:p>
    <w:p w14:paraId="2997995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  <w:t>列入目录的重大行政决策事项，各决策承办单位要切实履行主体责任，履行相关程序，确保有序推进。</w:t>
      </w:r>
    </w:p>
    <w:p w14:paraId="3E0F07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</w:pPr>
    </w:p>
    <w:p w14:paraId="7492B0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</w:rPr>
        <w:t>附件：临淄区人民政府2025年度重大行政决策事项目录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  <w:t>调整后</w:t>
      </w: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eastAsia="zh-CN"/>
        </w:rPr>
        <w:t>）</w:t>
      </w:r>
    </w:p>
    <w:p w14:paraId="329B92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center"/>
        <w:textAlignment w:val="auto"/>
        <w:rPr>
          <w:rFonts w:hint="eastAsia" w:ascii="Times New Roman" w:hAnsi="Times New Roman" w:eastAsia="仿宋"/>
          <w:b w:val="0"/>
          <w:bCs w:val="0"/>
          <w:color w:val="auto"/>
          <w:spacing w:val="0"/>
          <w:kern w:val="0"/>
          <w:sz w:val="32"/>
          <w:szCs w:val="24"/>
        </w:rPr>
      </w:pPr>
      <w:r>
        <w:rPr>
          <w:rFonts w:hint="eastAsia" w:ascii="Times New Roman" w:hAnsi="Times New Roman" w:eastAsia="仿宋"/>
          <w:color w:val="000000"/>
          <w:spacing w:val="0"/>
          <w:kern w:val="0"/>
          <w:sz w:val="32"/>
          <w:szCs w:val="24"/>
          <w:lang w:val="en-US" w:eastAsia="zh-CN"/>
        </w:rPr>
        <w:t xml:space="preserve">          </w:t>
      </w:r>
      <w:r>
        <w:rPr>
          <w:rFonts w:hint="eastAsia" w:ascii="Times New Roman" w:hAnsi="Times New Roman" w:eastAsia="仿宋"/>
          <w:color w:val="auto"/>
          <w:spacing w:val="0"/>
          <w:kern w:val="0"/>
          <w:sz w:val="32"/>
          <w:szCs w:val="24"/>
          <w:lang w:val="en-US" w:eastAsia="zh-CN"/>
        </w:rPr>
        <w:t xml:space="preserve">     </w:t>
      </w:r>
      <w:r>
        <w:rPr>
          <w:rFonts w:hint="eastAsia" w:ascii="Times New Roman" w:hAnsi="Times New Roman" w:eastAsia="仿宋"/>
          <w:b/>
          <w:bCs/>
          <w:color w:val="auto"/>
          <w:spacing w:val="0"/>
          <w:kern w:val="0"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 w:val="0"/>
          <w:bCs w:val="0"/>
          <w:color w:val="auto"/>
          <w:spacing w:val="0"/>
          <w:kern w:val="0"/>
          <w:sz w:val="32"/>
          <w:szCs w:val="24"/>
          <w:lang w:val="en-US" w:eastAsia="zh-CN"/>
        </w:rPr>
        <w:t xml:space="preserve"> 临淄区</w:t>
      </w:r>
      <w:r>
        <w:rPr>
          <w:rFonts w:hint="eastAsia" w:ascii="Times New Roman" w:hAnsi="Times New Roman" w:eastAsia="仿宋"/>
          <w:b w:val="0"/>
          <w:bCs w:val="0"/>
          <w:color w:val="auto"/>
          <w:spacing w:val="0"/>
          <w:kern w:val="0"/>
          <w:sz w:val="32"/>
          <w:szCs w:val="24"/>
        </w:rPr>
        <w:t>人民政府办公室</w:t>
      </w:r>
    </w:p>
    <w:p w14:paraId="2B9F11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center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pacing w:val="0"/>
          <w:kern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"/>
          <w:b w:val="0"/>
          <w:bCs w:val="0"/>
          <w:color w:val="auto"/>
          <w:spacing w:val="0"/>
          <w:kern w:val="0"/>
          <w:sz w:val="32"/>
          <w:szCs w:val="24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"/>
          <w:b w:val="0"/>
          <w:bCs w:val="0"/>
          <w:color w:val="auto"/>
          <w:spacing w:val="0"/>
          <w:kern w:val="0"/>
          <w:sz w:val="32"/>
          <w:szCs w:val="24"/>
        </w:rPr>
        <w:t>202</w:t>
      </w:r>
      <w:r>
        <w:rPr>
          <w:rFonts w:hint="eastAsia" w:ascii="Times New Roman" w:hAnsi="Times New Roman" w:eastAsia="仿宋"/>
          <w:b w:val="0"/>
          <w:bCs w:val="0"/>
          <w:color w:val="auto"/>
          <w:spacing w:val="0"/>
          <w:kern w:val="0"/>
          <w:sz w:val="32"/>
          <w:szCs w:val="24"/>
          <w:lang w:val="en-US" w:eastAsia="zh-CN"/>
        </w:rPr>
        <w:t>5</w:t>
      </w:r>
      <w:r>
        <w:rPr>
          <w:rFonts w:hint="eastAsia" w:ascii="Times New Roman" w:hAnsi="Times New Roman" w:eastAsia="仿宋"/>
          <w:b w:val="0"/>
          <w:bCs w:val="0"/>
          <w:color w:val="auto"/>
          <w:spacing w:val="0"/>
          <w:kern w:val="0"/>
          <w:sz w:val="32"/>
          <w:szCs w:val="24"/>
        </w:rPr>
        <w:t>年1</w:t>
      </w:r>
      <w:r>
        <w:rPr>
          <w:rFonts w:hint="eastAsia" w:ascii="Times New Roman" w:hAnsi="Times New Roman" w:eastAsia="仿宋"/>
          <w:b w:val="0"/>
          <w:bCs w:val="0"/>
          <w:color w:val="auto"/>
          <w:spacing w:val="0"/>
          <w:kern w:val="0"/>
          <w:sz w:val="32"/>
          <w:szCs w:val="24"/>
          <w:lang w:val="en-US" w:eastAsia="zh-CN"/>
        </w:rPr>
        <w:t>2</w:t>
      </w:r>
      <w:r>
        <w:rPr>
          <w:rFonts w:hint="eastAsia" w:ascii="Times New Roman" w:hAnsi="Times New Roman" w:eastAsia="仿宋"/>
          <w:b w:val="0"/>
          <w:bCs w:val="0"/>
          <w:color w:val="auto"/>
          <w:spacing w:val="0"/>
          <w:kern w:val="0"/>
          <w:sz w:val="32"/>
          <w:szCs w:val="24"/>
        </w:rPr>
        <w:t>月</w:t>
      </w:r>
      <w:r>
        <w:rPr>
          <w:rFonts w:hint="eastAsia" w:ascii="Times New Roman" w:hAnsi="Times New Roman" w:eastAsia="仿宋"/>
          <w:b w:val="0"/>
          <w:bCs w:val="0"/>
          <w:color w:val="auto"/>
          <w:spacing w:val="0"/>
          <w:kern w:val="0"/>
          <w:sz w:val="32"/>
          <w:szCs w:val="24"/>
          <w:lang w:val="en-US" w:eastAsia="zh-CN"/>
        </w:rPr>
        <w:t>26</w:t>
      </w:r>
      <w:r>
        <w:rPr>
          <w:rFonts w:hint="eastAsia" w:ascii="Times New Roman" w:hAnsi="Times New Roman" w:eastAsia="仿宋"/>
          <w:b w:val="0"/>
          <w:bCs w:val="0"/>
          <w:color w:val="auto"/>
          <w:spacing w:val="0"/>
          <w:kern w:val="0"/>
          <w:sz w:val="32"/>
          <w:szCs w:val="24"/>
        </w:rPr>
        <w:t>日</w:t>
      </w:r>
    </w:p>
    <w:p w14:paraId="2FC21F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auto"/>
          <w:spacing w:val="0"/>
          <w:kern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pacing w:val="0"/>
          <w:kern w:val="0"/>
          <w:sz w:val="32"/>
          <w:szCs w:val="24"/>
          <w:lang w:val="en-US" w:eastAsia="zh-CN"/>
        </w:rPr>
        <w:t>（此件公开发布）</w:t>
      </w:r>
    </w:p>
    <w:p w14:paraId="2A6590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  <w:t>附件</w:t>
      </w:r>
    </w:p>
    <w:p w14:paraId="272C1A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</w:pPr>
    </w:p>
    <w:p w14:paraId="4E52A2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临淄区人民政府</w:t>
      </w:r>
    </w:p>
    <w:p w14:paraId="0727B8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2025年度重大行政决策事项目录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（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调整后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）</w:t>
      </w:r>
    </w:p>
    <w:p w14:paraId="55A317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</w:p>
    <w:tbl>
      <w:tblPr>
        <w:tblStyle w:val="5"/>
        <w:tblW w:w="911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2843"/>
        <w:gridCol w:w="2651"/>
        <w:gridCol w:w="2314"/>
      </w:tblGrid>
      <w:tr w14:paraId="42CE5F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AD97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2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E223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决策事项名称</w:t>
            </w:r>
          </w:p>
        </w:tc>
        <w:tc>
          <w:tcPr>
            <w:tcW w:w="2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BD6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决策承办单位</w:t>
            </w:r>
          </w:p>
        </w:tc>
        <w:tc>
          <w:tcPr>
            <w:tcW w:w="2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D54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计划完成时限</w:t>
            </w:r>
          </w:p>
        </w:tc>
      </w:tr>
      <w:tr w14:paraId="60981C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1DF2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CA25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《淄博市临淄区养老服务设施专项规划（2022-2035年）》</w:t>
            </w:r>
          </w:p>
        </w:tc>
        <w:tc>
          <w:tcPr>
            <w:tcW w:w="2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BDDC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区民政局</w:t>
            </w:r>
          </w:p>
        </w:tc>
        <w:tc>
          <w:tcPr>
            <w:tcW w:w="2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CF5C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2025年11月底</w:t>
            </w:r>
          </w:p>
        </w:tc>
      </w:tr>
      <w:tr w14:paraId="6D502F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CDD0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314E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32"/>
                <w:szCs w:val="32"/>
              </w:rPr>
              <w:t>《淄博市临淄区殡葬设施专项规划（2021-2035年）》</w:t>
            </w:r>
          </w:p>
        </w:tc>
        <w:tc>
          <w:tcPr>
            <w:tcW w:w="2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3DB5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区民政局</w:t>
            </w:r>
          </w:p>
        </w:tc>
        <w:tc>
          <w:tcPr>
            <w:tcW w:w="2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3E4C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月底</w:t>
            </w:r>
          </w:p>
        </w:tc>
      </w:tr>
    </w:tbl>
    <w:p w14:paraId="5E21F7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D44AFBF">
      <w:pPr>
        <w:pStyle w:val="9"/>
        <w:rPr>
          <w:rFonts w:hint="default" w:ascii="Times New Roman" w:hAnsi="Times New Roman" w:eastAsia="黑体" w:cs="Times New Roman"/>
          <w:sz w:val="44"/>
          <w:szCs w:val="44"/>
        </w:rPr>
      </w:pPr>
    </w:p>
    <w:p w14:paraId="054E6CCF">
      <w:pPr>
        <w:pStyle w:val="9"/>
        <w:rPr>
          <w:rFonts w:hint="default" w:ascii="Times New Roman" w:hAnsi="Times New Roman" w:eastAsia="黑体" w:cs="Times New Roman"/>
          <w:sz w:val="44"/>
          <w:szCs w:val="44"/>
        </w:rPr>
      </w:pPr>
    </w:p>
    <w:p w14:paraId="0A4F9DBF">
      <w:pPr>
        <w:pStyle w:val="9"/>
        <w:rPr>
          <w:rFonts w:hint="default" w:ascii="Times New Roman" w:hAnsi="Times New Roman" w:eastAsia="黑体" w:cs="Times New Roman"/>
          <w:sz w:val="44"/>
          <w:szCs w:val="44"/>
        </w:rPr>
      </w:pPr>
    </w:p>
    <w:p w14:paraId="56BAA6BB">
      <w:pPr>
        <w:pStyle w:val="9"/>
        <w:rPr>
          <w:rFonts w:hint="default" w:ascii="Times New Roman" w:hAnsi="Times New Roman" w:eastAsia="黑体" w:cs="Times New Roman"/>
          <w:sz w:val="44"/>
          <w:szCs w:val="44"/>
        </w:rPr>
      </w:pPr>
    </w:p>
    <w:p w14:paraId="4EC84BC7">
      <w:pPr>
        <w:pStyle w:val="9"/>
        <w:rPr>
          <w:rFonts w:hint="default" w:ascii="Times New Roman" w:hAnsi="Times New Roman" w:eastAsia="黑体" w:cs="Times New Roman"/>
          <w:sz w:val="44"/>
          <w:szCs w:val="44"/>
        </w:rPr>
      </w:pPr>
    </w:p>
    <w:p w14:paraId="7BD51625">
      <w:pPr>
        <w:pStyle w:val="9"/>
        <w:rPr>
          <w:rFonts w:hint="default" w:ascii="Times New Roman" w:hAnsi="Times New Roman" w:eastAsia="黑体" w:cs="Times New Roman"/>
          <w:sz w:val="44"/>
          <w:szCs w:val="44"/>
        </w:rPr>
      </w:pPr>
    </w:p>
    <w:p w14:paraId="46F16221">
      <w:pPr>
        <w:pStyle w:val="9"/>
        <w:rPr>
          <w:rFonts w:hint="default" w:ascii="Times New Roman" w:hAnsi="Times New Roman" w:eastAsia="黑体" w:cs="Times New Roman"/>
          <w:sz w:val="44"/>
          <w:szCs w:val="44"/>
        </w:rPr>
      </w:pPr>
    </w:p>
    <w:p w14:paraId="152AFAC2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3E737248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62A8418F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67ACDC57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33A9BF78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4A675DF6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4232FB67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7B8FD118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5E7CD0D2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6D08DA64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500BEA7C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47281BF7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4EEE2DA4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6649E8A0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40ECE054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34B32D33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48CA5DF1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0C6F0338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222EFB63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45232715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1EE2FA4F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1ACC8002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4C1A6026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081EFC79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70F44ACE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172A5284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28E9A3CD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479CD0F5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510FBAFB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7E956CCD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114DB764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3F2113A4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4BBE7753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345980A7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02F596D5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42799E98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2C18E215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79800369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15AA3288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  <w:bookmarkStart w:id="0" w:name="_GoBack"/>
      <w:bookmarkEnd w:id="0"/>
    </w:p>
    <w:p w14:paraId="2AEF4004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382CAE93"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4E817ECC">
      <w:pPr>
        <w:widowControl/>
        <w:spacing w:line="500" w:lineRule="exact"/>
        <w:ind w:left="840" w:hanging="840" w:hangingChars="3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25400</wp:posOffset>
                </wp:positionV>
                <wp:extent cx="5715000" cy="0"/>
                <wp:effectExtent l="0" t="5080" r="0" b="444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2pt;height:0pt;width:450pt;z-index:251659264;mso-width-relative:page;mso-height-relative:page;" filled="f" stroked="t" coordsize="21600,21600" o:gfxdata="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bST0c1AAAAAcBAAAPAAAAAAAAAAEAIAAAACIAAABkcnMvZG93bnJldi54bWxQSwECFAAUAAAA&#10;CACHTuJAo3NpaPIBAADoAwAADgAAAAAAAAABACAAAAAj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692150</wp:posOffset>
                </wp:positionV>
                <wp:extent cx="5715000" cy="0"/>
                <wp:effectExtent l="0" t="5080" r="0" b="444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54.5pt;height:0pt;width:450pt;z-index:251660288;mso-width-relative:page;mso-height-relative:page;" filled="f" stroked="t" coordsize="21600,21600" o:gfxdata="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KU5aW1QAAAAsBAAAPAAAAAAAAAAEAIAAAACIAAABkcnMvZG93bnJldi54bWxQSwECFAAUAAAA&#10;CACHTuJA6CY04fEBAADoAwAADgAAAAAAAAABACAAAAAk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抄送</w:t>
      </w:r>
      <w:r>
        <w:rPr>
          <w:rFonts w:hint="eastAsia" w:ascii="楷体_GB2312" w:hAnsi="楷体_GB2312" w:eastAsia="楷体_GB2312" w:cs="楷体_GB2312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区委各部门，区人大、区政协、区纪委监委、区人武部办公室，区法院，区检察院。</w:t>
      </w:r>
    </w:p>
    <w:p w14:paraId="251EF877">
      <w:pPr>
        <w:widowControl/>
        <w:spacing w:line="520" w:lineRule="exac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328930</wp:posOffset>
                </wp:positionV>
                <wp:extent cx="5715000" cy="0"/>
                <wp:effectExtent l="0" t="5080" r="0" b="444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25.9pt;height:0pt;width:450pt;z-index:251661312;mso-width-relative:page;mso-height-relative:page;" filled="f" stroked="t" coordsize="21600,21600" o:gfxdata="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r6SvsNUAAAAJAQAADwAAAAAAAAABACAAAAAiAAAAZHJzL2Rvd25yZXYueG1sUEsBAhQAFAAA&#10;AAgAh07iQEU/iHjyAQAA6AMAAA4AAAAAAAAAAQAgAAAAJ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临淄区人民政府办公室                  20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日印发</w:t>
      </w:r>
    </w:p>
    <w:p w14:paraId="066CDF4D">
      <w:pPr>
        <w:pStyle w:val="9"/>
        <w:ind w:left="0" w:leftChars="0" w:firstLine="0" w:firstLineChars="0"/>
        <w:rPr>
          <w:rFonts w:hint="eastAsia" w:ascii="Times New Roman" w:hAnsi="Times New Roman" w:eastAsia="黑体" w:cs="Times New Roman"/>
          <w:sz w:val="44"/>
          <w:szCs w:val="44"/>
          <w:lang w:eastAsia="zh-CN"/>
        </w:rPr>
      </w:pPr>
    </w:p>
    <w:p w14:paraId="37FD4C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spacing w:val="0"/>
          <w:kern w:val="0"/>
          <w:sz w:val="32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7FF914"/>
    <w:multiLevelType w:val="singleLevel"/>
    <w:tmpl w:val="3E7FF9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MDY0YTk1ODU4ZTU4OWQ4NDZlNjk4MmRjZWE3MDMifQ=="/>
  </w:docVars>
  <w:rsids>
    <w:rsidRoot w:val="3BDC24A5"/>
    <w:rsid w:val="00FD69B3"/>
    <w:rsid w:val="021F6013"/>
    <w:rsid w:val="02354ACF"/>
    <w:rsid w:val="03C50E3C"/>
    <w:rsid w:val="040473FC"/>
    <w:rsid w:val="04315206"/>
    <w:rsid w:val="052676B9"/>
    <w:rsid w:val="08AB571A"/>
    <w:rsid w:val="09905A49"/>
    <w:rsid w:val="0A013EA0"/>
    <w:rsid w:val="0A7B04A7"/>
    <w:rsid w:val="0D24449E"/>
    <w:rsid w:val="0DD73C46"/>
    <w:rsid w:val="0EAA4EB7"/>
    <w:rsid w:val="0FF96E94"/>
    <w:rsid w:val="11C20769"/>
    <w:rsid w:val="12A10CC7"/>
    <w:rsid w:val="12CD1ABC"/>
    <w:rsid w:val="148C60C3"/>
    <w:rsid w:val="164B2578"/>
    <w:rsid w:val="17BE7C25"/>
    <w:rsid w:val="1F7E41A6"/>
    <w:rsid w:val="1FBE4C66"/>
    <w:rsid w:val="214223C4"/>
    <w:rsid w:val="21635AC5"/>
    <w:rsid w:val="236D77B6"/>
    <w:rsid w:val="26CF1507"/>
    <w:rsid w:val="278373C1"/>
    <w:rsid w:val="283E3BB8"/>
    <w:rsid w:val="2A375D41"/>
    <w:rsid w:val="2FD33622"/>
    <w:rsid w:val="36DD0BB4"/>
    <w:rsid w:val="391845A7"/>
    <w:rsid w:val="3949339B"/>
    <w:rsid w:val="39504729"/>
    <w:rsid w:val="3A230498"/>
    <w:rsid w:val="3B9B5A04"/>
    <w:rsid w:val="3BD42E4E"/>
    <w:rsid w:val="3BDC24A5"/>
    <w:rsid w:val="431A1904"/>
    <w:rsid w:val="43572B58"/>
    <w:rsid w:val="43F32F34"/>
    <w:rsid w:val="450C0C78"/>
    <w:rsid w:val="47775577"/>
    <w:rsid w:val="48FD7CFE"/>
    <w:rsid w:val="506643DA"/>
    <w:rsid w:val="5075461D"/>
    <w:rsid w:val="52BE22AC"/>
    <w:rsid w:val="538057B3"/>
    <w:rsid w:val="54236B9F"/>
    <w:rsid w:val="54622E43"/>
    <w:rsid w:val="55376345"/>
    <w:rsid w:val="55545149"/>
    <w:rsid w:val="559B4B26"/>
    <w:rsid w:val="55DA38A0"/>
    <w:rsid w:val="56D007FF"/>
    <w:rsid w:val="576176AA"/>
    <w:rsid w:val="57B36157"/>
    <w:rsid w:val="60EB4BB4"/>
    <w:rsid w:val="63901A42"/>
    <w:rsid w:val="66EF082E"/>
    <w:rsid w:val="682D3D04"/>
    <w:rsid w:val="6962178B"/>
    <w:rsid w:val="69CC12FA"/>
    <w:rsid w:val="6B366E35"/>
    <w:rsid w:val="6EAB13CA"/>
    <w:rsid w:val="704C36FD"/>
    <w:rsid w:val="70EE5FFA"/>
    <w:rsid w:val="7173037A"/>
    <w:rsid w:val="74620891"/>
    <w:rsid w:val="773C186D"/>
    <w:rsid w:val="79C612AC"/>
    <w:rsid w:val="7CC320E9"/>
    <w:rsid w:val="7ED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NormalIndent"/>
    <w:basedOn w:val="1"/>
    <w:qFormat/>
    <w:uiPriority w:val="0"/>
    <w:pPr>
      <w:snapToGrid w:val="0"/>
      <w:spacing w:line="300" w:lineRule="auto"/>
      <w:ind w:firstLine="556"/>
      <w:textAlignment w:val="baseline"/>
    </w:pPr>
    <w:rPr>
      <w:rFonts w:ascii="仿宋_GB2312" w:hAnsi="Calibri"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490</Words>
  <Characters>549</Characters>
  <Lines>0</Lines>
  <Paragraphs>0</Paragraphs>
  <TotalTime>0</TotalTime>
  <ScaleCrop>false</ScaleCrop>
  <LinksUpToDate>false</LinksUpToDate>
  <CharactersWithSpaces>600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2025-11-16T11:13:00Z</dcterms:created>
  <dc:creator>AA紫霜冰晶结</dc:creator>
  <cp:lastModifiedBy>糖芯</cp:lastModifiedBy>
  <cp:lastPrinted>2025-12-21T10:36:00Z</cp:lastPrinted>
  <dcterms:modified xsi:type="dcterms:W3CDTF">2025-12-30T01:36:24Z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8BD85D5CB45C40E4AA69DD34C4EB1373_13</vt:lpwstr>
  </property>
  <property fmtid="{D5CDD505-2E9C-101B-9397-08002B2CF9AE}" pid="4" name="KSOTemplateDocerSaveRecord">
    <vt:lpwstr>eyJoZGlkIjoiZjQ5YmNjNGRiYmMyM2VhZTljMjQ3YTY0Nzk4MjJmOTMiLCJ1c2VySWQiOiI1MTg0NDc3MzkifQ==</vt:lpwstr>
  </property>
</Properties>
</file>