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pPr>
    </w:p>
    <w:p>
      <w:pPr>
        <w:spacing w:line="560" w:lineRule="exact"/>
        <w:jc w:val="cente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pPr>
    </w:p>
    <w:p>
      <w:pPr>
        <w:jc w:val="center"/>
        <w:rPr>
          <w:rFonts w:ascii="仿宋_GB2312" w:eastAsia="仿宋_GB2312"/>
          <w:sz w:val="32"/>
          <w:szCs w:val="32"/>
        </w:rPr>
      </w:pPr>
      <w:r>
        <w:rPr>
          <w:rFonts w:hint="eastAsia" w:ascii="仿宋" w:hAnsi="仿宋" w:eastAsia="仿宋" w:cs="仿宋"/>
          <w:sz w:val="32"/>
          <w:szCs w:val="32"/>
        </w:rPr>
        <w:t>临政</w:t>
      </w:r>
      <w:r>
        <w:rPr>
          <w:rFonts w:hint="eastAsia" w:ascii="仿宋" w:hAnsi="仿宋" w:eastAsia="仿宋" w:cs="仿宋"/>
          <w:sz w:val="32"/>
          <w:szCs w:val="32"/>
          <w:lang w:val="en-US" w:eastAsia="zh-CN"/>
        </w:rPr>
        <w:t>办</w:t>
      </w:r>
      <w:r>
        <w:rPr>
          <w:rFonts w:hint="eastAsia" w:ascii="仿宋" w:hAnsi="仿宋" w:eastAsia="仿宋" w:cs="仿宋"/>
          <w:sz w:val="32"/>
          <w:szCs w:val="32"/>
        </w:rPr>
        <w:t>字〔</w:t>
      </w:r>
      <w:r>
        <w:rPr>
          <w:rFonts w:ascii="仿宋" w:hAnsi="仿宋" w:eastAsia="仿宋" w:cs="仿宋"/>
          <w:sz w:val="32"/>
          <w:szCs w:val="32"/>
        </w:rPr>
        <w:t>20</w:t>
      </w:r>
      <w:r>
        <w:rPr>
          <w:rFonts w:hint="eastAsia" w:ascii="仿宋" w:hAnsi="仿宋" w:eastAsia="仿宋" w:cs="仿宋"/>
          <w:sz w:val="32"/>
          <w:szCs w:val="32"/>
        </w:rPr>
        <w:t>23〕</w:t>
      </w:r>
      <w:r>
        <w:rPr>
          <w:rFonts w:hint="eastAsia" w:ascii="仿宋" w:hAnsi="仿宋" w:eastAsia="仿宋" w:cs="仿宋"/>
          <w:sz w:val="32"/>
          <w:szCs w:val="32"/>
          <w:lang w:val="en-US" w:eastAsia="zh-CN"/>
        </w:rPr>
        <w:t>15</w:t>
      </w:r>
      <w:bookmarkStart w:id="0" w:name="_GoBack"/>
      <w:bookmarkEnd w:id="0"/>
      <w:r>
        <w:rPr>
          <w:rFonts w:hint="eastAsia" w:ascii="仿宋" w:hAnsi="仿宋" w:eastAsia="仿宋" w:cs="仿宋"/>
          <w:sz w:val="32"/>
          <w:szCs w:val="32"/>
        </w:rPr>
        <w:t>号</w:t>
      </w:r>
    </w:p>
    <w:p>
      <w:pPr>
        <w:spacing w:line="560" w:lineRule="exact"/>
        <w:jc w:val="cente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pPr>
    </w:p>
    <w:p>
      <w:pPr>
        <w:spacing w:line="560" w:lineRule="exact"/>
        <w:jc w:val="cente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t>临淄区人民政府办公室</w:t>
      </w:r>
    </w:p>
    <w:p>
      <w:pPr>
        <w:spacing w:line="560" w:lineRule="exact"/>
        <w:jc w:val="cente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t>关于印发</w:t>
      </w:r>
      <w:r>
        <w:rPr>
          <w:rFonts w:hint="eastAsia" w:ascii="方正小标宋简体" w:hAnsi="Times New Roman" w:eastAsia="方正小标宋简体" w:cs="Times New Roman"/>
          <w:color w:val="000000" w:themeColor="text1"/>
          <w:spacing w:val="2"/>
          <w:kern w:val="0"/>
          <w:sz w:val="44"/>
          <w:szCs w:val="44"/>
          <w:lang w:val="en-US" w:eastAsia="zh-CN"/>
          <w14:textFill>
            <w14:solidFill>
              <w14:schemeClr w14:val="tx1"/>
            </w14:solidFill>
          </w14:textFill>
        </w:rPr>
        <w:t>2023年临淄区政务公开工作方案</w:t>
      </w:r>
      <w: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t>的通</w:t>
      </w:r>
      <w:r>
        <w:rPr>
          <w:rFonts w:hint="eastAsia" w:ascii="方正小标宋简体" w:hAnsi="Times New Roman" w:eastAsia="方正小标宋简体" w:cs="Times New Roman"/>
          <w:color w:val="000000" w:themeColor="text1"/>
          <w:spacing w:val="2"/>
          <w:kern w:val="0"/>
          <w:sz w:val="44"/>
          <w:szCs w:val="44"/>
          <w:lang w:val="en-US" w:eastAsia="zh-CN"/>
          <w14:textFill>
            <w14:solidFill>
              <w14:schemeClr w14:val="tx1"/>
            </w14:solidFill>
          </w14:textFill>
        </w:rPr>
        <w:t xml:space="preserve">    </w:t>
      </w:r>
      <w:r>
        <w:rPr>
          <w:rFonts w:hint="eastAsia" w:ascii="方正小标宋简体" w:hAnsi="Times New Roman" w:eastAsia="方正小标宋简体" w:cs="Times New Roman"/>
          <w:color w:val="000000" w:themeColor="text1"/>
          <w:spacing w:val="2"/>
          <w:kern w:val="0"/>
          <w:sz w:val="44"/>
          <w:szCs w:val="44"/>
          <w14:textFill>
            <w14:solidFill>
              <w14:schemeClr w14:val="tx1"/>
            </w14:solidFill>
          </w14:textFill>
        </w:rPr>
        <w:t>知</w:t>
      </w:r>
    </w:p>
    <w:p>
      <w:pPr>
        <w:pStyle w:val="2"/>
        <w:rPr>
          <w:rFonts w:hint="eastAsia"/>
        </w:rPr>
      </w:pPr>
    </w:p>
    <w:p>
      <w:pPr>
        <w:pStyle w:val="7"/>
        <w:keepNext w:val="0"/>
        <w:keepLines w:val="0"/>
        <w:widowControl/>
        <w:suppressLineNumbers w:val="0"/>
        <w:spacing w:line="560" w:lineRule="atLeast"/>
        <w:jc w:val="both"/>
        <w:rPr>
          <w:rFonts w:hint="eastAsia" w:ascii="仿宋" w:hAnsi="仿宋" w:eastAsia="仿宋" w:cs="仿宋"/>
          <w:sz w:val="32"/>
          <w:szCs w:val="32"/>
          <w:lang w:val="en-US"/>
        </w:rPr>
      </w:pPr>
      <w:r>
        <w:rPr>
          <w:rFonts w:hint="eastAsia" w:ascii="仿宋" w:hAnsi="仿宋" w:eastAsia="仿宋" w:cs="仿宋"/>
          <w:sz w:val="32"/>
          <w:szCs w:val="32"/>
          <w:lang w:val="en-US"/>
        </w:rPr>
        <w:t>各镇人民政府、街道办事处,各开发区管委会，区政府各部门，有关企事业单位：</w:t>
      </w:r>
    </w:p>
    <w:p>
      <w:pPr>
        <w:pStyle w:val="7"/>
        <w:keepNext w:val="0"/>
        <w:keepLines w:val="0"/>
        <w:widowControl/>
        <w:suppressLineNumbers w:val="0"/>
        <w:spacing w:line="560" w:lineRule="atLeast"/>
        <w:ind w:left="0" w:firstLine="640"/>
        <w:jc w:val="both"/>
        <w:rPr>
          <w:rFonts w:hint="eastAsia" w:ascii="仿宋" w:hAnsi="仿宋" w:eastAsia="仿宋" w:cs="仿宋"/>
          <w:sz w:val="32"/>
          <w:szCs w:val="32"/>
          <w:lang w:val="en-US"/>
        </w:rPr>
      </w:pP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年临淄区政务公开工作方案》已经区政府同意，现印发给你们，请结合实际，认真抓好贯彻实施。</w:t>
      </w:r>
    </w:p>
    <w:p>
      <w:pPr>
        <w:pStyle w:val="7"/>
        <w:keepNext w:val="0"/>
        <w:keepLines w:val="0"/>
        <w:widowControl/>
        <w:suppressLineNumbers w:val="0"/>
        <w:spacing w:line="560" w:lineRule="atLeast"/>
        <w:ind w:left="0" w:firstLine="640"/>
        <w:jc w:val="both"/>
        <w:rPr>
          <w:rFonts w:hint="eastAsia" w:ascii="仿宋" w:hAnsi="仿宋" w:eastAsia="仿宋" w:cs="仿宋"/>
          <w:sz w:val="32"/>
          <w:szCs w:val="32"/>
          <w:lang w:val="en-US"/>
        </w:rPr>
      </w:pPr>
    </w:p>
    <w:p>
      <w:pPr>
        <w:pStyle w:val="7"/>
        <w:keepNext w:val="0"/>
        <w:keepLines w:val="0"/>
        <w:widowControl/>
        <w:suppressLineNumbers w:val="0"/>
        <w:spacing w:line="560" w:lineRule="atLeast"/>
        <w:ind w:left="0" w:firstLine="5126" w:firstLineChars="1602"/>
        <w:jc w:val="both"/>
        <w:rPr>
          <w:rFonts w:hint="eastAsia" w:ascii="仿宋" w:hAnsi="仿宋" w:eastAsia="仿宋" w:cs="仿宋"/>
          <w:sz w:val="32"/>
          <w:szCs w:val="32"/>
          <w:lang w:val="en-US"/>
        </w:rPr>
      </w:pPr>
      <w:r>
        <w:rPr>
          <w:rFonts w:hint="eastAsia" w:ascii="仿宋" w:hAnsi="仿宋" w:eastAsia="仿宋" w:cs="仿宋"/>
          <w:sz w:val="32"/>
          <w:szCs w:val="32"/>
          <w:lang w:val="en-US"/>
        </w:rPr>
        <w:t>临淄区人民政府办公室</w:t>
      </w:r>
    </w:p>
    <w:p>
      <w:pPr>
        <w:pStyle w:val="7"/>
        <w:keepNext w:val="0"/>
        <w:keepLines w:val="0"/>
        <w:widowControl/>
        <w:suppressLineNumbers w:val="0"/>
        <w:spacing w:line="560" w:lineRule="atLeast"/>
        <w:ind w:left="0" w:firstLine="640"/>
        <w:jc w:val="both"/>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7</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val="en-US"/>
        </w:rPr>
        <w:t>日</w:t>
      </w:r>
    </w:p>
    <w:p>
      <w:pPr>
        <w:pStyle w:val="7"/>
        <w:keepNext w:val="0"/>
        <w:keepLines w:val="0"/>
        <w:widowControl/>
        <w:suppressLineNumbers w:val="0"/>
        <w:spacing w:line="560" w:lineRule="atLeast"/>
        <w:ind w:left="0" w:firstLine="640"/>
        <w:jc w:val="both"/>
        <w:rPr>
          <w:rFonts w:hint="eastAsia" w:ascii="仿宋" w:hAnsi="仿宋" w:eastAsia="仿宋" w:cs="仿宋"/>
          <w:sz w:val="32"/>
          <w:szCs w:val="32"/>
          <w:lang w:val="en-US"/>
        </w:rPr>
      </w:pPr>
      <w:r>
        <w:rPr>
          <w:rFonts w:hint="eastAsia" w:ascii="仿宋" w:hAnsi="仿宋" w:eastAsia="仿宋" w:cs="仿宋"/>
          <w:sz w:val="32"/>
          <w:szCs w:val="32"/>
          <w:lang w:val="en-US"/>
        </w:rPr>
        <w:t>（此件公开发布）</w:t>
      </w:r>
    </w:p>
    <w:p>
      <w:pPr>
        <w:spacing w:line="560" w:lineRule="exact"/>
        <w:rPr>
          <w:rFonts w:hint="eastAsia" w:ascii="Times New Roman" w:hAnsi="Times New Roman" w:eastAsia="仿宋_GB2312" w:cs="Times New Roman"/>
          <w:color w:val="000000" w:themeColor="text1"/>
          <w:spacing w:val="2"/>
          <w:kern w:val="0"/>
          <w:sz w:val="30"/>
          <w:szCs w:val="30"/>
          <w14:textFill>
            <w14:solidFill>
              <w14:schemeClr w14:val="tx1"/>
            </w14:solidFill>
          </w14:textFill>
        </w:rPr>
      </w:pPr>
    </w:p>
    <w:p>
      <w:pPr>
        <w:pStyle w:val="7"/>
        <w:keepNext w:val="0"/>
        <w:keepLines w:val="0"/>
        <w:widowControl/>
        <w:suppressLineNumbers w:val="0"/>
        <w:spacing w:line="560" w:lineRule="atLeast"/>
        <w:ind w:left="0" w:firstLine="640"/>
        <w:jc w:val="both"/>
        <w:rPr>
          <w:rFonts w:ascii="仿宋" w:hAnsi="仿宋" w:eastAsia="仿宋" w:cs="仿宋"/>
          <w:sz w:val="32"/>
          <w:szCs w:val="32"/>
        </w:rPr>
      </w:pPr>
    </w:p>
    <w:p>
      <w:pPr>
        <w:pStyle w:val="7"/>
        <w:keepNext w:val="0"/>
        <w:keepLines w:val="0"/>
        <w:widowControl/>
        <w:suppressLineNumbers w:val="0"/>
        <w:spacing w:line="560" w:lineRule="atLeast"/>
        <w:ind w:left="0" w:firstLine="640"/>
        <w:jc w:val="center"/>
        <w:rPr>
          <w:rFonts w:ascii="仿宋" w:hAnsi="仿宋" w:eastAsia="仿宋" w:cs="仿宋"/>
          <w:sz w:val="32"/>
          <w:szCs w:val="32"/>
        </w:rPr>
      </w:pPr>
      <w:r>
        <w:rPr>
          <w:rFonts w:hint="eastAsia" w:ascii="方正小标宋简体" w:hAnsi="Times New Roman" w:eastAsia="方正小标宋简体" w:cs="Times New Roman"/>
          <w:color w:val="000000" w:themeColor="text1"/>
          <w:spacing w:val="2"/>
          <w:kern w:val="0"/>
          <w:sz w:val="44"/>
          <w:szCs w:val="44"/>
          <w:lang w:val="en-US" w:eastAsia="zh-CN"/>
          <w14:textFill>
            <w14:solidFill>
              <w14:schemeClr w14:val="tx1"/>
            </w14:solidFill>
          </w14:textFill>
        </w:rPr>
        <w:t>2023年临淄区政务公开工作方案</w:t>
      </w:r>
    </w:p>
    <w:p>
      <w:pPr>
        <w:pStyle w:val="7"/>
        <w:keepNext w:val="0"/>
        <w:keepLines w:val="0"/>
        <w:widowControl/>
        <w:suppressLineNumbers w:val="0"/>
        <w:spacing w:line="560" w:lineRule="atLeast"/>
        <w:ind w:left="0" w:firstLine="640"/>
        <w:jc w:val="both"/>
      </w:pPr>
      <w:r>
        <w:rPr>
          <w:rFonts w:ascii="仿宋" w:hAnsi="仿宋" w:eastAsia="仿宋" w:cs="仿宋"/>
          <w:sz w:val="32"/>
          <w:szCs w:val="32"/>
        </w:rPr>
        <w:t>为做好</w:t>
      </w:r>
      <w:r>
        <w:rPr>
          <w:rFonts w:hint="eastAsia" w:ascii="仿宋" w:hAnsi="仿宋" w:eastAsia="仿宋" w:cs="仿宋"/>
          <w:sz w:val="32"/>
          <w:szCs w:val="32"/>
          <w:lang w:val="en-US"/>
        </w:rPr>
        <w:t>2023</w:t>
      </w:r>
      <w:r>
        <w:rPr>
          <w:rFonts w:hint="eastAsia" w:ascii="仿宋" w:hAnsi="仿宋" w:eastAsia="仿宋" w:cs="仿宋"/>
          <w:sz w:val="32"/>
          <w:szCs w:val="32"/>
        </w:rPr>
        <w:t>年全区政务公开工作，进一步提升政务公开标准化、规范化、信息化水平，根据国家和省、市</w:t>
      </w:r>
      <w:r>
        <w:rPr>
          <w:rFonts w:hint="eastAsia" w:ascii="仿宋" w:hAnsi="仿宋" w:eastAsia="仿宋" w:cs="仿宋"/>
          <w:sz w:val="32"/>
          <w:szCs w:val="32"/>
          <w:lang w:val="en-US"/>
        </w:rPr>
        <w:t>2023</w:t>
      </w:r>
      <w:r>
        <w:rPr>
          <w:rFonts w:hint="eastAsia" w:ascii="仿宋" w:hAnsi="仿宋" w:eastAsia="仿宋" w:cs="仿宋"/>
          <w:sz w:val="32"/>
          <w:szCs w:val="32"/>
        </w:rPr>
        <w:t>年政务公开有关工作要求，结合我区实际，制定如下工作方案。</w:t>
      </w:r>
    </w:p>
    <w:p>
      <w:pPr>
        <w:pStyle w:val="7"/>
        <w:keepNext w:val="0"/>
        <w:keepLines w:val="0"/>
        <w:widowControl/>
        <w:suppressLineNumbers w:val="0"/>
        <w:spacing w:line="560" w:lineRule="atLeast"/>
        <w:ind w:left="0" w:firstLine="640"/>
        <w:jc w:val="both"/>
      </w:pPr>
      <w:r>
        <w:rPr>
          <w:rFonts w:ascii="黑体" w:hAnsi="宋体" w:eastAsia="黑体" w:cs="黑体"/>
          <w:sz w:val="32"/>
          <w:szCs w:val="32"/>
        </w:rPr>
        <w:t>一、工作要求</w:t>
      </w:r>
    </w:p>
    <w:p>
      <w:pPr>
        <w:pStyle w:val="7"/>
        <w:keepNext w:val="0"/>
        <w:keepLines w:val="0"/>
        <w:widowControl/>
        <w:suppressLineNumbers w:val="0"/>
        <w:spacing w:line="560" w:lineRule="atLeast"/>
        <w:ind w:left="0" w:firstLine="640"/>
        <w:jc w:val="both"/>
      </w:pPr>
      <w:r>
        <w:rPr>
          <w:rFonts w:hint="eastAsia" w:ascii="仿宋" w:hAnsi="仿宋" w:eastAsia="仿宋" w:cs="仿宋"/>
          <w:sz w:val="32"/>
          <w:szCs w:val="32"/>
        </w:rPr>
        <w:t>全面贯彻落实《山东省人民政府办公厅关于印发</w:t>
      </w:r>
      <w:r>
        <w:rPr>
          <w:rFonts w:hint="eastAsia" w:ascii="仿宋" w:hAnsi="仿宋" w:eastAsia="仿宋" w:cs="仿宋"/>
          <w:sz w:val="32"/>
          <w:szCs w:val="32"/>
          <w:lang w:val="en-US"/>
        </w:rPr>
        <w:t>2023</w:t>
      </w:r>
      <w:r>
        <w:rPr>
          <w:rFonts w:hint="eastAsia" w:ascii="仿宋" w:hAnsi="仿宋" w:eastAsia="仿宋" w:cs="仿宋"/>
          <w:sz w:val="32"/>
          <w:szCs w:val="32"/>
        </w:rPr>
        <w:t>年山东省政务公开工作要点的通知》（鲁政办发〔</w:t>
      </w:r>
      <w:r>
        <w:rPr>
          <w:rFonts w:hint="eastAsia" w:ascii="仿宋" w:hAnsi="仿宋" w:eastAsia="仿宋" w:cs="仿宋"/>
          <w:sz w:val="32"/>
          <w:szCs w:val="32"/>
          <w:lang w:val="en-US"/>
        </w:rPr>
        <w:t>2023</w:t>
      </w:r>
      <w:r>
        <w:rPr>
          <w:rFonts w:hint="eastAsia" w:ascii="仿宋" w:hAnsi="仿宋" w:eastAsia="仿宋" w:cs="仿宋"/>
          <w:sz w:val="32"/>
          <w:szCs w:val="32"/>
        </w:rPr>
        <w:t>〕</w:t>
      </w:r>
      <w:r>
        <w:rPr>
          <w:rFonts w:hint="eastAsia" w:ascii="仿宋" w:hAnsi="仿宋" w:eastAsia="仿宋" w:cs="仿宋"/>
          <w:sz w:val="32"/>
          <w:szCs w:val="32"/>
          <w:lang w:val="en-US"/>
        </w:rPr>
        <w:t>8</w:t>
      </w:r>
      <w:r>
        <w:rPr>
          <w:rFonts w:hint="eastAsia" w:ascii="仿宋" w:hAnsi="仿宋" w:eastAsia="仿宋" w:cs="仿宋"/>
          <w:sz w:val="32"/>
          <w:szCs w:val="32"/>
        </w:rPr>
        <w:t>号），《淄博市人民政府办公室关于印发</w:t>
      </w:r>
      <w:r>
        <w:rPr>
          <w:rFonts w:hint="eastAsia" w:ascii="仿宋" w:hAnsi="仿宋" w:eastAsia="仿宋" w:cs="仿宋"/>
          <w:sz w:val="32"/>
          <w:szCs w:val="32"/>
          <w:lang w:val="en-US"/>
        </w:rPr>
        <w:t>2023</w:t>
      </w:r>
      <w:r>
        <w:rPr>
          <w:rFonts w:hint="eastAsia" w:ascii="仿宋" w:hAnsi="仿宋" w:eastAsia="仿宋" w:cs="仿宋"/>
          <w:sz w:val="32"/>
          <w:szCs w:val="32"/>
        </w:rPr>
        <w:t>年淄博市政务公开工作方案的通知》（淄政办字〔</w:t>
      </w:r>
      <w:r>
        <w:rPr>
          <w:rFonts w:hint="eastAsia" w:ascii="仿宋" w:hAnsi="仿宋" w:eastAsia="仿宋" w:cs="仿宋"/>
          <w:sz w:val="32"/>
          <w:szCs w:val="32"/>
          <w:lang w:val="en-US"/>
        </w:rPr>
        <w:t>2023</w:t>
      </w:r>
      <w:r>
        <w:rPr>
          <w:rFonts w:hint="eastAsia" w:ascii="仿宋" w:hAnsi="仿宋" w:eastAsia="仿宋" w:cs="仿宋"/>
          <w:sz w:val="32"/>
          <w:szCs w:val="32"/>
        </w:rPr>
        <w:t>〕</w:t>
      </w:r>
      <w:r>
        <w:rPr>
          <w:rFonts w:hint="eastAsia" w:ascii="仿宋" w:hAnsi="仿宋" w:eastAsia="仿宋" w:cs="仿宋"/>
          <w:sz w:val="32"/>
          <w:szCs w:val="32"/>
          <w:lang w:val="en-US"/>
        </w:rPr>
        <w:t>38</w:t>
      </w:r>
      <w:r>
        <w:rPr>
          <w:rFonts w:hint="eastAsia" w:ascii="仿宋" w:hAnsi="仿宋" w:eastAsia="仿宋" w:cs="仿宋"/>
          <w:sz w:val="32"/>
          <w:szCs w:val="32"/>
        </w:rPr>
        <w:t>号）部署的工作任务和要求，围绕绿色低碳高质量发展、更高水平决策、政策解读回应、政务公开规范化建设梳理重点任务，明确公开责任，形成工作台账，确保落实到位，推动政务公开工作基础巩固提升，助力打造法治政府、服务型政府、效能政府、数字政府、廉洁政府，为加快实现“共同富裕先行区”城市愿景，全面开创新时代社会主义现代化强区建设新局面贡献力量。</w:t>
      </w:r>
    </w:p>
    <w:p>
      <w:pPr>
        <w:pStyle w:val="7"/>
        <w:keepNext w:val="0"/>
        <w:keepLines w:val="0"/>
        <w:widowControl/>
        <w:suppressLineNumbers w:val="0"/>
        <w:spacing w:line="560" w:lineRule="atLeast"/>
        <w:ind w:left="0" w:firstLine="640"/>
        <w:jc w:val="both"/>
      </w:pPr>
      <w:r>
        <w:rPr>
          <w:rFonts w:hint="eastAsia" w:ascii="黑体" w:hAnsi="宋体" w:eastAsia="黑体" w:cs="黑体"/>
          <w:sz w:val="32"/>
          <w:szCs w:val="32"/>
        </w:rPr>
        <w:t>二、重点任务</w:t>
      </w:r>
    </w:p>
    <w:p>
      <w:pPr>
        <w:pStyle w:val="7"/>
        <w:keepNext w:val="0"/>
        <w:keepLines w:val="0"/>
        <w:widowControl/>
        <w:suppressLineNumbers w:val="0"/>
        <w:spacing w:line="560" w:lineRule="atLeast"/>
        <w:ind w:left="0" w:firstLine="640"/>
        <w:jc w:val="both"/>
      </w:pPr>
      <w:r>
        <w:rPr>
          <w:rFonts w:ascii="楷体" w:hAnsi="楷体" w:eastAsia="楷体" w:cs="楷体"/>
          <w:sz w:val="32"/>
          <w:szCs w:val="32"/>
        </w:rPr>
        <w:t>（一）着力夯实常态化工作基础。</w:t>
      </w:r>
      <w:r>
        <w:rPr>
          <w:rFonts w:hint="eastAsia" w:ascii="仿宋" w:hAnsi="仿宋" w:eastAsia="仿宋" w:cs="仿宋"/>
          <w:sz w:val="32"/>
          <w:szCs w:val="32"/>
        </w:rPr>
        <w:t>扎实推进政务公开常态化，各级各部门严格按照政务公开常态化工作任务清单抓好政府信息公开日常工作，公开情况作为季度检查重点，相关问题通报各级各部门并在考核中作为扣分依据。</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（二）继续深化公共企事业单位信息公开。</w:t>
      </w:r>
      <w:r>
        <w:rPr>
          <w:rFonts w:hint="eastAsia" w:ascii="仿宋" w:hAnsi="仿宋" w:eastAsia="仿宋" w:cs="仿宋"/>
          <w:sz w:val="32"/>
          <w:szCs w:val="32"/>
        </w:rPr>
        <w:t>加强纵向指导和业务培训，区教体局、区卫健局、区住建局、区水利局等行业主管部门要进一步组织完善本领域公共企事业单位信息公开目录，定期开展业务培训。强化属地管理，加大调度督导力度，在各公共企事业单位建立联络员制度，定期对公共企事业单位信息公开情况开展检查。动态更新公共企事业单位适用主体清单，列入清单的公共企事业单位相关信息要全部在公共企事业单位信息公开平台汇聚展示；对以汇总链接形式在平台进行集中展示的企事业单位，重点加强对网站栏目设置的监督指导，确保栏目清晰、要素齐全、更新及时。着力加强线下公开场所、电话咨询等公开渠道建设，及时回应社会关切，满足服务对象及社会公众的个性化信息需求。</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（三）持续强化政务公开队伍建设。</w:t>
      </w:r>
      <w:r>
        <w:rPr>
          <w:rFonts w:hint="eastAsia" w:ascii="仿宋" w:hAnsi="仿宋" w:eastAsia="仿宋" w:cs="仿宋"/>
          <w:sz w:val="32"/>
          <w:szCs w:val="32"/>
        </w:rPr>
        <w:t>强化领导干部政务公开培训，提高领导干部公开意识。加大业务骨干培养力度，定期举办业务培训班，培养一批既懂公开业务又懂网站技术的复合型人才。加大人才交流力度，建立跟班学习、轮岗培训机制，实施以干带训，进一步提高政务公开队伍的专业化水平。</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（四）进一步巩固</w:t>
      </w:r>
      <w:r>
        <w:rPr>
          <w:rFonts w:hint="eastAsia" w:ascii="楷体" w:hAnsi="楷体" w:eastAsia="楷体" w:cs="楷体"/>
          <w:sz w:val="32"/>
          <w:szCs w:val="32"/>
          <w:lang w:val="en-US"/>
        </w:rPr>
        <w:t>“</w:t>
      </w:r>
      <w:r>
        <w:rPr>
          <w:rFonts w:hint="eastAsia" w:ascii="楷体" w:hAnsi="楷体" w:eastAsia="楷体" w:cs="楷体"/>
          <w:sz w:val="32"/>
          <w:szCs w:val="32"/>
        </w:rPr>
        <w:t>管业务就要管公开</w:t>
      </w:r>
      <w:r>
        <w:rPr>
          <w:rFonts w:hint="eastAsia" w:ascii="楷体" w:hAnsi="楷体" w:eastAsia="楷体" w:cs="楷体"/>
          <w:sz w:val="32"/>
          <w:szCs w:val="32"/>
          <w:lang w:val="en-US"/>
        </w:rPr>
        <w:t>”</w:t>
      </w:r>
      <w:r>
        <w:rPr>
          <w:rFonts w:hint="eastAsia" w:ascii="楷体" w:hAnsi="楷体" w:eastAsia="楷体" w:cs="楷体"/>
          <w:sz w:val="32"/>
          <w:szCs w:val="32"/>
        </w:rPr>
        <w:t>工作模式。</w:t>
      </w:r>
      <w:r>
        <w:rPr>
          <w:rFonts w:hint="eastAsia" w:ascii="仿宋" w:hAnsi="仿宋" w:eastAsia="仿宋" w:cs="仿宋"/>
          <w:sz w:val="32"/>
          <w:szCs w:val="32"/>
        </w:rPr>
        <w:t>各部门单位要充分发挥职能优势，在部署安排业务工作的同时对相关公开事宜提出具体要求并督导落实，做到</w:t>
      </w:r>
      <w:r>
        <w:rPr>
          <w:rFonts w:hint="eastAsia" w:ascii="仿宋" w:hAnsi="仿宋" w:eastAsia="仿宋" w:cs="仿宋"/>
          <w:sz w:val="32"/>
          <w:szCs w:val="32"/>
          <w:lang w:val="en-US"/>
        </w:rPr>
        <w:t>“</w:t>
      </w:r>
      <w:r>
        <w:rPr>
          <w:rFonts w:hint="eastAsia" w:ascii="仿宋" w:hAnsi="仿宋" w:eastAsia="仿宋" w:cs="仿宋"/>
          <w:sz w:val="32"/>
          <w:szCs w:val="32"/>
        </w:rPr>
        <w:t>业务工作推进到哪里，政务公开就跟进到哪里</w:t>
      </w:r>
      <w:r>
        <w:rPr>
          <w:rFonts w:hint="eastAsia" w:ascii="仿宋" w:hAnsi="仿宋" w:eastAsia="仿宋" w:cs="仿宋"/>
          <w:sz w:val="32"/>
          <w:szCs w:val="32"/>
          <w:lang w:val="en-US"/>
        </w:rPr>
        <w:t>”</w:t>
      </w:r>
      <w:r>
        <w:rPr>
          <w:rFonts w:hint="eastAsia" w:ascii="仿宋" w:hAnsi="仿宋" w:eastAsia="仿宋" w:cs="仿宋"/>
          <w:sz w:val="32"/>
          <w:szCs w:val="32"/>
        </w:rPr>
        <w:t>。区发改局、区财政局、区司法局、区市场监管局等部门要加强对规划信息、财政预决算信息、行政执法信息、重大行政决策预公开信息、行政规范性文件、“双随机、一公开”等公开工作的监督指导。各业务主管单位在指导、推动系统内业务工作的同时，负责对相关部门单位的业务工作公开情况进行监督指导；对本系统政务公开工作指导、推动履责情况纳入相应业务主管部门单位的政务公开年度考核内容。</w:t>
      </w:r>
    </w:p>
    <w:p>
      <w:pPr>
        <w:pStyle w:val="7"/>
        <w:keepNext w:val="0"/>
        <w:keepLines w:val="0"/>
        <w:widowControl/>
        <w:suppressLineNumbers w:val="0"/>
        <w:spacing w:line="560" w:lineRule="atLeast"/>
        <w:ind w:left="0" w:firstLine="640"/>
        <w:jc w:val="both"/>
      </w:pPr>
      <w:r>
        <w:rPr>
          <w:rFonts w:hint="eastAsia" w:ascii="黑体" w:hAnsi="宋体" w:eastAsia="黑体" w:cs="黑体"/>
          <w:sz w:val="32"/>
          <w:szCs w:val="32"/>
        </w:rPr>
        <w:t>三、保障措施</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（一）强化组织领导。</w:t>
      </w:r>
      <w:r>
        <w:rPr>
          <w:rFonts w:hint="eastAsia" w:ascii="仿宋" w:hAnsi="仿宋" w:eastAsia="仿宋" w:cs="仿宋"/>
          <w:sz w:val="32"/>
          <w:szCs w:val="32"/>
        </w:rPr>
        <w:t>各级各部门每年至少召开</w:t>
      </w:r>
      <w:r>
        <w:rPr>
          <w:rFonts w:hint="eastAsia" w:ascii="仿宋" w:hAnsi="仿宋" w:eastAsia="仿宋" w:cs="仿宋"/>
          <w:sz w:val="32"/>
          <w:szCs w:val="32"/>
          <w:lang w:val="en-US"/>
        </w:rPr>
        <w:t>1</w:t>
      </w:r>
      <w:r>
        <w:rPr>
          <w:rFonts w:hint="eastAsia" w:ascii="仿宋" w:hAnsi="仿宋" w:eastAsia="仿宋" w:cs="仿宋"/>
          <w:sz w:val="32"/>
          <w:szCs w:val="32"/>
        </w:rPr>
        <w:t>次会议研究解决政务公开相关重点难点问题；要加强政务公开工作机构建设，配齐配强工作力量，保障工作经费；主要负责同志每年至少专题听取</w:t>
      </w:r>
      <w:r>
        <w:rPr>
          <w:rFonts w:hint="eastAsia" w:ascii="仿宋" w:hAnsi="仿宋" w:eastAsia="仿宋" w:cs="仿宋"/>
          <w:sz w:val="32"/>
          <w:szCs w:val="32"/>
          <w:lang w:val="en-US"/>
        </w:rPr>
        <w:t>1</w:t>
      </w:r>
      <w:r>
        <w:rPr>
          <w:rFonts w:hint="eastAsia" w:ascii="仿宋" w:hAnsi="仿宋" w:eastAsia="仿宋" w:cs="仿宋"/>
          <w:sz w:val="32"/>
          <w:szCs w:val="32"/>
        </w:rPr>
        <w:t>次工作汇报，及时研究解决政务公开工作中存在的困难和问题。</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（二）强化工作落实。</w:t>
      </w:r>
      <w:r>
        <w:rPr>
          <w:rFonts w:hint="eastAsia" w:ascii="仿宋" w:hAnsi="仿宋" w:eastAsia="仿宋" w:cs="仿宋"/>
          <w:sz w:val="32"/>
          <w:szCs w:val="32"/>
        </w:rPr>
        <w:t>各级各部门要对照《</w:t>
      </w:r>
      <w:r>
        <w:rPr>
          <w:rFonts w:hint="eastAsia" w:ascii="仿宋" w:hAnsi="仿宋" w:eastAsia="仿宋" w:cs="仿宋"/>
          <w:sz w:val="32"/>
          <w:szCs w:val="32"/>
          <w:lang w:val="en-US"/>
        </w:rPr>
        <w:t>2023</w:t>
      </w:r>
      <w:r>
        <w:rPr>
          <w:rFonts w:hint="eastAsia" w:ascii="仿宋" w:hAnsi="仿宋" w:eastAsia="仿宋" w:cs="仿宋"/>
          <w:sz w:val="32"/>
          <w:szCs w:val="32"/>
        </w:rPr>
        <w:t>年临淄区政务公开重点工作任务分解表》，梳理形成本部门单位系统工作台账，明确责任和完成时限，确保各项任务落实到位。落实情况要纳入政府信息公开工作年度报告内容予以公开。</w:t>
      </w:r>
    </w:p>
    <w:p>
      <w:pPr>
        <w:pStyle w:val="7"/>
        <w:keepNext w:val="0"/>
        <w:keepLines w:val="0"/>
        <w:widowControl/>
        <w:suppressLineNumbers w:val="0"/>
        <w:spacing w:line="560" w:lineRule="atLeast"/>
        <w:ind w:left="0" w:firstLine="640"/>
        <w:jc w:val="both"/>
      </w:pPr>
      <w:r>
        <w:rPr>
          <w:rFonts w:hint="eastAsia" w:ascii="楷体" w:hAnsi="楷体" w:eastAsia="楷体" w:cs="楷体"/>
          <w:sz w:val="32"/>
          <w:szCs w:val="32"/>
        </w:rPr>
        <w:t>（三）强化检查监督。</w:t>
      </w:r>
      <w:r>
        <w:rPr>
          <w:rFonts w:hint="eastAsia" w:ascii="仿宋" w:hAnsi="仿宋" w:eastAsia="仿宋" w:cs="仿宋"/>
          <w:sz w:val="32"/>
          <w:szCs w:val="32"/>
        </w:rPr>
        <w:t>政务公开工作检查继续沿用</w:t>
      </w:r>
      <w:r>
        <w:rPr>
          <w:rFonts w:hint="eastAsia" w:ascii="仿宋" w:hAnsi="仿宋" w:eastAsia="仿宋" w:cs="仿宋"/>
          <w:sz w:val="32"/>
          <w:szCs w:val="32"/>
          <w:lang w:val="en-US"/>
        </w:rPr>
        <w:t>“</w:t>
      </w:r>
      <w:r>
        <w:rPr>
          <w:rFonts w:hint="eastAsia" w:ascii="仿宋" w:hAnsi="仿宋" w:eastAsia="仿宋" w:cs="仿宋"/>
          <w:sz w:val="32"/>
          <w:szCs w:val="32"/>
        </w:rPr>
        <w:t>日常抽测、季度检查、年度考核</w:t>
      </w:r>
      <w:r>
        <w:rPr>
          <w:rFonts w:hint="eastAsia" w:ascii="仿宋" w:hAnsi="仿宋" w:eastAsia="仿宋" w:cs="仿宋"/>
          <w:sz w:val="32"/>
          <w:szCs w:val="32"/>
          <w:lang w:val="en-US"/>
        </w:rPr>
        <w:t>”</w:t>
      </w:r>
      <w:r>
        <w:rPr>
          <w:rFonts w:hint="eastAsia" w:ascii="仿宋" w:hAnsi="仿宋" w:eastAsia="仿宋" w:cs="仿宋"/>
          <w:sz w:val="32"/>
          <w:szCs w:val="32"/>
        </w:rPr>
        <w:t>的方式开展，日常抽测、季度检查通报问题计入考核成绩。各级各部门要对照查出问题举一反三、认真整改，整改确有难度，不能在规定时限完成的，要及时与区政府办公室政务公开办对接。</w:t>
      </w:r>
    </w:p>
    <w:p>
      <w:pPr>
        <w:pStyle w:val="7"/>
        <w:keepNext w:val="0"/>
        <w:keepLines w:val="0"/>
        <w:widowControl/>
        <w:suppressLineNumbers w:val="0"/>
        <w:spacing w:line="560" w:lineRule="atLeast"/>
        <w:jc w:val="both"/>
      </w:pPr>
      <w:r>
        <w:rPr>
          <w:rFonts w:hint="eastAsia" w:ascii="仿宋" w:hAnsi="仿宋" w:eastAsia="仿宋" w:cs="仿宋"/>
          <w:sz w:val="32"/>
          <w:szCs w:val="32"/>
          <w:lang w:val="en-US"/>
        </w:rPr>
        <w:t> </w:t>
      </w:r>
    </w:p>
    <w:p>
      <w:pPr>
        <w:pStyle w:val="7"/>
        <w:keepNext w:val="0"/>
        <w:keepLines w:val="0"/>
        <w:widowControl/>
        <w:suppressLineNumbers w:val="0"/>
        <w:spacing w:line="560" w:lineRule="atLeast"/>
        <w:ind w:left="0" w:firstLine="640"/>
        <w:jc w:val="both"/>
      </w:pPr>
      <w:r>
        <w:rPr>
          <w:rFonts w:hint="eastAsia" w:ascii="仿宋" w:hAnsi="仿宋" w:eastAsia="仿宋" w:cs="仿宋"/>
          <w:sz w:val="32"/>
          <w:szCs w:val="32"/>
        </w:rPr>
        <w:t>附件：</w:t>
      </w:r>
      <w:r>
        <w:rPr>
          <w:rFonts w:hint="eastAsia" w:ascii="仿宋" w:hAnsi="仿宋" w:eastAsia="仿宋" w:cs="仿宋"/>
          <w:sz w:val="32"/>
          <w:szCs w:val="32"/>
          <w:lang w:val="en-US"/>
        </w:rPr>
        <w:t>2023</w:t>
      </w:r>
      <w:r>
        <w:rPr>
          <w:rFonts w:hint="eastAsia" w:ascii="仿宋" w:hAnsi="仿宋" w:eastAsia="仿宋" w:cs="仿宋"/>
          <w:sz w:val="32"/>
          <w:szCs w:val="32"/>
        </w:rPr>
        <w:t>年临淄区政务公开重点工作任务分解表</w:t>
      </w:r>
    </w:p>
    <w:p>
      <w:pPr>
        <w:pStyle w:val="7"/>
        <w:keepNext w:val="0"/>
        <w:keepLines w:val="0"/>
        <w:widowControl/>
        <w:suppressLineNumbers w:val="0"/>
      </w:pPr>
      <w:r>
        <w:rPr>
          <w:rFonts w:ascii="Calibri" w:hAnsi="Calibri" w:cs="Calibri"/>
          <w:sz w:val="22"/>
          <w:szCs w:val="22"/>
          <w:lang w:val="en-US"/>
        </w:rPr>
        <w:t> </w:t>
      </w: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rPr>
          <w:rFonts w:hint="eastAsia" w:ascii="黑体" w:hAnsi="宋体" w:eastAsia="黑体" w:cs="黑体"/>
          <w:sz w:val="32"/>
          <w:szCs w:val="32"/>
        </w:rPr>
      </w:pPr>
    </w:p>
    <w:p>
      <w:pPr>
        <w:pStyle w:val="7"/>
        <w:keepNext w:val="0"/>
        <w:keepLines w:val="0"/>
        <w:widowControl/>
        <w:suppressLineNumbers w:val="0"/>
      </w:pPr>
      <w:r>
        <w:rPr>
          <w:rFonts w:hint="eastAsia" w:ascii="黑体" w:hAnsi="宋体" w:eastAsia="黑体" w:cs="黑体"/>
          <w:sz w:val="32"/>
          <w:szCs w:val="32"/>
        </w:rPr>
        <w:t>附件</w:t>
      </w:r>
    </w:p>
    <w:p>
      <w:pPr>
        <w:pStyle w:val="7"/>
        <w:keepNext w:val="0"/>
        <w:keepLines w:val="0"/>
        <w:widowControl/>
        <w:suppressLineNumbers w:val="0"/>
        <w:jc w:val="center"/>
      </w:pPr>
      <w:r>
        <w:rPr>
          <w:rFonts w:ascii="方正小标宋简体" w:hAnsi="方正小标宋简体" w:eastAsia="方正小标宋简体" w:cs="方正小标宋简体"/>
          <w:sz w:val="44"/>
          <w:szCs w:val="44"/>
          <w:lang w:val="en-US"/>
        </w:rPr>
        <w:t>2023</w:t>
      </w:r>
      <w:r>
        <w:rPr>
          <w:rFonts w:hint="eastAsia" w:ascii="方正小标宋简体" w:hAnsi="方正小标宋简体" w:eastAsia="方正小标宋简体" w:cs="方正小标宋简体"/>
          <w:sz w:val="44"/>
          <w:szCs w:val="44"/>
        </w:rPr>
        <w:t>年临淄区政务公开重点工作任务分解表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7"/>
        <w:gridCol w:w="792"/>
        <w:gridCol w:w="1041"/>
        <w:gridCol w:w="4018"/>
        <w:gridCol w:w="1372"/>
        <w:gridCol w:w="1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2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推进绿色低碳高质量发展信息公开</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围绕促进经济发展量质齐升强化公开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强化</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淄博消费提振年</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系列活动的公开和解读。</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区商务局、区文旅局</w:t>
            </w:r>
          </w:p>
        </w:tc>
        <w:tc>
          <w:tcPr>
            <w:tcW w:w="1648"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98"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聚焦刚性和改善性住房、新能源汽车、智能家电、文旅休闲、康养托育等消费领域，加大促进消费扩容提质有关政策的公开和解读力度。</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区商务局、区住建局、区文旅局、区卫健局、区民政局</w:t>
            </w:r>
          </w:p>
        </w:tc>
        <w:tc>
          <w:tcPr>
            <w:tcW w:w="164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2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聚焦持续扩大有效投资，做好基础设施</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七网</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等重大项目建设信息公开。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区发改局、区住建局、区交通运输局、区水利局、区农业农村局</w:t>
            </w:r>
          </w:p>
        </w:tc>
        <w:tc>
          <w:tcPr>
            <w:tcW w:w="164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3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加强改善生态环境质量信息公开，及时发布解读推动绿色低碳高质量发展相关政策措施。</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临淄</w:t>
            </w:r>
            <w:r>
              <w:rPr>
                <w:rFonts w:hint="eastAsia" w:ascii="仿宋" w:hAnsi="仿宋" w:eastAsia="仿宋" w:cs="仿宋"/>
                <w:sz w:val="24"/>
                <w:szCs w:val="24"/>
                <w:bdr w:val="none" w:color="auto" w:sz="0" w:space="0"/>
                <w:lang w:val="en-US"/>
              </w:rPr>
              <w:t>生态环境</w:t>
            </w:r>
            <w:r>
              <w:rPr>
                <w:rFonts w:hint="eastAsia" w:ascii="仿宋" w:hAnsi="仿宋" w:eastAsia="仿宋" w:cs="仿宋"/>
                <w:sz w:val="24"/>
                <w:szCs w:val="24"/>
                <w:bdr w:val="none" w:color="auto" w:sz="0" w:space="0"/>
              </w:rPr>
              <w:t>分</w:t>
            </w:r>
            <w:r>
              <w:rPr>
                <w:rFonts w:hint="eastAsia" w:ascii="仿宋" w:hAnsi="仿宋" w:eastAsia="仿宋" w:cs="仿宋"/>
                <w:sz w:val="24"/>
                <w:szCs w:val="24"/>
                <w:bdr w:val="none" w:color="auto" w:sz="0" w:space="0"/>
                <w:lang w:val="en-US"/>
              </w:rPr>
              <w:t>局</w:t>
            </w:r>
          </w:p>
        </w:tc>
        <w:tc>
          <w:tcPr>
            <w:tcW w:w="164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rPr>
          <w:lang w:val="en-US"/>
        </w:rPr>
      </w:pPr>
      <w:r>
        <w:rPr>
          <w:lang w:val="en-US"/>
        </w:rPr>
        <w:t> </w:t>
      </w:r>
    </w:p>
    <w:p>
      <w:pPr>
        <w:pStyle w:val="7"/>
        <w:keepNext w:val="0"/>
        <w:keepLines w:val="0"/>
        <w:widowControl/>
        <w:suppressLineNumbers w:val="0"/>
        <w:rPr>
          <w:lang w:val="en-US"/>
        </w:rPr>
      </w:pPr>
    </w:p>
    <w:p>
      <w:pPr>
        <w:pStyle w:val="7"/>
        <w:keepNext w:val="0"/>
        <w:keepLines w:val="0"/>
        <w:widowControl/>
        <w:suppressLineNumbers w:val="0"/>
        <w:rPr>
          <w:lang w:val="en-US"/>
        </w:rPr>
      </w:pPr>
    </w:p>
    <w:tbl>
      <w:tblPr>
        <w:tblW w:w="0" w:type="auto"/>
        <w:tblInd w:w="10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2"/>
        <w:gridCol w:w="761"/>
        <w:gridCol w:w="995"/>
        <w:gridCol w:w="4004"/>
        <w:gridCol w:w="1321"/>
        <w:gridCol w:w="11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24"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5</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推进绿色低碳高质量发展信息公开</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围绕激发市场主体活力强化公开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有序推进《中共山东省委、山东省人民政府关于国有企业创新驱动高质量发展的十条意见》（鲁发〔</w:t>
            </w:r>
            <w:r>
              <w:rPr>
                <w:rFonts w:hint="eastAsia" w:ascii="仿宋" w:hAnsi="仿宋" w:eastAsia="仿宋" w:cs="仿宋"/>
                <w:sz w:val="24"/>
                <w:szCs w:val="24"/>
                <w:bdr w:val="none" w:color="auto" w:sz="0" w:space="0"/>
                <w:lang w:val="en-US"/>
              </w:rPr>
              <w:t>2022</w:t>
            </w:r>
            <w:r>
              <w:rPr>
                <w:rFonts w:hint="eastAsia" w:ascii="仿宋" w:hAnsi="仿宋" w:eastAsia="仿宋" w:cs="仿宋"/>
                <w:sz w:val="24"/>
                <w:szCs w:val="24"/>
                <w:bdr w:val="none" w:color="auto" w:sz="0" w:space="0"/>
              </w:rPr>
              <w:t>〕</w:t>
            </w:r>
            <w:r>
              <w:rPr>
                <w:rFonts w:hint="eastAsia" w:ascii="仿宋" w:hAnsi="仿宋" w:eastAsia="仿宋" w:cs="仿宋"/>
                <w:sz w:val="24"/>
                <w:szCs w:val="24"/>
                <w:bdr w:val="none" w:color="auto" w:sz="0" w:space="0"/>
                <w:lang w:val="en-US"/>
              </w:rPr>
              <w:t>11</w:t>
            </w:r>
            <w:r>
              <w:rPr>
                <w:rFonts w:hint="eastAsia" w:ascii="仿宋" w:hAnsi="仿宋" w:eastAsia="仿宋" w:cs="仿宋"/>
                <w:sz w:val="24"/>
                <w:szCs w:val="24"/>
                <w:bdr w:val="none" w:color="auto" w:sz="0" w:space="0"/>
              </w:rPr>
              <w:t>号）和市配套措施落实情况和成效公开，健全信息公开制度，真实、全面、及时披露国有企业相关信息，实现国有企业信息公开全覆盖，打造</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阳光国企</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，提升社会公信力。</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区财政局</w:t>
            </w:r>
          </w:p>
          <w:p>
            <w:pPr>
              <w:pStyle w:val="7"/>
              <w:keepNext w:val="0"/>
              <w:keepLines w:val="0"/>
              <w:widowControl/>
              <w:suppressLineNumbers w:val="0"/>
            </w:pPr>
            <w:r>
              <w:rPr>
                <w:rFonts w:hint="eastAsia" w:ascii="仿宋" w:hAnsi="仿宋" w:eastAsia="仿宋" w:cs="仿宋"/>
                <w:sz w:val="24"/>
                <w:szCs w:val="24"/>
                <w:bdr w:val="none" w:color="auto" w:sz="0" w:space="0"/>
                <w:lang w:val="en-US"/>
              </w:rPr>
              <w:t> </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2"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6</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深入落实逾期未支付中小企业账款强制披露制度，严格按规定时限公开上年度逾期尚未支付中小企业款项的合同数量、金额等信息。</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区政府有关部门单位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及时公开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5"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7</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强化政策集成供给，加强</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稳中向好、进中提质</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系列政策包的权威发布和全面解读。</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区发改局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6"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8</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优化企业用户空间，完善</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一企一档</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功能，推动政策</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精准匹配、快速直达、一键兑现</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区大数据局，各镇、街道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49"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9</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围绕解决群众急难愁盼问题强化公开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针对就业困难人员、高校毕业生、脱贫劳动力、失业人员、退役军人等重点群体，做好职业技能培训、城乡公益性岗位、就业创业补贴、灵活就业支持政策等信息公开。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区政府有关部门单位，各镇、街道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11" w:hRule="atLeast"/>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10</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推进义务教育</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双减</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信息公开，加大适龄儿童入学政策的宣传和解读力度。</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区教体局，各镇、街道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rPr>
          <w:lang w:val="en-US"/>
        </w:rPr>
      </w:pPr>
      <w:r>
        <w:rPr>
          <w:lang w:val="en-US"/>
        </w:rPr>
        <w:t> </w:t>
      </w:r>
    </w:p>
    <w:p>
      <w:pPr>
        <w:pStyle w:val="7"/>
        <w:keepNext w:val="0"/>
        <w:keepLines w:val="0"/>
        <w:widowControl/>
        <w:suppressLineNumbers w:val="0"/>
        <w:rPr>
          <w:lang w:val="en-US"/>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
        <w:gridCol w:w="778"/>
        <w:gridCol w:w="1020"/>
        <w:gridCol w:w="4015"/>
        <w:gridCol w:w="1349"/>
        <w:gridCol w:w="1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11</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推进绿色低碳高质量发展信息公开</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围绕解决群众急难愁盼问题强化公开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加强民办教育学校和校外培训机构的监管，落实收费公示和公开承诺制度，推进办学资质等信息集中公开。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区教体局，各镇、街道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w:t>
            </w:r>
          </w:p>
          <w:p>
            <w:pPr>
              <w:pStyle w:val="7"/>
              <w:keepNext w:val="0"/>
              <w:keepLines w:val="0"/>
              <w:widowControl/>
              <w:suppressLineNumbers w:val="0"/>
            </w:pPr>
            <w:r>
              <w:rPr>
                <w:rFonts w:hint="eastAsia" w:ascii="仿宋" w:hAnsi="仿宋" w:eastAsia="仿宋" w:cs="仿宋"/>
                <w:sz w:val="24"/>
                <w:szCs w:val="24"/>
                <w:bdr w:val="none" w:color="auto" w:sz="0" w:space="0"/>
                <w:lang w:val="en-US"/>
              </w:rPr>
              <w:t>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7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12</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及时公开城市低保对象、农村低保对象、城市特困人员、农村特困人员、困难残疾人、重度残疾人、机构养育孤儿、社会散养孤儿（含事实无人抚养儿童）、重点困境儿童等</w:t>
            </w:r>
            <w:r>
              <w:rPr>
                <w:rFonts w:hint="eastAsia" w:ascii="仿宋" w:hAnsi="仿宋" w:eastAsia="仿宋" w:cs="仿宋"/>
                <w:sz w:val="24"/>
                <w:szCs w:val="24"/>
                <w:bdr w:val="none" w:color="auto" w:sz="0" w:space="0"/>
                <w:lang w:val="en-US"/>
              </w:rPr>
              <w:t>9</w:t>
            </w:r>
            <w:r>
              <w:rPr>
                <w:rFonts w:hint="eastAsia" w:ascii="仿宋" w:hAnsi="仿宋" w:eastAsia="仿宋" w:cs="仿宋"/>
                <w:sz w:val="24"/>
                <w:szCs w:val="24"/>
                <w:bdr w:val="none" w:color="auto" w:sz="0" w:space="0"/>
              </w:rPr>
              <w:t>类困难群众救助标准，健全动态调整机制。</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区民政局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9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13</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着力解决新市民、青年人等住房问题，及时公布城镇保障性安居工程年度建设计划，做好住房租赁补贴申领条件、程序、管理和审批等信息。</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区住建局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3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14</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加大养老托育有关支持政策的宣传解读力度，重点加强养老托育机构质量安全、从业人员、运营秩序等方面的监管，及时公布监管结果。</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区民政局、区卫健局，各镇、街道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0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15</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深入贯彻落实《信访工作条例》，通过网站公开网络信访渠道、通信地址、咨询投诉电话、信访接待的时间和地点、查询信访事项处理进展以及结果的方式等相关事项。</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rPr>
          <w:lang w:val="en-US"/>
        </w:rPr>
      </w:pPr>
      <w:r>
        <w:rPr>
          <w:lang w:val="en-US"/>
        </w:rPr>
        <w:t> </w:t>
      </w:r>
    </w:p>
    <w:p>
      <w:pPr>
        <w:pStyle w:val="7"/>
        <w:keepNext w:val="0"/>
        <w:keepLines w:val="0"/>
        <w:widowControl/>
        <w:suppressLineNumbers w:val="0"/>
        <w:rPr>
          <w:lang w:val="en-US"/>
        </w:rPr>
      </w:pPr>
    </w:p>
    <w:p>
      <w:pPr>
        <w:pStyle w:val="7"/>
        <w:keepNext w:val="0"/>
        <w:keepLines w:val="0"/>
        <w:widowControl/>
        <w:suppressLineNumbers w:val="0"/>
        <w:rPr>
          <w:lang w:val="en-US"/>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
        <w:gridCol w:w="778"/>
        <w:gridCol w:w="1020"/>
        <w:gridCol w:w="4015"/>
        <w:gridCol w:w="1349"/>
        <w:gridCol w:w="1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8"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16</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推进政策发布解读回应提质增效</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持续深化政策</w:t>
            </w:r>
          </w:p>
          <w:p>
            <w:pPr>
              <w:pStyle w:val="7"/>
              <w:keepNext w:val="0"/>
              <w:keepLines w:val="0"/>
              <w:widowControl/>
              <w:suppressLineNumbers w:val="0"/>
            </w:pPr>
            <w:r>
              <w:rPr>
                <w:rFonts w:hint="eastAsia" w:ascii="仿宋" w:hAnsi="仿宋" w:eastAsia="仿宋" w:cs="仿宋"/>
                <w:sz w:val="24"/>
                <w:szCs w:val="24"/>
                <w:bdr w:val="none" w:color="auto" w:sz="0" w:space="0"/>
              </w:rPr>
              <w:t>集中统一公开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持续规范政府信息公开专栏建设，确保法定主动公开内容全面、规范发布，杜绝超期补录、正文发布不规范等现象出现，政府信息发布参照政府文件发布格式持续规范。</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w:t>
            </w:r>
            <w:r>
              <w:rPr>
                <w:rFonts w:hint="eastAsia" w:ascii="仿宋" w:hAnsi="仿宋" w:eastAsia="仿宋" w:cs="仿宋"/>
                <w:sz w:val="24"/>
                <w:szCs w:val="24"/>
                <w:bdr w:val="none" w:color="auto" w:sz="0" w:space="0"/>
              </w:rPr>
              <w:t>年</w:t>
            </w:r>
            <w:r>
              <w:rPr>
                <w:rFonts w:hint="eastAsia" w:ascii="仿宋" w:hAnsi="仿宋" w:eastAsia="仿宋" w:cs="仿宋"/>
                <w:sz w:val="24"/>
                <w:szCs w:val="24"/>
                <w:bdr w:val="none" w:color="auto" w:sz="0" w:space="0"/>
                <w:lang w:val="en-US"/>
              </w:rPr>
              <w:t>10</w:t>
            </w:r>
            <w:r>
              <w:rPr>
                <w:rFonts w:hint="eastAsia" w:ascii="仿宋" w:hAnsi="仿宋" w:eastAsia="仿宋" w:cs="仿宋"/>
                <w:sz w:val="24"/>
                <w:szCs w:val="24"/>
                <w:bdr w:val="none" w:color="auto" w:sz="0" w:space="0"/>
              </w:rPr>
              <w:t>月底前对今年以来所发布政府信息全面规范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7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17</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加强主动公开基本目录动态管理，根据重点任务及群众需求，实时调整更新。</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本方案发布之日起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个工作日内及时动态更新本单位主动公开基本目录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3"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18</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进一步规范各类政府文件录入，严格按照《淄博市人民政府办公室关于印发〈淄博市规范政府文件发布格式和数据联通工作实施方案〉的通知》要求规范各类历史政府文件发布格式。</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w:t>
            </w:r>
            <w:r>
              <w:rPr>
                <w:rFonts w:hint="eastAsia" w:ascii="仿宋" w:hAnsi="仿宋" w:eastAsia="仿宋" w:cs="仿宋"/>
                <w:sz w:val="24"/>
                <w:szCs w:val="24"/>
                <w:bdr w:val="none" w:color="auto" w:sz="0" w:space="0"/>
              </w:rPr>
              <w:t>年</w:t>
            </w:r>
            <w:r>
              <w:rPr>
                <w:rFonts w:hint="eastAsia" w:ascii="仿宋" w:hAnsi="仿宋" w:eastAsia="仿宋" w:cs="仿宋"/>
                <w:sz w:val="24"/>
                <w:szCs w:val="24"/>
                <w:bdr w:val="none" w:color="auto" w:sz="0" w:space="0"/>
                <w:lang w:val="en-US"/>
              </w:rPr>
              <w:t>10</w:t>
            </w:r>
            <w:r>
              <w:rPr>
                <w:rFonts w:hint="eastAsia" w:ascii="仿宋" w:hAnsi="仿宋" w:eastAsia="仿宋" w:cs="仿宋"/>
                <w:sz w:val="24"/>
                <w:szCs w:val="24"/>
                <w:bdr w:val="none" w:color="auto" w:sz="0" w:space="0"/>
              </w:rPr>
              <w:t>月底前对</w:t>
            </w:r>
            <w:r>
              <w:rPr>
                <w:rFonts w:hint="eastAsia" w:ascii="仿宋" w:hAnsi="仿宋" w:eastAsia="仿宋" w:cs="仿宋"/>
                <w:sz w:val="24"/>
                <w:szCs w:val="24"/>
                <w:bdr w:val="none" w:color="auto" w:sz="0" w:space="0"/>
                <w:lang w:val="en-US"/>
              </w:rPr>
              <w:t>2016</w:t>
            </w:r>
            <w:r>
              <w:rPr>
                <w:rFonts w:hint="eastAsia" w:ascii="仿宋" w:hAnsi="仿宋" w:eastAsia="仿宋" w:cs="仿宋"/>
                <w:sz w:val="24"/>
                <w:szCs w:val="24"/>
                <w:bdr w:val="none" w:color="auto" w:sz="0" w:space="0"/>
              </w:rPr>
              <w:t>以来所发布政府文件全面规范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19</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各级各部门新制定需主动公开的政府文件，要在</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法定主动公开内容</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中全量公开，要素齐全，发布规范。</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20</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聚焦企业痛点、难点、堵点问题，探索以企业</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点餐</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、政府</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配餐</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的方式，打造政策文件包，依托相关惠企服务平台，加强政策精准公开。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1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21</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持续深化政策</w:t>
            </w:r>
          </w:p>
          <w:p>
            <w:pPr>
              <w:pStyle w:val="7"/>
              <w:keepNext w:val="0"/>
              <w:keepLines w:val="0"/>
              <w:widowControl/>
              <w:suppressLineNumbers w:val="0"/>
            </w:pPr>
            <w:r>
              <w:rPr>
                <w:rFonts w:hint="eastAsia" w:ascii="仿宋" w:hAnsi="仿宋" w:eastAsia="仿宋" w:cs="仿宋"/>
                <w:sz w:val="24"/>
                <w:szCs w:val="24"/>
                <w:bdr w:val="none" w:color="auto" w:sz="0" w:space="0"/>
              </w:rPr>
              <w:t>高质量解读</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行政规范性文件以及行政机关制发的对公众权益产生影响的政策文件均要开展解读。</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pPr>
      <w:r>
        <w:rPr>
          <w:lang w:val="en-US"/>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7"/>
        <w:gridCol w:w="792"/>
        <w:gridCol w:w="1041"/>
        <w:gridCol w:w="4018"/>
        <w:gridCol w:w="1372"/>
        <w:gridCol w:w="1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8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22</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推进政策发布解读回应提质增效</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持续深化政策高质量解读</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严格解读程序，认真落实政策解读</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三同步</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工作机制，将政策解读作为文件审签的重要一环，政策文件不解读不运转、解读材料不达标不运转。</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8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23</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深化解读内容，充分收集企业群众需求，针对政策中与企业群众生产生活密切相关的具体条款和事项，进行要点拆分、深度解读和综合指引。</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6"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24</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创新解读形式，在文字、图片、视频解读基础上，积极采用互动直播、简明问答、现场宣讲等形式开展解读。</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25</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持续深化舆情回应</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出台重大政策，要加强社会效果和舆情风险评估，相关部门主要负责同志要进行宣传解读。</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重大政策起草单位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8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26</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协同宣传、网信等部门，加强政务舆情监测和研判，确保涉及本地、本部门的政务舆情热点第一时间发现、第一时间办理、第一时间回应。</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舆情涉及部门单位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8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27</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推进更高水平决策公开</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深入落实重大行政决策事项目录管理制度</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各级按照</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应入尽入</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的原则，确定本级年度重大行政决策事项目录，年初主动向社会公开。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区司法局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信息形成或变更之日起</w:t>
            </w:r>
            <w:r>
              <w:rPr>
                <w:rFonts w:hint="eastAsia" w:ascii="仿宋" w:hAnsi="仿宋" w:eastAsia="仿宋" w:cs="仿宋"/>
                <w:sz w:val="24"/>
                <w:szCs w:val="24"/>
                <w:bdr w:val="none" w:color="auto" w:sz="0" w:space="0"/>
                <w:lang w:val="en-US"/>
              </w:rPr>
              <w:t>20</w:t>
            </w:r>
            <w:r>
              <w:rPr>
                <w:rFonts w:hint="eastAsia" w:ascii="仿宋" w:hAnsi="仿宋" w:eastAsia="仿宋" w:cs="仿宋"/>
                <w:sz w:val="24"/>
                <w:szCs w:val="24"/>
                <w:bdr w:val="none" w:color="auto" w:sz="0" w:space="0"/>
              </w:rPr>
              <w:t>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95"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28</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按照决策事项推进流程，以事项目录超链接方式归集展示决策草案全文、草案说明、决策背景、公众意见建议收集和采纳情况、公众代表列席决策会议情况、决策结果等信息，视情公开重大决策风险评估、专家论证、效果评估等信息。</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区司法局牵头，重大行政决策承办单位具体落实</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rPr>
          <w:lang w:val="en-US"/>
        </w:rPr>
      </w:pPr>
      <w:r>
        <w:rPr>
          <w:lang w:val="en-US"/>
        </w:rPr>
        <w:t> </w:t>
      </w:r>
    </w:p>
    <w:p>
      <w:pPr>
        <w:pStyle w:val="7"/>
        <w:keepNext w:val="0"/>
        <w:keepLines w:val="0"/>
        <w:widowControl/>
        <w:suppressLineNumbers w:val="0"/>
        <w:rPr>
          <w:lang w:val="en-US"/>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785"/>
        <w:gridCol w:w="1030"/>
        <w:gridCol w:w="3972"/>
        <w:gridCol w:w="1361"/>
        <w:gridCol w:w="1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4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29</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推进更高水平决策公开</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深入推动重大行政决策全过程公众参与</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重大行政决策事项向社会公开征求意见的，除通过政府信息公开平台外，要综合选用政务新媒体、新闻发布会、政府信息查阅场所，以及报刊、广播、电视等便于社会公众知晓的途径开展。</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重大行政决策承办单位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1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30</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决策文件出台后，决策承办单位要向社会详细公开前期意见的收集、采纳情况以及较为集中意见不予采纳的原因，通过座谈会、听证会、实地走访、民意调查等其他公众参与方式征求意见的情况，也应一并向社会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重大行政决策承办单位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决策文件出台后的</w:t>
            </w:r>
            <w:r>
              <w:rPr>
                <w:rFonts w:hint="eastAsia" w:ascii="仿宋" w:hAnsi="仿宋" w:eastAsia="仿宋" w:cs="仿宋"/>
                <w:sz w:val="24"/>
                <w:szCs w:val="24"/>
                <w:bdr w:val="none" w:color="auto" w:sz="0" w:space="0"/>
                <w:lang w:val="en-US"/>
              </w:rPr>
              <w:t>10</w:t>
            </w:r>
            <w:r>
              <w:rPr>
                <w:rFonts w:hint="eastAsia" w:ascii="仿宋" w:hAnsi="仿宋" w:eastAsia="仿宋" w:cs="仿宋"/>
                <w:sz w:val="24"/>
                <w:szCs w:val="24"/>
                <w:bdr w:val="none" w:color="auto" w:sz="0" w:space="0"/>
              </w:rPr>
              <w:t>个工作日内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01"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31</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继续深化利益相关方、群众代表、专家、媒体等列席政府有关会议工作，各级政府年内邀请公众代表列席政府常务会不少于</w:t>
            </w:r>
            <w:r>
              <w:rPr>
                <w:rFonts w:hint="eastAsia" w:ascii="仿宋" w:hAnsi="仿宋" w:eastAsia="仿宋" w:cs="仿宋"/>
                <w:sz w:val="24"/>
                <w:szCs w:val="24"/>
                <w:bdr w:val="none" w:color="auto" w:sz="0" w:space="0"/>
                <w:lang w:val="en-US"/>
              </w:rPr>
              <w:t>10</w:t>
            </w:r>
            <w:r>
              <w:rPr>
                <w:rFonts w:hint="eastAsia" w:ascii="仿宋" w:hAnsi="仿宋" w:eastAsia="仿宋" w:cs="仿宋"/>
                <w:sz w:val="24"/>
                <w:szCs w:val="24"/>
                <w:bdr w:val="none" w:color="auto" w:sz="0" w:space="0"/>
              </w:rPr>
              <w:t>次，列席代表的意见发表和采纳情况要向社会公开。有条件的单位可以选取适当议题，对议题审议过程进行在线直播。</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区政府办公室，各镇、街道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32</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深入开展政策评价</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各级各部门单位要建立健全常态化政策评价机制，选取本单位重点政策，围绕执行标准、适用范围、使用情况、取得成效、存在问题等，通过政府开放日、征集调查、专题座谈、重点访谈、舆情监测、网络问政等方式开展实施效果评价，全面掌握政策落地情况。</w:t>
            </w:r>
            <w:r>
              <w:rPr>
                <w:rFonts w:hint="eastAsia" w:ascii="仿宋" w:hAnsi="仿宋" w:eastAsia="仿宋" w:cs="仿宋"/>
                <w:sz w:val="24"/>
                <w:szCs w:val="24"/>
                <w:bdr w:val="none" w:color="auto" w:sz="0" w:space="0"/>
                <w:lang w:val="en-US"/>
              </w:rPr>
              <w:t>2023</w:t>
            </w:r>
            <w:r>
              <w:rPr>
                <w:rFonts w:hint="eastAsia" w:ascii="仿宋" w:hAnsi="仿宋" w:eastAsia="仿宋" w:cs="仿宋"/>
                <w:sz w:val="24"/>
                <w:szCs w:val="24"/>
                <w:bdr w:val="none" w:color="auto" w:sz="0" w:space="0"/>
              </w:rPr>
              <w:t>年年底前将政策评价结果和运用情况向社会公开。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区司法局牵头，区政府重大行政决策承办单位、区政府行政规范性文件实施部门和部门行政规范性文件起草部门具体落实</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2023年12月底前完成</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rPr>
          <w:lang w:val="en-US"/>
        </w:rPr>
      </w:pPr>
      <w:r>
        <w:rPr>
          <w:lang w:val="en-US"/>
        </w:rPr>
        <w:t> </w:t>
      </w:r>
    </w:p>
    <w:p>
      <w:pPr>
        <w:pStyle w:val="7"/>
        <w:keepNext w:val="0"/>
        <w:keepLines w:val="0"/>
        <w:widowControl/>
        <w:suppressLineNumbers w:val="0"/>
        <w:rPr>
          <w:lang w:val="en-US"/>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785"/>
        <w:gridCol w:w="1030"/>
        <w:gridCol w:w="3972"/>
        <w:gridCol w:w="1361"/>
        <w:gridCol w:w="1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97"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33</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推进政务</w:t>
            </w:r>
          </w:p>
          <w:p>
            <w:pPr>
              <w:pStyle w:val="7"/>
              <w:keepNext w:val="0"/>
              <w:keepLines w:val="0"/>
              <w:widowControl/>
              <w:suppressLineNumbers w:val="0"/>
            </w:pPr>
            <w:r>
              <w:rPr>
                <w:rFonts w:hint="eastAsia" w:ascii="仿宋" w:hAnsi="仿宋" w:eastAsia="仿宋" w:cs="仿宋"/>
                <w:sz w:val="24"/>
                <w:szCs w:val="24"/>
                <w:bdr w:val="none" w:color="auto" w:sz="0" w:space="0"/>
              </w:rPr>
              <w:t>公开规范</w:t>
            </w:r>
          </w:p>
          <w:p>
            <w:pPr>
              <w:pStyle w:val="7"/>
              <w:keepNext w:val="0"/>
              <w:keepLines w:val="0"/>
              <w:widowControl/>
              <w:suppressLineNumbers w:val="0"/>
            </w:pPr>
            <w:r>
              <w:rPr>
                <w:rFonts w:hint="eastAsia" w:ascii="仿宋" w:hAnsi="仿宋" w:eastAsia="仿宋" w:cs="仿宋"/>
                <w:sz w:val="24"/>
                <w:szCs w:val="24"/>
                <w:bdr w:val="none" w:color="auto" w:sz="0" w:space="0"/>
              </w:rPr>
              <w:t>化建设</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依法依规做好政府信息依申请公开答复工作</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严格按照《中华人民共和国政府信息公开条例》等有关法规文件要求，进一步完善依申请公开工作登记管理、协助调查、会商、归档等各个环节的程序、标准和责任划分，加强部门会商协作，依法依规及时准确予以答复反馈。</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34</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持续深化完善依申请公开转主动公开常态化审查机制。</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35</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深入破解难点问题，进一步缓解土地征收领域政府信息依申请公开压力，指导基层政府根据项目进度，及时细化公开已批准的土地征收项目信息。</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区自然资源局，各镇、街道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7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36</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深化公共企事业单位信息公开</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加强纵向指导和业务培训，教育、卫生健康、交通、住房城乡建设、水利等公共企事业单位主管部门要组织专家深入研究，进一步完善本领域公共企事业单位公开目录，增强科学性和便利性。</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区教体局、区卫健局、区住建局、区水利局、临淄生态环境分局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18"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37</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强化属地管理，加大调度督导力度，在各公共企事业单位建立联络员制度，定期对公共企事业单位信息公开开展专项评估，对以汇总链接形式在平台进行集中展示的企事业单位，重点加强对网站栏目设置的监督指导，确保栏目清晰、要素齐全、及时更新。</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区教体局、区卫健局、区住建局、区水利局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w:t>
            </w:r>
          </w:p>
          <w:p>
            <w:pPr>
              <w:pStyle w:val="7"/>
              <w:keepNext w:val="0"/>
              <w:keepLines w:val="0"/>
              <w:widowControl/>
              <w:suppressLineNumbers w:val="0"/>
            </w:pPr>
            <w:r>
              <w:rPr>
                <w:rFonts w:hint="eastAsia" w:ascii="仿宋" w:hAnsi="仿宋" w:eastAsia="仿宋" w:cs="仿宋"/>
                <w:sz w:val="24"/>
                <w:szCs w:val="24"/>
                <w:bdr w:val="none" w:color="auto" w:sz="0" w:space="0"/>
                <w:lang w:val="en-US"/>
              </w:rPr>
              <w:t>前完成</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pPr>
      <w:r>
        <w:rPr>
          <w:lang w:val="en-US"/>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
        <w:gridCol w:w="778"/>
        <w:gridCol w:w="1019"/>
        <w:gridCol w:w="4016"/>
        <w:gridCol w:w="1349"/>
        <w:gridCol w:w="1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1"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7"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9"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38</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推进政务公开规范化建设</w:t>
            </w:r>
          </w:p>
        </w:tc>
        <w:tc>
          <w:tcPr>
            <w:tcW w:w="1485"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深化公共企事业单位信息公开</w:t>
            </w: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着力加强线下公开场所、电话咨询等公开渠道建设，及时回应社会关切，满足服务对象以及社会公众的个性化信息需求。</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区教体局、区卫健局、区住建局、区水利局、临淄生态环境分局、区交通运输局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3"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39</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5"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扎实推进基层政务公开</w:t>
            </w: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进一步强化各级行政服务中心政务公开专区功能建设，提高在专区开展重要政策现场解读、综合政策辅导、办事流程演示等活动的频次，推进公开和基层办事服务的深度融合。</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区行政审批服务局，各镇、街道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2023年12月底前完成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81"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40</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进一步丰富基层政务公开形式，对土地征收、旧区改造、义务教育入学、就诊就医、养老服务、村务居务等面向特定区域和人群的公开事项，综合利用政府网站、村（居）民微信群、村（社区）公开栏，以及广播、电视、图书馆、电影下乡等媒介，实行定点、定向公开，便于群众获取。</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各有关部门，各镇、街道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41</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大力提升信息发布平台建管水平</w:t>
            </w:r>
          </w:p>
        </w:tc>
        <w:tc>
          <w:tcPr>
            <w:tcW w:w="1485"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夯实政府网站和政务新媒体管理水平</w:t>
            </w: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完善政府网站办事服务、互动交流等功能，加强适老化与无障碍改造，提升网站搜索精准度。</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区大数据局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9"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42</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进一步规范政府网站域名管理。</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区大数据局</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9"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43</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完善政务新媒体开设、变更、注销等全流程管理制度，推动政务新媒体健康有序发展。</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区大数据局，各开设政务新媒体账号单位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44</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7"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加强政务新媒体矩阵建设，积极发掘优秀账号，打造一批具有一定影响力、竞争力的政务新媒体。</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区大数据局、各开设政务新媒体账号单位</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bl>
    <w:p>
      <w:pPr>
        <w:pStyle w:val="7"/>
        <w:keepNext w:val="0"/>
        <w:keepLines w:val="0"/>
        <w:widowControl/>
        <w:suppressLineNumbers w:val="0"/>
      </w:pPr>
      <w:r>
        <w:rPr>
          <w:rFonts w:hint="default" w:ascii="Calibri" w:hAnsi="Calibri" w:cs="Calibri"/>
          <w:sz w:val="22"/>
          <w:szCs w:val="22"/>
          <w:lang w:val="en-US"/>
        </w:rPr>
        <w:t> </w:t>
      </w:r>
    </w:p>
    <w:p>
      <w:pPr>
        <w:pStyle w:val="7"/>
        <w:keepNext w:val="0"/>
        <w:keepLines w:val="0"/>
        <w:widowControl/>
        <w:suppressLineNumbers w:val="0"/>
      </w:pPr>
      <w:r>
        <w:rPr>
          <w:lang w:val="en-US"/>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7"/>
        <w:gridCol w:w="792"/>
        <w:gridCol w:w="1041"/>
        <w:gridCol w:w="4018"/>
        <w:gridCol w:w="1372"/>
        <w:gridCol w:w="1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632" w:type="dxa"/>
            <w:tcBorders>
              <w:top w:val="single" w:color="auto" w:sz="8" w:space="0"/>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序号</w:t>
            </w:r>
          </w:p>
        </w:tc>
        <w:tc>
          <w:tcPr>
            <w:tcW w:w="2582" w:type="dxa"/>
            <w:gridSpan w:val="2"/>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工作任务</w:t>
            </w:r>
          </w:p>
        </w:tc>
        <w:tc>
          <w:tcPr>
            <w:tcW w:w="6026"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工作要求</w:t>
            </w:r>
          </w:p>
        </w:tc>
        <w:tc>
          <w:tcPr>
            <w:tcW w:w="1870"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责任单位</w:t>
            </w:r>
          </w:p>
        </w:tc>
        <w:tc>
          <w:tcPr>
            <w:tcW w:w="1648" w:type="dxa"/>
            <w:tcBorders>
              <w:top w:val="single" w:color="auto" w:sz="8" w:space="0"/>
              <w:left w:val="nil"/>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楷体" w:hAnsi="楷体" w:eastAsia="楷体" w:cs="楷体"/>
                <w:sz w:val="24"/>
                <w:szCs w:val="24"/>
                <w:bdr w:val="none" w:color="auto" w:sz="0" w:space="0"/>
                <w:lang w:val="en-US"/>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45</w:t>
            </w:r>
          </w:p>
        </w:tc>
        <w:tc>
          <w:tcPr>
            <w:tcW w:w="109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大力提升信息发布平台建管水平</w:t>
            </w:r>
          </w:p>
        </w:tc>
        <w:tc>
          <w:tcPr>
            <w:tcW w:w="1486" w:type="dxa"/>
            <w:vMerge w:val="restart"/>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推动政府网站和政务新媒体健康有序发展</w:t>
            </w: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加强政务新媒体管理，强化政府信息公开功能，完善信息发布转载审核制度，强化监测预警和风险排查。</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4"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46</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高效办理</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我为政府网站找错</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等平台的网民留言。</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2"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47</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严格落实政府信息公开</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三审</w:t>
            </w:r>
            <w:r>
              <w:rPr>
                <w:rFonts w:hint="eastAsia" w:ascii="仿宋" w:hAnsi="仿宋" w:eastAsia="仿宋" w:cs="仿宋"/>
                <w:sz w:val="24"/>
                <w:szCs w:val="24"/>
                <w:bdr w:val="none" w:color="auto" w:sz="0" w:space="0"/>
                <w:lang w:val="en-US"/>
              </w:rPr>
              <w:t>”</w:t>
            </w:r>
            <w:r>
              <w:rPr>
                <w:rFonts w:hint="eastAsia" w:ascii="仿宋" w:hAnsi="仿宋" w:eastAsia="仿宋" w:cs="仿宋"/>
                <w:sz w:val="24"/>
                <w:szCs w:val="24"/>
                <w:bdr w:val="none" w:color="auto" w:sz="0" w:space="0"/>
              </w:rPr>
              <w:t>制度，重要信息做到多人审看、专人把关，确保表述规范、内容准确。</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8" w:hRule="atLeast"/>
          <w:jc w:val="center"/>
        </w:trPr>
        <w:tc>
          <w:tcPr>
            <w:tcW w:w="632" w:type="dxa"/>
            <w:tcBorders>
              <w:top w:val="nil"/>
              <w:left w:val="single" w:color="auto" w:sz="8" w:space="0"/>
              <w:bottom w:val="single" w:color="auto" w:sz="8" w:space="0"/>
              <w:right w:val="single" w:color="auto" w:sz="8" w:space="0"/>
            </w:tcBorders>
            <w:shd w:val="clear"/>
            <w:vAlign w:val="center"/>
          </w:tcPr>
          <w:p>
            <w:pPr>
              <w:pStyle w:val="7"/>
              <w:keepNext w:val="0"/>
              <w:keepLines w:val="0"/>
              <w:widowControl/>
              <w:suppressLineNumbers w:val="0"/>
              <w:jc w:val="center"/>
            </w:pPr>
            <w:r>
              <w:rPr>
                <w:rFonts w:hint="eastAsia" w:ascii="仿宋" w:hAnsi="仿宋" w:eastAsia="仿宋" w:cs="仿宋"/>
                <w:sz w:val="24"/>
                <w:szCs w:val="24"/>
                <w:bdr w:val="none" w:color="auto" w:sz="0" w:space="0"/>
                <w:lang w:val="en-US"/>
              </w:rPr>
              <w:t>48</w:t>
            </w:r>
          </w:p>
        </w:tc>
        <w:tc>
          <w:tcPr>
            <w:tcW w:w="109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8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6"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探索政府网站、政务新媒体数据无缝交换，实现政府网站与政务新媒体信息同步发布、办事服务同质同效。</w:t>
            </w:r>
          </w:p>
        </w:tc>
        <w:tc>
          <w:tcPr>
            <w:tcW w:w="1870"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rPr>
              <w:t>区政府各部门，各有关单位，各镇、街道</w:t>
            </w:r>
          </w:p>
        </w:tc>
        <w:tc>
          <w:tcPr>
            <w:tcW w:w="1648" w:type="dxa"/>
            <w:tcBorders>
              <w:top w:val="nil"/>
              <w:left w:val="nil"/>
              <w:bottom w:val="single" w:color="auto" w:sz="8" w:space="0"/>
              <w:right w:val="single" w:color="auto" w:sz="8" w:space="0"/>
            </w:tcBorders>
            <w:shd w:val="clear"/>
            <w:vAlign w:val="center"/>
          </w:tcPr>
          <w:p>
            <w:pPr>
              <w:pStyle w:val="7"/>
              <w:keepNext w:val="0"/>
              <w:keepLines w:val="0"/>
              <w:widowControl/>
              <w:suppressLineNumbers w:val="0"/>
            </w:pPr>
            <w:r>
              <w:rPr>
                <w:rFonts w:hint="eastAsia" w:ascii="仿宋" w:hAnsi="仿宋" w:eastAsia="仿宋" w:cs="仿宋"/>
                <w:sz w:val="24"/>
                <w:szCs w:val="24"/>
                <w:bdr w:val="none" w:color="auto" w:sz="0" w:space="0"/>
                <w:lang w:val="en-US"/>
              </w:rPr>
              <w:t>长期坚持</w:t>
            </w:r>
          </w:p>
        </w:tc>
      </w:tr>
    </w:tbl>
    <w:p>
      <w:pPr>
        <w:pStyle w:val="7"/>
        <w:keepNext w:val="0"/>
        <w:keepLines w:val="0"/>
        <w:widowControl/>
        <w:suppressLineNumbers w:val="0"/>
      </w:pPr>
      <w:r>
        <w:rPr>
          <w:lang w:val="en-US"/>
        </w:rPr>
        <w:t> </w:t>
      </w:r>
    </w:p>
    <w:p>
      <w:pPr>
        <w:ind w:firstLine="600" w:firstLineChars="200"/>
        <w:rPr>
          <w:rFonts w:ascii="Times New Roman" w:hAnsi="Times New Roman" w:eastAsia="仿宋_GB2312" w:cs="Times New Roman"/>
          <w:sz w:val="30"/>
          <w:szCs w:val="30"/>
        </w:rPr>
      </w:pPr>
    </w:p>
    <w:sectPr>
      <w:headerReference r:id="rId3" w:type="default"/>
      <w:footerReference r:id="rId4" w:type="default"/>
      <w:pgSz w:w="11906" w:h="16838"/>
      <w:pgMar w:top="1985" w:right="1531" w:bottom="1871" w:left="1531"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991528"/>
                            <w:docPartObj>
                              <w:docPartGallery w:val="autotext"/>
                            </w:docPartObj>
                          </w:sdtPr>
                          <w:sdtContent>
                            <w:p>
                              <w:pPr>
                                <w:pStyle w:val="5"/>
                                <w:jc w:val="cente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14 -</w:t>
                              </w:r>
                              <w:r>
                                <w:rPr>
                                  <w:rFonts w:ascii="宋体" w:hAnsi="宋体" w:eastAsia="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26991528"/>
                      <w:docPartObj>
                        <w:docPartGallery w:val="autotext"/>
                      </w:docPartObj>
                    </w:sdtPr>
                    <w:sdtContent>
                      <w:p>
                        <w:pPr>
                          <w:pStyle w:val="5"/>
                          <w:jc w:val="cente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14 -</w:t>
                        </w:r>
                        <w:r>
                          <w:rPr>
                            <w:rFonts w:ascii="宋体" w:hAnsi="宋体" w:eastAsia="宋体"/>
                            <w:sz w:val="24"/>
                            <w:szCs w:val="24"/>
                          </w:rPr>
                          <w:fldChar w:fldCharType="end"/>
                        </w:r>
                      </w:p>
                    </w:sdtContent>
                  </w:sdt>
                  <w:p>
                    <w:pPr>
                      <w:pStyle w:val="2"/>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s>
  <w:rsids>
    <w:rsidRoot w:val="00182AF6"/>
    <w:rsid w:val="00014EFF"/>
    <w:rsid w:val="000C6B78"/>
    <w:rsid w:val="000E55A3"/>
    <w:rsid w:val="000E64CF"/>
    <w:rsid w:val="001375A9"/>
    <w:rsid w:val="00170346"/>
    <w:rsid w:val="00182AF6"/>
    <w:rsid w:val="001D14ED"/>
    <w:rsid w:val="001E1A2A"/>
    <w:rsid w:val="00206C93"/>
    <w:rsid w:val="002143C4"/>
    <w:rsid w:val="00215B07"/>
    <w:rsid w:val="002B1052"/>
    <w:rsid w:val="002E754B"/>
    <w:rsid w:val="00336430"/>
    <w:rsid w:val="003600FC"/>
    <w:rsid w:val="00392F63"/>
    <w:rsid w:val="00396ABA"/>
    <w:rsid w:val="003F2E06"/>
    <w:rsid w:val="003F5CF4"/>
    <w:rsid w:val="00406CDE"/>
    <w:rsid w:val="00426D90"/>
    <w:rsid w:val="004563DA"/>
    <w:rsid w:val="004879A3"/>
    <w:rsid w:val="004A45DA"/>
    <w:rsid w:val="005E4002"/>
    <w:rsid w:val="005E6683"/>
    <w:rsid w:val="00666734"/>
    <w:rsid w:val="00695167"/>
    <w:rsid w:val="006A320D"/>
    <w:rsid w:val="006C5ACD"/>
    <w:rsid w:val="006E1C75"/>
    <w:rsid w:val="00720551"/>
    <w:rsid w:val="00724553"/>
    <w:rsid w:val="00731E60"/>
    <w:rsid w:val="00771C94"/>
    <w:rsid w:val="0081457F"/>
    <w:rsid w:val="00854D15"/>
    <w:rsid w:val="008852F7"/>
    <w:rsid w:val="00897095"/>
    <w:rsid w:val="00931705"/>
    <w:rsid w:val="00941FAE"/>
    <w:rsid w:val="00942A0E"/>
    <w:rsid w:val="00957D2B"/>
    <w:rsid w:val="00967465"/>
    <w:rsid w:val="009675D5"/>
    <w:rsid w:val="009710BF"/>
    <w:rsid w:val="009E58E9"/>
    <w:rsid w:val="009F498E"/>
    <w:rsid w:val="00A63E59"/>
    <w:rsid w:val="00AA48A3"/>
    <w:rsid w:val="00AB08D1"/>
    <w:rsid w:val="00AB5F28"/>
    <w:rsid w:val="00AE41EA"/>
    <w:rsid w:val="00B00FA4"/>
    <w:rsid w:val="00B16B61"/>
    <w:rsid w:val="00B44583"/>
    <w:rsid w:val="00B5519F"/>
    <w:rsid w:val="00B92D66"/>
    <w:rsid w:val="00BD0D4E"/>
    <w:rsid w:val="00BD3FB1"/>
    <w:rsid w:val="00C04AE6"/>
    <w:rsid w:val="00C0630B"/>
    <w:rsid w:val="00C11BFF"/>
    <w:rsid w:val="00C26CF9"/>
    <w:rsid w:val="00D54981"/>
    <w:rsid w:val="00DC33D3"/>
    <w:rsid w:val="00DE3C4E"/>
    <w:rsid w:val="00E43507"/>
    <w:rsid w:val="00E43927"/>
    <w:rsid w:val="00E61E12"/>
    <w:rsid w:val="00E75D7E"/>
    <w:rsid w:val="00E976E6"/>
    <w:rsid w:val="00F05550"/>
    <w:rsid w:val="00F240E3"/>
    <w:rsid w:val="00F71904"/>
    <w:rsid w:val="00FA1DD6"/>
    <w:rsid w:val="00FC7F4B"/>
    <w:rsid w:val="00FF31BD"/>
    <w:rsid w:val="04E422E0"/>
    <w:rsid w:val="0B4B00C6"/>
    <w:rsid w:val="0DE7312A"/>
    <w:rsid w:val="10710D64"/>
    <w:rsid w:val="120314AE"/>
    <w:rsid w:val="16B03286"/>
    <w:rsid w:val="1BB17C69"/>
    <w:rsid w:val="1D183933"/>
    <w:rsid w:val="208706DB"/>
    <w:rsid w:val="21B7091E"/>
    <w:rsid w:val="21F77BFC"/>
    <w:rsid w:val="275F5A8A"/>
    <w:rsid w:val="2DCA6ECC"/>
    <w:rsid w:val="35103416"/>
    <w:rsid w:val="3A0D46C4"/>
    <w:rsid w:val="3A1122D3"/>
    <w:rsid w:val="3B1A4090"/>
    <w:rsid w:val="400165D3"/>
    <w:rsid w:val="40394CFA"/>
    <w:rsid w:val="406957C2"/>
    <w:rsid w:val="44C306AD"/>
    <w:rsid w:val="489A7286"/>
    <w:rsid w:val="48F16B6B"/>
    <w:rsid w:val="4A7F0665"/>
    <w:rsid w:val="4BB15F45"/>
    <w:rsid w:val="5CE054F0"/>
    <w:rsid w:val="628E1ED3"/>
    <w:rsid w:val="62D376AD"/>
    <w:rsid w:val="661C580F"/>
    <w:rsid w:val="6958592E"/>
    <w:rsid w:val="6BB938F3"/>
    <w:rsid w:val="7A652E89"/>
    <w:rsid w:val="7DB3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4">
    <w:name w:val="Body Text Indent"/>
    <w:basedOn w:val="1"/>
    <w:unhideWhenUsed/>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Body Text First Indent 2"/>
    <w:basedOn w:val="4"/>
    <w:unhideWhenUsed/>
    <w:qFormat/>
    <w:uiPriority w:val="0"/>
    <w:pPr>
      <w:ind w:firstLine="420"/>
    </w:p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14</Pages>
  <Words>6408</Words>
  <Characters>6552</Characters>
  <Lines>64</Lines>
  <Paragraphs>18</Paragraphs>
  <TotalTime>4</TotalTime>
  <ScaleCrop>false</ScaleCrop>
  <LinksUpToDate>false</LinksUpToDate>
  <CharactersWithSpaces>6606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2023-03-23T06:53:00Z</dcterms:created>
  <dc:creator>Administrator</dc:creator>
  <cp:lastModifiedBy>孟雪晴</cp:lastModifiedBy>
  <cp:lastPrinted>2023-07-10T02:29:00Z</cp:lastPrinted>
  <dcterms:modified xsi:type="dcterms:W3CDTF">2023-08-01T02:20:36Z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36BA46676C824D6699DF718E484C952E_13</vt:lpwstr>
  </property>
</Properties>
</file>