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9C4D">
      <w:pPr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145CE04">
      <w:pPr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F6F277">
      <w:pPr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159B553">
      <w:pPr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BDBFE2E">
      <w:pPr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临政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5880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 w14:paraId="5FA8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临淄区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人民政府办公室</w:t>
      </w:r>
    </w:p>
    <w:p w14:paraId="7244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年为全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妇女儿童办实事</w:t>
      </w:r>
    </w:p>
    <w:p w14:paraId="61A0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项目清单的通知</w:t>
      </w:r>
    </w:p>
    <w:p w14:paraId="1D56CFCA"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3AD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各镇人民政府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政府各部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有关企事业单位：</w:t>
      </w:r>
    </w:p>
    <w:p w14:paraId="7252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《202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年为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全区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妇女儿童办实事项目清单》已经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人民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政府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研究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同意，现印发给你们，请认真组织实施。</w:t>
      </w:r>
    </w:p>
    <w:p w14:paraId="36407D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en-US"/>
        </w:rPr>
      </w:pPr>
    </w:p>
    <w:p w14:paraId="693506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</w:p>
    <w:p w14:paraId="533B05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临淄区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人民政府办公室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   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日</w:t>
      </w:r>
    </w:p>
    <w:p w14:paraId="58E324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</w:p>
    <w:p w14:paraId="0E8C85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4"/>
        </w:rPr>
        <w:sectPr>
          <w:headerReference r:id="rId3" w:type="default"/>
          <w:footerReference r:id="rId4" w:type="default"/>
          <w:pgSz w:w="11906" w:h="16838"/>
          <w:pgMar w:top="1871" w:right="1531" w:bottom="187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(此件公开发布)</w:t>
      </w:r>
    </w:p>
    <w:p w14:paraId="46E1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年为全区妇女儿童办实事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项目清单</w:t>
      </w:r>
    </w:p>
    <w:p w14:paraId="618089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</w:p>
    <w:p w14:paraId="61B409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一、促进女性高质量充分就业。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举办“春风行动”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巾帼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女性就业专场招聘活动不少于2场次，促进女性稳岗就业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灵活就业。开展补贴性职业技能培训，为有需求的妇女提供就业创业培训。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年内开设巾帼电商公益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课堂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场，帮助“妈妈”群体掌握实用技能，引导妇女创业就业。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  <w:t>（责任单位：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区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  <w:t>人社局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、区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  <w:t>妇联、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en-US" w:bidi="ar-SA"/>
        </w:rPr>
        <w:t>商务局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  <w:t>）</w:t>
      </w:r>
    </w:p>
    <w:p w14:paraId="1F9CD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二、保护和增进妇女健康。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  <w:t>在全区实施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35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64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  <w:t>岁适龄妇女“两癌”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（宫颈癌、乳腺癌）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  <w:t>免费检查城乡全覆盖，按照三年一周期，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年内对全区1.9万名35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64岁妇女开展“两癌”免费检查，降低宫颈癌、乳腺癌发病率，提高全区适龄妇女的健康水平。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实施低收入适龄妇女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两癌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保险救助项目</w:t>
      </w:r>
      <w:r>
        <w:rPr>
          <w:rFonts w:hint="eastAsia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,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为符合条件的</w:t>
      </w:r>
      <w:r>
        <w:rPr>
          <w:rFonts w:hint="default" w:ascii="Times New Roman" w:hAnsi="Times New Roman" w:eastAsia="仿宋_GB2312" w:cs="E-BZ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35</w:t>
      </w:r>
      <w:r>
        <w:rPr>
          <w:rFonts w:hint="eastAsia" w:ascii="Times New Roman" w:hAnsi="Times New Roman" w:eastAsia="仿宋_GB2312" w:cs="E-BZ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E-BZ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64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岁低收入妇女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每人购买保额不低于</w:t>
      </w:r>
      <w:r>
        <w:rPr>
          <w:rFonts w:hint="default" w:ascii="Times New Roman" w:hAnsi="Times New Roman" w:eastAsia="仿宋_GB2312" w:cs="E-BZ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万元的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两癌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保险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开展低收入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两癌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患病妇女救助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每名救助对象一次性救助</w:t>
      </w:r>
      <w:r>
        <w:rPr>
          <w:rFonts w:hint="default" w:ascii="Times New Roman" w:hAnsi="Times New Roman" w:eastAsia="仿宋_GB2312" w:cs="E-BZ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FZFSK--GBK1-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default" w:ascii="Times New Roman" w:hAnsi="Times New Roman" w:eastAsia="仿宋_GB2312" w:cs="E-BX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en-US" w:bidi="ar-SA"/>
        </w:rPr>
        <w:t>（责任单位：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区卫健局、区妇联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en-US" w:bidi="ar-SA"/>
        </w:rPr>
        <w:t>）</w:t>
      </w:r>
    </w:p>
    <w:p w14:paraId="34229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三、推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教育设施优化提升。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推进幼儿园托幼一体化建设，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新增280个2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3岁幼儿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托育学位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。实施中小学校园“微运动”场地提档改造，进一步拓展校园体育活动载体。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责任单位：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区教体局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）</w:t>
      </w:r>
    </w:p>
    <w:p w14:paraId="40AFA3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四、深化家庭家教家风建设。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开展“五好家庭”宣传选树活动，弘扬社会主义家庭文明新风尚。家庭教育指导服务进校园，依托家长学校、家庭教育指导师团队，全年开展家庭教育大讲堂、订单式入校服务、新生家长培训等活动不少于120场；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落实每学年4次8课时家庭教育指导、全员大家访，构建校家社协同育人体系，覆盖全区中小学、幼儿园家长群体。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推进家庭教育指导服务体系建设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，年内在20个规范化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社区（村）家长学校以“讲师精讲+圆桌交流”模式开展家庭教育圆桌课堂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100场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，引导家长倾诉困惑、交流研讨、获取解答，进一步增强家校社协同育人合力。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（责任单位：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区委宣传部、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区妇联、区教体局）</w:t>
      </w:r>
    </w:p>
    <w:p w14:paraId="636414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yellow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五、提高优生优育服务水平。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开展免费产前筛查、新生儿四种遗传代谢性疾病筛查，推动患儿早诊早治，减少出生缺陷，产前筛查率和新生儿遗传代谢病筛查率均达到90%以上。扩大托育资源供给，发展社区嵌入式托育服务，利用社区闲置房屋降低运营成本，打造老百姓“家门口的平价托育”。推动托育资源向基层延伸、向家门口覆盖，让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3岁婴幼儿家庭既能就近托、又能便宜托，切实减轻育儿负担。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护航中小学生心理健康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落实两周一节心理健康课，心理咨询室每周开放不少于10小时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开展春秋两季全员心理筛查、心理健康教育月活动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建立班级心理委员—班主任—心理教师三级防护与干预机制，“一生一档”做好跟踪服务，全面守护儿童心理健康。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（责任单位：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卫健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局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、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区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教</w:t>
      </w:r>
      <w:r>
        <w:rPr>
          <w:rFonts w:hint="eastAsia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体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局）</w:t>
      </w:r>
    </w:p>
    <w:p w14:paraId="746D65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en-US" w:bidi="ar-SA"/>
        </w:rPr>
        <w:t>、丰富文化体育服务供给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持续优化临淄区市民艺术夜校服务模式，深度整合各类公共文化资源，不断丰富课程门类，创新教学形式，满足妇女儿童多元化艺术学习需求。</w:t>
      </w:r>
      <w:r>
        <w:rPr>
          <w:rFonts w:hint="eastAsia" w:ascii="Times New Roman" w:hAnsi="Times New Roman" w:eastAsia="仿宋_GB2312" w:cs="微软雅黑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开展科普大篷车进基层活动8场，提升儿童科技素养。</w:t>
      </w:r>
      <w:r>
        <w:rPr>
          <w:rFonts w:hint="eastAsia" w:ascii="Times New Roman" w:hAnsi="Times New Roman" w:eastAsia="仿宋_GB2312" w:cs="微软雅黑"/>
          <w:color w:val="auto"/>
          <w:spacing w:val="0"/>
          <w:position w:val="0"/>
          <w:sz w:val="32"/>
          <w:szCs w:val="32"/>
          <w:lang w:val="en-US" w:eastAsia="zh-CN"/>
        </w:rPr>
        <w:t>常态化开展国民体质监测，计划为全区800余人提供监测，其中女性群体不低于400人。举办社会体育指导员培训班，女性社会体育指导员不低于100人。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（责任单位：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</w:rPr>
        <w:t>文旅局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  <w:lang w:eastAsia="zh-CN"/>
        </w:rPr>
        <w:t>、区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</w:rPr>
        <w:t>科协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lang w:eastAsia="zh-CN"/>
        </w:rPr>
        <w:t>区教体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局）</w:t>
      </w:r>
    </w:p>
    <w:p w14:paraId="4C6EF22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napToGrid w:val="0"/>
          <w:color w:val="auto"/>
          <w:spacing w:val="0"/>
          <w:kern w:val="0"/>
          <w:position w:val="0"/>
          <w:sz w:val="32"/>
          <w:szCs w:val="32"/>
          <w:highlight w:val="yellow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2"/>
          <w:szCs w:val="32"/>
        </w:rPr>
        <w:t>深化儿童友好城市建设</w: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依托儿童友好社区平台，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提升儿童友好社区活动质量，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开展丰富多彩的亲子阅读、亲子实践等活动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不少于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eastAsia="zh-CN" w:bidi="ar-SA"/>
        </w:rPr>
        <w:t>0场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，营造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儿童友好的良好社会氛围，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为家庭和儿童创造良好的活动平台与实践机会。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针对重点学校，围绕《未成年人保护法》等法律法规，通过案例解析、互动问答、情景模拟等生动形式深入开展靶向宣传，不少于500人次。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highlight w:val="none"/>
        </w:rPr>
        <w:t>（责任单位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1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highlight w:val="none"/>
        </w:rPr>
        <w:t>妇联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1"/>
          <w:sz w:val="32"/>
          <w:szCs w:val="32"/>
          <w:highlight w:val="none"/>
          <w:lang w:eastAsia="zh-CN"/>
        </w:rPr>
        <w:t>区检察院</w:t>
      </w:r>
      <w:r>
        <w:rPr>
          <w:rFonts w:hint="eastAsia" w:ascii="Times New Roman" w:hAnsi="Times New Roman" w:eastAsia="楷体_GB2312" w:cs="楷体_GB2312"/>
          <w:color w:val="auto"/>
          <w:spacing w:val="0"/>
          <w:sz w:val="32"/>
          <w:szCs w:val="32"/>
          <w:highlight w:val="none"/>
        </w:rPr>
        <w:t>）</w:t>
      </w:r>
    </w:p>
    <w:p w14:paraId="1C70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八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黑体" w:cs="黑体"/>
          <w:color w:val="auto"/>
          <w:spacing w:val="0"/>
          <w:position w:val="0"/>
          <w:sz w:val="32"/>
          <w:highlight w:val="none"/>
        </w:rPr>
        <w:t>持续培育婚恋新风。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深化婚恋服务项目内涵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与服务形式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精准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形式多样的线下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交友联谊活动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  <w:t>10场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用心用情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帮助适龄青年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拓宽交友渠道、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解决婚恋交友问题，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积极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</w:rPr>
        <w:t>引导树立正确的婚恋观、生育观、家庭观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幸福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护航”婚姻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辅导项目，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做优婚姻家庭辅导服务、女性心理健康呵护等行动，筑牢婚姻家庭幸福根基，促进家庭和美、社会和谐。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</w:rPr>
        <w:t>（责任单位：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</w:rPr>
        <w:t>总工会、团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</w:rPr>
        <w:t>委、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highlight w:val="none"/>
        </w:rPr>
        <w:t>妇联）</w:t>
      </w:r>
    </w:p>
    <w:p w14:paraId="495CB5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九、强化妇女儿童权益保障</w:t>
      </w:r>
      <w:r>
        <w:rPr>
          <w:rFonts w:hint="eastAsia" w:ascii="Times New Roman" w:hAnsi="Times New Roman" w:eastAsia="黑体" w:cs="黑体"/>
          <w:snapToGrid w:val="0"/>
          <w:color w:val="auto"/>
          <w:spacing w:val="0"/>
          <w:kern w:val="0"/>
          <w:sz w:val="32"/>
          <w:szCs w:val="30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在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三八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维权周、反家暴日、宪法日等重大时间节点，开展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巾帼普法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进基层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”“齐心护航”心理健康讲座等妇女儿童权益相关的法律法规宣传活动不少于1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场。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0"/>
          <w:lang w:val="en-US" w:eastAsia="zh-CN" w:bidi="ar"/>
        </w:rPr>
        <w:t>为保障儿童权益及中高考需求，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通过采取开门办、上门办、预约办、错时办、延时办、集中办等多种方式，为全区学生办理居民身份证提供便利。秉承“工助未来”服务品牌理念，推动企事业单位寒暑假开办职工子女托管班，提供学业辅导、传统文化教育以及文体兴趣服务，全年不少于12个班次。依托“五老”志愿者为涉案未成年人开展心理辅导</w:t>
      </w:r>
      <w:r>
        <w:rPr>
          <w:rFonts w:hint="eastAsia" w:ascii="Times New Roman" w:hAnsi="Times New Roman" w:eastAsia="仿宋_GB2312" w:cs="微软雅黑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等服务不少于5人次；为涉案未成年人家庭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开展家庭教育指导，制发</w:t>
      </w:r>
      <w:r>
        <w:rPr>
          <w:rFonts w:hint="eastAsia" w:ascii="Times New Roman" w:hAnsi="Times New Roman" w:eastAsia="仿宋_GB2312" w:cs="微软雅黑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督促监护令不少于10份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微软雅黑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督促监护人依法履行监护职责，从源头预防未成年人违法犯罪和侵害未成年人案件发生。开展残疾儿童康复救助项目，为约190名符合条件且有康复需求的残疾儿童实施康复救助。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（责任单位：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lang w:eastAsia="zh-CN"/>
        </w:rPr>
        <w:t>区妇联、临淄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公安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lang w:eastAsia="zh-CN"/>
        </w:rPr>
        <w:t>分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局、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highlight w:val="none"/>
        </w:rPr>
        <w:t>总工会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、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  <w:lang w:eastAsia="zh-CN"/>
        </w:rPr>
        <w:t>区检察院、区</w:t>
      </w:r>
      <w:r>
        <w:rPr>
          <w:rFonts w:hint="eastAsia" w:ascii="Times New Roman" w:hAnsi="Times New Roman" w:eastAsia="楷体_GB2312" w:cs="楷体_GB2312"/>
          <w:color w:val="auto"/>
          <w:spacing w:val="0"/>
          <w:position w:val="0"/>
          <w:sz w:val="32"/>
          <w:szCs w:val="32"/>
        </w:rPr>
        <w:t>残联）</w:t>
      </w:r>
    </w:p>
    <w:p w14:paraId="461A5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、深化困难儿童关爱帮扶。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福彩圆梦·孤儿助学工程”项目，为符合条件的孤儿按每人每学年1万元标准发放助学金。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40"/>
          <w:lang w:val="en-US" w:eastAsia="zh-CN"/>
        </w:rPr>
        <w:t>将孤儿纳入医疗救助范围，参照特困人员落实医疗救助待遇。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春蕾计划”公益助学，资助困境女童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加大困境儿童关心关爱，持续开展爱心妈妈一对一结对关爱活动，对重点关注的32名困境儿童年内开展入户走访4次，开展集体关爱活动2次。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（责任单位：区民政局、临淄医保分局、区妇联）</w:t>
      </w:r>
    </w:p>
    <w:p w14:paraId="68288D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部门务必提高思想认识，聚焦妇女儿童需求，持续优化为妇女儿童办实事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，推动政策、项目、服务资源优先向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妇女儿童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群体倾斜，切实提升妇女儿童的获得感、幸福感与安全感。各责任单位要压实主体责任，建立健全工作台账，积极履职担当，全力推动各项实事落地见效。区妇联按季度开展工作统筹调度。</w:t>
      </w:r>
    </w:p>
    <w:p w14:paraId="1DD9CE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联系电话：72203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，电子邮箱：</w:t>
      </w:r>
      <w:r>
        <w:rPr>
          <w:rFonts w:hint="default" w:ascii="Times New Roman" w:hAnsi="Times New Roman" w:cs="Times New Roman"/>
          <w:color w:val="auto"/>
          <w:spacing w:val="0"/>
          <w:sz w:val="32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pacing w:val="0"/>
          <w:sz w:val="32"/>
          <w:u w:val="none"/>
        </w:rPr>
        <w:instrText xml:space="preserve"> HYPERLINK "mailto:lzqfl@zb.shandong.cn" </w:instrText>
      </w:r>
      <w:r>
        <w:rPr>
          <w:rFonts w:hint="default" w:ascii="Times New Roman" w:hAnsi="Times New Roman" w:cs="Times New Roman"/>
          <w:color w:val="auto"/>
          <w:spacing w:val="0"/>
          <w:sz w:val="32"/>
          <w:u w:val="none"/>
        </w:rPr>
        <w:fldChar w:fldCharType="separate"/>
      </w:r>
      <w:r>
        <w:rPr>
          <w:rStyle w:val="1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lzqfl@zb.shandong.cn</w:t>
      </w:r>
      <w:r>
        <w:rPr>
          <w:rStyle w:val="1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fldChar w:fldCharType="end"/>
      </w:r>
    </w:p>
    <w:p w14:paraId="6720BF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</w:p>
    <w:p w14:paraId="1F071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附件:202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年为全区妇女儿童办实事工作进展情况表</w:t>
      </w:r>
    </w:p>
    <w:p w14:paraId="7E7D5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</w:p>
    <w:p w14:paraId="4DC174AE">
      <w:pPr>
        <w:spacing w:line="55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0B64CC00">
      <w:pPr>
        <w:spacing w:line="55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5431A0FC">
      <w:pPr>
        <w:spacing w:line="55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 w14:paraId="6AC7F0F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区妇女儿童办实事工作进展情况表</w:t>
      </w:r>
    </w:p>
    <w:p w14:paraId="1DB4481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tbl>
      <w:tblPr>
        <w:tblStyle w:val="13"/>
        <w:tblpPr w:leftFromText="180" w:rightFromText="180" w:vertAnchor="text" w:horzAnchor="page" w:tblpXSpec="center" w:tblpY="33"/>
        <w:tblOverlap w:val="never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266"/>
        <w:gridCol w:w="2693"/>
        <w:gridCol w:w="1843"/>
        <w:gridCol w:w="1057"/>
      </w:tblGrid>
      <w:tr w14:paraId="15F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0" w:type="dxa"/>
            <w:vAlign w:val="center"/>
          </w:tcPr>
          <w:p w14:paraId="286B84D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序号</w:t>
            </w:r>
          </w:p>
        </w:tc>
        <w:tc>
          <w:tcPr>
            <w:tcW w:w="3266" w:type="dxa"/>
            <w:vAlign w:val="center"/>
          </w:tcPr>
          <w:p w14:paraId="54D2CF6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实事名称</w:t>
            </w:r>
          </w:p>
        </w:tc>
        <w:tc>
          <w:tcPr>
            <w:tcW w:w="2693" w:type="dxa"/>
            <w:vAlign w:val="center"/>
          </w:tcPr>
          <w:p w14:paraId="0239912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责任单位</w:t>
            </w:r>
          </w:p>
        </w:tc>
        <w:tc>
          <w:tcPr>
            <w:tcW w:w="1843" w:type="dxa"/>
            <w:vAlign w:val="center"/>
          </w:tcPr>
          <w:p w14:paraId="27679E8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本季度具体措施</w:t>
            </w:r>
          </w:p>
          <w:p w14:paraId="69C5E7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及任务进度情况</w:t>
            </w:r>
          </w:p>
        </w:tc>
        <w:tc>
          <w:tcPr>
            <w:tcW w:w="1057" w:type="dxa"/>
            <w:vAlign w:val="center"/>
          </w:tcPr>
          <w:p w14:paraId="35B577D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完成时限</w:t>
            </w:r>
          </w:p>
        </w:tc>
      </w:tr>
      <w:tr w14:paraId="70FD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70" w:type="dxa"/>
            <w:vAlign w:val="center"/>
          </w:tcPr>
          <w:p w14:paraId="523F2C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 w14:paraId="56EFC0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促进女性高质量充分就业</w:t>
            </w:r>
          </w:p>
        </w:tc>
        <w:tc>
          <w:tcPr>
            <w:tcW w:w="2693" w:type="dxa"/>
            <w:vAlign w:val="center"/>
          </w:tcPr>
          <w:p w14:paraId="7B0114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区人社局</w:t>
            </w:r>
          </w:p>
          <w:p w14:paraId="3EADF38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区妇联</w:t>
            </w:r>
          </w:p>
          <w:p w14:paraId="2AA6BE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区商务局</w:t>
            </w:r>
          </w:p>
        </w:tc>
        <w:tc>
          <w:tcPr>
            <w:tcW w:w="1843" w:type="dxa"/>
            <w:vAlign w:val="center"/>
          </w:tcPr>
          <w:p w14:paraId="4C451F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3FD675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598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0" w:type="dxa"/>
            <w:vAlign w:val="center"/>
          </w:tcPr>
          <w:p w14:paraId="4B7B5E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3266" w:type="dxa"/>
            <w:vAlign w:val="center"/>
          </w:tcPr>
          <w:p w14:paraId="61C4AA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保护和增进妇女健康</w:t>
            </w:r>
          </w:p>
        </w:tc>
        <w:tc>
          <w:tcPr>
            <w:tcW w:w="2693" w:type="dxa"/>
            <w:vAlign w:val="center"/>
          </w:tcPr>
          <w:p w14:paraId="155F6B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区卫健局</w:t>
            </w:r>
          </w:p>
          <w:p w14:paraId="0F60BA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区妇联</w:t>
            </w:r>
          </w:p>
        </w:tc>
        <w:tc>
          <w:tcPr>
            <w:tcW w:w="1843" w:type="dxa"/>
            <w:vAlign w:val="center"/>
          </w:tcPr>
          <w:p w14:paraId="303F7E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CD07D8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6B7802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236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0" w:type="dxa"/>
            <w:vAlign w:val="center"/>
          </w:tcPr>
          <w:p w14:paraId="2F6F06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3266" w:type="dxa"/>
            <w:vAlign w:val="center"/>
          </w:tcPr>
          <w:p w14:paraId="493477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推进教育设施优化提升</w:t>
            </w:r>
          </w:p>
        </w:tc>
        <w:tc>
          <w:tcPr>
            <w:tcW w:w="2693" w:type="dxa"/>
            <w:vAlign w:val="center"/>
          </w:tcPr>
          <w:p w14:paraId="5015D9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区教体局</w:t>
            </w:r>
          </w:p>
        </w:tc>
        <w:tc>
          <w:tcPr>
            <w:tcW w:w="1843" w:type="dxa"/>
            <w:vAlign w:val="center"/>
          </w:tcPr>
          <w:p w14:paraId="37AA81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03F933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A55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70" w:type="dxa"/>
            <w:vAlign w:val="center"/>
          </w:tcPr>
          <w:p w14:paraId="18456B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</w:t>
            </w:r>
          </w:p>
        </w:tc>
        <w:tc>
          <w:tcPr>
            <w:tcW w:w="3266" w:type="dxa"/>
            <w:vAlign w:val="center"/>
          </w:tcPr>
          <w:p w14:paraId="1967A5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深化家庭家教家风建设</w:t>
            </w:r>
          </w:p>
        </w:tc>
        <w:tc>
          <w:tcPr>
            <w:tcW w:w="2693" w:type="dxa"/>
            <w:vAlign w:val="center"/>
          </w:tcPr>
          <w:p w14:paraId="6BDE8F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区委宣传部</w:t>
            </w:r>
          </w:p>
          <w:p w14:paraId="69C67F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区妇联</w:t>
            </w:r>
          </w:p>
          <w:p w14:paraId="05E764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区教体局</w:t>
            </w:r>
          </w:p>
        </w:tc>
        <w:tc>
          <w:tcPr>
            <w:tcW w:w="1843" w:type="dxa"/>
            <w:vAlign w:val="center"/>
          </w:tcPr>
          <w:p w14:paraId="29F33D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5E0A2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DE1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0" w:type="dxa"/>
            <w:vAlign w:val="center"/>
          </w:tcPr>
          <w:p w14:paraId="3C3F6D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</w:t>
            </w:r>
          </w:p>
        </w:tc>
        <w:tc>
          <w:tcPr>
            <w:tcW w:w="3266" w:type="dxa"/>
            <w:vAlign w:val="center"/>
          </w:tcPr>
          <w:p w14:paraId="66B8F1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提高优生优育服务水平</w:t>
            </w:r>
          </w:p>
        </w:tc>
        <w:tc>
          <w:tcPr>
            <w:tcW w:w="2693" w:type="dxa"/>
            <w:vAlign w:val="center"/>
          </w:tcPr>
          <w:p w14:paraId="306794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区卫健局</w:t>
            </w:r>
          </w:p>
          <w:p w14:paraId="6892EA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区教体局</w:t>
            </w:r>
          </w:p>
        </w:tc>
        <w:tc>
          <w:tcPr>
            <w:tcW w:w="1843" w:type="dxa"/>
            <w:vAlign w:val="center"/>
          </w:tcPr>
          <w:p w14:paraId="0D1DE1A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23B13C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FA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0" w:type="dxa"/>
            <w:vAlign w:val="center"/>
          </w:tcPr>
          <w:p w14:paraId="55384A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</w:t>
            </w:r>
          </w:p>
        </w:tc>
        <w:tc>
          <w:tcPr>
            <w:tcW w:w="3266" w:type="dxa"/>
            <w:vAlign w:val="center"/>
          </w:tcPr>
          <w:p w14:paraId="346F21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丰富文化体育服务供给</w:t>
            </w:r>
          </w:p>
        </w:tc>
        <w:tc>
          <w:tcPr>
            <w:tcW w:w="2693" w:type="dxa"/>
            <w:vAlign w:val="center"/>
          </w:tcPr>
          <w:p w14:paraId="283634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文旅局</w:t>
            </w:r>
          </w:p>
          <w:p w14:paraId="34E7B6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科协</w:t>
            </w:r>
          </w:p>
          <w:p w14:paraId="14CC67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区教体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局</w:t>
            </w:r>
          </w:p>
        </w:tc>
        <w:tc>
          <w:tcPr>
            <w:tcW w:w="1843" w:type="dxa"/>
            <w:vAlign w:val="center"/>
          </w:tcPr>
          <w:p w14:paraId="72A4DA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652F7D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D8F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70" w:type="dxa"/>
            <w:vAlign w:val="center"/>
          </w:tcPr>
          <w:p w14:paraId="3ABB22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</w:t>
            </w:r>
          </w:p>
        </w:tc>
        <w:tc>
          <w:tcPr>
            <w:tcW w:w="3266" w:type="dxa"/>
            <w:vAlign w:val="center"/>
          </w:tcPr>
          <w:p w14:paraId="48F9B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深化儿童友好城市建设</w:t>
            </w:r>
          </w:p>
        </w:tc>
        <w:tc>
          <w:tcPr>
            <w:tcW w:w="2693" w:type="dxa"/>
            <w:vAlign w:val="center"/>
          </w:tcPr>
          <w:p w14:paraId="7E81F0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区妇联</w:t>
            </w:r>
          </w:p>
          <w:p w14:paraId="2630872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检察院</w:t>
            </w:r>
          </w:p>
        </w:tc>
        <w:tc>
          <w:tcPr>
            <w:tcW w:w="1843" w:type="dxa"/>
            <w:vAlign w:val="center"/>
          </w:tcPr>
          <w:p w14:paraId="36FBE34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73E8E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F57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70" w:type="dxa"/>
            <w:vAlign w:val="center"/>
          </w:tcPr>
          <w:p w14:paraId="6C5788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</w:t>
            </w:r>
          </w:p>
        </w:tc>
        <w:tc>
          <w:tcPr>
            <w:tcW w:w="3266" w:type="dxa"/>
            <w:vAlign w:val="center"/>
          </w:tcPr>
          <w:p w14:paraId="251723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持续培育婚恋新风</w:t>
            </w:r>
          </w:p>
        </w:tc>
        <w:tc>
          <w:tcPr>
            <w:tcW w:w="2693" w:type="dxa"/>
            <w:vAlign w:val="center"/>
          </w:tcPr>
          <w:p w14:paraId="722695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区总工会</w:t>
            </w:r>
          </w:p>
          <w:p w14:paraId="57127B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团区委</w:t>
            </w:r>
          </w:p>
          <w:p w14:paraId="5E35D2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区妇联</w:t>
            </w:r>
          </w:p>
        </w:tc>
        <w:tc>
          <w:tcPr>
            <w:tcW w:w="1843" w:type="dxa"/>
            <w:vAlign w:val="center"/>
          </w:tcPr>
          <w:p w14:paraId="49C2012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58829E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43D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670" w:type="dxa"/>
            <w:vAlign w:val="center"/>
          </w:tcPr>
          <w:p w14:paraId="3AFEC8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9</w:t>
            </w:r>
          </w:p>
        </w:tc>
        <w:tc>
          <w:tcPr>
            <w:tcW w:w="3266" w:type="dxa"/>
            <w:vAlign w:val="center"/>
          </w:tcPr>
          <w:p w14:paraId="396B28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强化妇女儿童权益保障</w:t>
            </w:r>
          </w:p>
        </w:tc>
        <w:tc>
          <w:tcPr>
            <w:tcW w:w="2693" w:type="dxa"/>
            <w:vAlign w:val="center"/>
          </w:tcPr>
          <w:p w14:paraId="75CD712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区妇联</w:t>
            </w:r>
          </w:p>
          <w:p w14:paraId="0879ED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临淄公安分局</w:t>
            </w:r>
          </w:p>
          <w:p w14:paraId="5B4405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区总工会</w:t>
            </w:r>
          </w:p>
          <w:p w14:paraId="2DCDA1BC">
            <w:pPr>
              <w:spacing w:line="24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区检察院</w:t>
            </w:r>
          </w:p>
          <w:p w14:paraId="14DB0E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区残联</w:t>
            </w:r>
          </w:p>
        </w:tc>
        <w:tc>
          <w:tcPr>
            <w:tcW w:w="1843" w:type="dxa"/>
            <w:vAlign w:val="center"/>
          </w:tcPr>
          <w:p w14:paraId="7AD93A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08AB84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CBB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vAlign w:val="center"/>
          </w:tcPr>
          <w:p w14:paraId="46B990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</w:t>
            </w:r>
          </w:p>
        </w:tc>
        <w:tc>
          <w:tcPr>
            <w:tcW w:w="3266" w:type="dxa"/>
            <w:vAlign w:val="center"/>
          </w:tcPr>
          <w:p w14:paraId="4FFFBD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深化困难儿童关爱帮扶</w:t>
            </w:r>
          </w:p>
        </w:tc>
        <w:tc>
          <w:tcPr>
            <w:tcW w:w="2693" w:type="dxa"/>
            <w:vAlign w:val="center"/>
          </w:tcPr>
          <w:p w14:paraId="00C546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区民政局</w:t>
            </w:r>
          </w:p>
          <w:p w14:paraId="49CD35D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临淄医保分局</w:t>
            </w:r>
          </w:p>
          <w:p w14:paraId="05C7E1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区妇联</w:t>
            </w:r>
          </w:p>
        </w:tc>
        <w:tc>
          <w:tcPr>
            <w:tcW w:w="1843" w:type="dxa"/>
            <w:vAlign w:val="center"/>
          </w:tcPr>
          <w:p w14:paraId="3C4373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57BA36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02748BD2">
      <w:pPr>
        <w:pStyle w:val="9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17" w:bottom="130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EAC7B-7E89-4815-998D-766807CF8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5DDAA3-717F-4759-9C6E-BDF235707E8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40502D3-7219-4A51-858F-DDE7EFA09D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190655-A131-4377-8BA6-84BEC8DA47E0}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2855F9F-012E-4FB0-B683-C19214F7C3F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A3EF44D0-0C92-4FE5-9136-0BCDFF131314}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780AC346-9A90-4274-A9ED-0092DAAECD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E80A577F-BB19-4750-A1B1-A856BFEDB0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6B4A5">
    <w:pPr>
      <w:pStyle w:val="7"/>
    </w:pPr>
    <w:r>
      <w:rPr>
        <w:sz w:val="18"/>
      </w:rPr>
      <w:pict>
        <v:shape id="_x0000_s1031" o:spid="_x0000_s103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0F103B0">
                <w:pPr>
                  <w:pStyle w:val="7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673F">
    <w:pPr>
      <w:pStyle w:val="7"/>
    </w:pPr>
    <w:r>
      <w:rPr>
        <w:sz w:val="18"/>
      </w:rPr>
      <w:pict>
        <v:shape id="_x0000_s1032" o:spid="_x0000_s1032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AC4C48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733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83A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MwMWViYzk1MTI2MWNlOGU1MDU1ODRhZTIyMTU0OGEifQ=="/>
  </w:docVars>
  <w:rsids>
    <w:rsidRoot w:val="007D29DA"/>
    <w:rsid w:val="001D2CA7"/>
    <w:rsid w:val="00291F81"/>
    <w:rsid w:val="00364378"/>
    <w:rsid w:val="00512F53"/>
    <w:rsid w:val="006852BD"/>
    <w:rsid w:val="007D29DA"/>
    <w:rsid w:val="00942E33"/>
    <w:rsid w:val="00A6499A"/>
    <w:rsid w:val="00AD2A59"/>
    <w:rsid w:val="00C85396"/>
    <w:rsid w:val="00D006F9"/>
    <w:rsid w:val="00D37A53"/>
    <w:rsid w:val="00D91028"/>
    <w:rsid w:val="00E448B7"/>
    <w:rsid w:val="00E6209B"/>
    <w:rsid w:val="00EA2C02"/>
    <w:rsid w:val="01FB7EB3"/>
    <w:rsid w:val="03ED07FB"/>
    <w:rsid w:val="04AB0BBC"/>
    <w:rsid w:val="04D03244"/>
    <w:rsid w:val="04E242DC"/>
    <w:rsid w:val="05516EDB"/>
    <w:rsid w:val="06233BF8"/>
    <w:rsid w:val="0E4E0108"/>
    <w:rsid w:val="107176DE"/>
    <w:rsid w:val="10A60F23"/>
    <w:rsid w:val="11AD6919"/>
    <w:rsid w:val="15284D87"/>
    <w:rsid w:val="160D56FC"/>
    <w:rsid w:val="18FF4051"/>
    <w:rsid w:val="1CFC56F1"/>
    <w:rsid w:val="1E995E62"/>
    <w:rsid w:val="1EF67111"/>
    <w:rsid w:val="1F282554"/>
    <w:rsid w:val="1F403FC5"/>
    <w:rsid w:val="22737BDE"/>
    <w:rsid w:val="22D82BBE"/>
    <w:rsid w:val="231F3C6E"/>
    <w:rsid w:val="235C5B98"/>
    <w:rsid w:val="23EE0FC5"/>
    <w:rsid w:val="257A33DD"/>
    <w:rsid w:val="269C707E"/>
    <w:rsid w:val="270D38A0"/>
    <w:rsid w:val="28390C80"/>
    <w:rsid w:val="294B244F"/>
    <w:rsid w:val="2A3C72DE"/>
    <w:rsid w:val="2BBD6CF2"/>
    <w:rsid w:val="2CD15CB8"/>
    <w:rsid w:val="2CD22657"/>
    <w:rsid w:val="2F11591F"/>
    <w:rsid w:val="2F725125"/>
    <w:rsid w:val="312B3A60"/>
    <w:rsid w:val="34A0495A"/>
    <w:rsid w:val="3655122D"/>
    <w:rsid w:val="36592B9B"/>
    <w:rsid w:val="37B43503"/>
    <w:rsid w:val="3915046C"/>
    <w:rsid w:val="3AF9494C"/>
    <w:rsid w:val="3DCF49EF"/>
    <w:rsid w:val="46C04AE1"/>
    <w:rsid w:val="4732546E"/>
    <w:rsid w:val="496767C2"/>
    <w:rsid w:val="4BDB773A"/>
    <w:rsid w:val="4C783DA2"/>
    <w:rsid w:val="4CFD6AA3"/>
    <w:rsid w:val="4FB06940"/>
    <w:rsid w:val="52E32515"/>
    <w:rsid w:val="5593511F"/>
    <w:rsid w:val="57EF4CB5"/>
    <w:rsid w:val="586E5FDD"/>
    <w:rsid w:val="591A4940"/>
    <w:rsid w:val="59AD78ED"/>
    <w:rsid w:val="5A6D19E9"/>
    <w:rsid w:val="5AF10BFB"/>
    <w:rsid w:val="5CB6757D"/>
    <w:rsid w:val="5E272537"/>
    <w:rsid w:val="5EBB1C61"/>
    <w:rsid w:val="5ED510A9"/>
    <w:rsid w:val="5F5C5F51"/>
    <w:rsid w:val="5FEE5EFD"/>
    <w:rsid w:val="613E1B97"/>
    <w:rsid w:val="61B44A63"/>
    <w:rsid w:val="623C4F9B"/>
    <w:rsid w:val="62814F6A"/>
    <w:rsid w:val="65BE6761"/>
    <w:rsid w:val="67714970"/>
    <w:rsid w:val="681C1AF7"/>
    <w:rsid w:val="694806C9"/>
    <w:rsid w:val="6B1435E4"/>
    <w:rsid w:val="6C9931D6"/>
    <w:rsid w:val="6CBC7404"/>
    <w:rsid w:val="6D244363"/>
    <w:rsid w:val="6DA51792"/>
    <w:rsid w:val="6DC23230"/>
    <w:rsid w:val="70FD50B6"/>
    <w:rsid w:val="71240F94"/>
    <w:rsid w:val="7286030D"/>
    <w:rsid w:val="729E0A00"/>
    <w:rsid w:val="74DA0D6F"/>
    <w:rsid w:val="750317F1"/>
    <w:rsid w:val="760E6D55"/>
    <w:rsid w:val="788C5C35"/>
    <w:rsid w:val="78D366AD"/>
    <w:rsid w:val="79B7747C"/>
    <w:rsid w:val="7B6E5A8C"/>
    <w:rsid w:val="7B8B4997"/>
    <w:rsid w:val="7D8807A9"/>
    <w:rsid w:val="7DF84014"/>
    <w:rsid w:val="7EF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qFormat/>
    <w:uiPriority w:val="0"/>
    <w:pPr>
      <w:ind w:left="3360"/>
      <w:jc w:val="left"/>
    </w:pPr>
    <w:rPr>
      <w:szCs w:val="2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next w:val="1"/>
    <w:qFormat/>
    <w:uiPriority w:val="0"/>
    <w:pPr>
      <w:spacing w:line="500" w:lineRule="exact"/>
      <w:ind w:firstLine="420"/>
    </w:pPr>
    <w:rPr>
      <w:sz w:val="28"/>
      <w:szCs w:val="20"/>
    </w:rPr>
  </w:style>
  <w:style w:type="paragraph" w:styleId="12">
    <w:name w:val="Body Text First Indent 2"/>
    <w:basedOn w:val="5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正文文本 Char"/>
    <w:basedOn w:val="15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2797</Words>
  <Characters>2887</Characters>
  <Lines>26</Lines>
  <Paragraphs>7</Paragraphs>
  <TotalTime>15</TotalTime>
  <ScaleCrop>false</ScaleCrop>
  <LinksUpToDate>false</LinksUpToDate>
  <CharactersWithSpaces>2947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2022-02-14T06:08:00Z</dcterms:created>
  <dc:creator>Administrator</dc:creator>
  <cp:lastModifiedBy>糖芯</cp:lastModifiedBy>
  <cp:lastPrinted>2026-06-10T03:50:00Z</cp:lastPrinted>
  <dcterms:modified xsi:type="dcterms:W3CDTF">2026-06-22T06:25:35Z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3ABC4790EA8B40798C8CB8EE3480CE51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