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rPr>
      </w:pPr>
      <w:r>
        <w:rPr>
          <w:rFonts w:ascii="仿宋" w:hAnsi="仿宋" w:eastAsia="仿宋" w:cs="仿宋"/>
          <w:sz w:val="32"/>
          <w:szCs w:val="32"/>
        </w:rPr>
        <w:t>LZDR-2022-0010001</w:t>
      </w: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140 </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jc w:val="both"/>
        <w:rPr>
          <w:rFonts w:ascii="仿宋" w:hAnsi="仿宋" w:eastAsia="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仿宋" w:hAnsi="仿宋" w:eastAsia="仿宋" w:cs="仿宋"/>
          <w:sz w:val="32"/>
          <w:szCs w:val="32"/>
        </w:rPr>
        <w:t xml:space="preserve">  </w:t>
      </w:r>
      <w:r>
        <w:rPr>
          <w:rFonts w:hint="eastAsia" w:ascii="方正小标宋简体" w:hAnsi="方正小标宋简体" w:eastAsia="方正小标宋简体" w:cs="方正小标宋简体"/>
          <w:sz w:val="44"/>
          <w:szCs w:val="44"/>
        </w:rPr>
        <w:t>临淄区人民政府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关于印发临淄区资本市场突破行动补助资金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sz w:val="44"/>
          <w:szCs w:val="44"/>
        </w:rPr>
      </w:pPr>
    </w:p>
    <w:p>
      <w:pPr>
        <w:pStyle w:val="9"/>
        <w:spacing w:before="0" w:after="0" w:line="600" w:lineRule="exact"/>
        <w:jc w:val="both"/>
        <w:rPr>
          <w:rFonts w:ascii="仿宋" w:hAnsi="仿宋" w:eastAsia="仿宋" w:cs="仿宋"/>
          <w:b w:val="0"/>
          <w:bCs w:val="0"/>
          <w:sz w:val="32"/>
        </w:rPr>
      </w:pPr>
      <w:r>
        <w:rPr>
          <w:rFonts w:hint="eastAsia" w:ascii="仿宋" w:hAnsi="仿宋" w:eastAsia="仿宋" w:cs="仿宋"/>
          <w:b w:val="0"/>
          <w:bCs w:val="0"/>
          <w:sz w:val="32"/>
        </w:rPr>
        <w:t>各镇人民政府、街道办事处，各开发区管委会，区政府各部门，有关企事业单位：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《临淄区资本市场突破行动补助资金实施细则》已经区政府研究同意，现印发给你们，请认真贯彻落实。</w:t>
      </w:r>
    </w:p>
    <w:p>
      <w:pPr>
        <w:spacing w:line="600" w:lineRule="exact"/>
        <w:rPr>
          <w:rFonts w:ascii="仿宋" w:hAnsi="仿宋" w:eastAsia="仿宋" w:cs="仿宋"/>
          <w:sz w:val="32"/>
          <w:szCs w:val="32"/>
        </w:rPr>
      </w:pPr>
    </w:p>
    <w:p>
      <w:pPr>
        <w:pStyle w:val="2"/>
        <w:spacing w:line="600" w:lineRule="exact"/>
      </w:pPr>
    </w:p>
    <w:p>
      <w:pPr>
        <w:pStyle w:val="9"/>
        <w:spacing w:before="0" w:after="0" w:line="600" w:lineRule="exact"/>
        <w:rPr>
          <w:rFonts w:ascii="仿宋" w:hAnsi="仿宋" w:eastAsia="仿宋" w:cs="仿宋"/>
          <w:b w:val="0"/>
          <w:bCs w:val="0"/>
          <w:sz w:val="32"/>
        </w:rPr>
      </w:pPr>
      <w:r>
        <w:rPr>
          <w:rFonts w:hint="eastAsia" w:ascii="仿宋" w:hAnsi="仿宋" w:eastAsia="仿宋" w:cs="仿宋"/>
          <w:b w:val="0"/>
          <w:bCs w:val="0"/>
          <w:sz w:val="32"/>
        </w:rPr>
        <w:t xml:space="preserve">                         临淄区人民政府</w:t>
      </w:r>
    </w:p>
    <w:p>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2022年10月 日</w:t>
      </w:r>
    </w:p>
    <w:p>
      <w:pPr>
        <w:pStyle w:val="9"/>
        <w:spacing w:before="0" w:after="0" w:line="600" w:lineRule="exact"/>
        <w:ind w:firstLine="640" w:firstLineChars="200"/>
        <w:jc w:val="left"/>
        <w:rPr>
          <w:rFonts w:hint="eastAsia" w:ascii="仿宋" w:hAnsi="仿宋" w:eastAsia="仿宋" w:cs="仿宋"/>
          <w:b w:val="0"/>
          <w:bCs w:val="0"/>
          <w:sz w:val="32"/>
        </w:rPr>
      </w:pPr>
    </w:p>
    <w:p>
      <w:pPr>
        <w:pStyle w:val="9"/>
        <w:spacing w:before="0" w:after="0" w:line="600" w:lineRule="exact"/>
        <w:ind w:firstLine="640" w:firstLineChars="200"/>
        <w:jc w:val="left"/>
        <w:rPr>
          <w:rFonts w:ascii="仿宋" w:hAnsi="仿宋" w:eastAsia="仿宋" w:cs="仿宋"/>
          <w:sz w:val="32"/>
        </w:rPr>
      </w:pPr>
      <w:r>
        <w:rPr>
          <w:rFonts w:hint="eastAsia" w:ascii="仿宋" w:hAnsi="仿宋" w:eastAsia="仿宋" w:cs="仿宋"/>
          <w:b w:val="0"/>
          <w:bCs w:val="0"/>
          <w:sz w:val="32"/>
        </w:rPr>
        <w:t>（此件公开发布）</w:t>
      </w:r>
    </w:p>
    <w:p>
      <w:pPr>
        <w:pStyle w:val="9"/>
        <w:spacing w:before="0" w:after="0" w:line="600" w:lineRule="exact"/>
        <w:rPr>
          <w:rFonts w:hint="eastAsia" w:ascii="方正小标宋简体" w:hAnsi="方正小标宋简体" w:eastAsia="方正小标宋简体" w:cs="方正小标宋简体"/>
          <w:b w:val="0"/>
          <w:bCs w:val="0"/>
          <w:sz w:val="44"/>
          <w:szCs w:val="44"/>
        </w:rPr>
      </w:pPr>
    </w:p>
    <w:p>
      <w:pPr>
        <w:pStyle w:val="9"/>
        <w:spacing w:before="0" w:after="0" w:line="600" w:lineRule="exact"/>
        <w:jc w:val="both"/>
        <w:rPr>
          <w:rFonts w:hint="eastAsia" w:ascii="方正小标宋简体" w:hAnsi="方正小标宋简体" w:eastAsia="方正小标宋简体" w:cs="方正小标宋简体"/>
          <w:b w:val="0"/>
          <w:bCs w:val="0"/>
          <w:sz w:val="44"/>
          <w:szCs w:val="44"/>
        </w:rPr>
      </w:pPr>
    </w:p>
    <w:p>
      <w:pPr>
        <w:pStyle w:val="9"/>
        <w:spacing w:before="0" w:after="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临淄区资本市场突破行动补助资金实施细则</w:t>
      </w:r>
    </w:p>
    <w:p>
      <w:pPr>
        <w:spacing w:line="600" w:lineRule="exact"/>
        <w:jc w:val="center"/>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总则</w:t>
      </w:r>
    </w:p>
    <w:p>
      <w:pPr>
        <w:pStyle w:val="27"/>
        <w:keepNext/>
        <w:keepLines/>
        <w:spacing w:before="0" w:after="0" w:line="600" w:lineRule="exact"/>
        <w:ind w:firstLine="0"/>
        <w:rPr>
          <w:rFonts w:ascii="仿宋" w:hAnsi="仿宋" w:eastAsia="仿宋" w:cs="仿宋"/>
          <w:color w:val="000000"/>
          <w:sz w:val="32"/>
          <w:szCs w:val="32"/>
        </w:rPr>
      </w:pPr>
      <w:r>
        <w:rPr>
          <w:rFonts w:hint="eastAsia" w:ascii="仿宋" w:hAnsi="仿宋" w:eastAsia="仿宋" w:cs="仿宋"/>
          <w:sz w:val="32"/>
          <w:szCs w:val="32"/>
        </w:rPr>
        <w:t xml:space="preserve">    </w:t>
      </w: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为深入贯彻落实《淄博市金融业发展“十四五”规划》，大力实施</w:t>
      </w:r>
      <w:r>
        <w:rPr>
          <w:rFonts w:hint="eastAsia" w:ascii="仿宋" w:hAnsi="仿宋" w:eastAsia="仿宋" w:cs="仿宋"/>
          <w:color w:val="000000"/>
          <w:sz w:val="32"/>
          <w:szCs w:val="32"/>
          <w:lang w:val="zh-CN" w:bidi="zh-CN"/>
        </w:rPr>
        <w:t>金</w:t>
      </w:r>
      <w:r>
        <w:rPr>
          <w:rFonts w:hint="eastAsia" w:ascii="仿宋" w:hAnsi="仿宋" w:eastAsia="仿宋" w:cs="仿宋"/>
          <w:color w:val="000000"/>
          <w:sz w:val="32"/>
          <w:szCs w:val="32"/>
        </w:rPr>
        <w:t>融赋能</w:t>
      </w:r>
      <w:r>
        <w:rPr>
          <w:rFonts w:hint="eastAsia" w:ascii="仿宋" w:hAnsi="仿宋" w:eastAsia="仿宋" w:cs="仿宋"/>
          <w:color w:val="000000"/>
          <w:sz w:val="32"/>
          <w:szCs w:val="32"/>
          <w:lang w:val="zh-CN" w:bidi="zh-CN"/>
        </w:rPr>
        <w:t>行动</w:t>
      </w:r>
      <w:r>
        <w:rPr>
          <w:rFonts w:hint="eastAsia" w:ascii="仿宋" w:hAnsi="仿宋" w:eastAsia="仿宋" w:cs="仿宋"/>
          <w:color w:val="000000"/>
          <w:sz w:val="32"/>
          <w:szCs w:val="32"/>
        </w:rPr>
        <w:t>，打造金融科创高地，积极推进省级上市公司孵化聚集区试点工作，不断壮大多层次资本市场“临淄板块”，推动我区经济高质量发展，根据《临淄区人民政府关于促进企业上市挂牌加快发展资本市场的意见》（临政发〔2020〕4号）文件精神，结合我区实际，制定本实施细则。</w:t>
      </w:r>
    </w:p>
    <w:p>
      <w:pPr>
        <w:spacing w:line="600" w:lineRule="exact"/>
        <w:ind w:firstLine="682"/>
        <w:rPr>
          <w:rFonts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xml:space="preserve">  细则所称资本市场突破行动补助资金（以下简称补助资金），是指用于推动我区企业上市前规范培育、分阶段上市、企业挂牌、融资、并购重组等，发挥资本市场功能服务实体经济发展方面的资金；所称纳税额是指向我区税务机关缴纳的企业所得税、个人所得税、印花税等税款。</w:t>
      </w:r>
    </w:p>
    <w:p>
      <w:pPr>
        <w:spacing w:line="600" w:lineRule="exact"/>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补助资金范围</w:t>
      </w:r>
    </w:p>
    <w:p>
      <w:pPr>
        <w:spacing w:line="600" w:lineRule="exact"/>
        <w:ind w:firstLine="681" w:firstLineChars="213"/>
        <w:rPr>
          <w:rFonts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补助资金范围涵盖上市前规范、股份制改制、分阶段上市、上市公司注册地迁入、挂牌、融资、并购重组、拆分子公司上市等。</w:t>
      </w:r>
    </w:p>
    <w:p>
      <w:pPr>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上市后备企业在实质性启动上市工作时需向区资本市场工作专项领导小组办公室备案，并在完成股改时、成功上市后向区资本市场工作专项领导小组办公室提交上市挂牌后原始股权托管在本区证券机构营业部和在本区减持的承诺书并由相关股东签字确认。</w:t>
      </w:r>
    </w:p>
    <w:p>
      <w:pPr>
        <w:spacing w:line="600" w:lineRule="exact"/>
        <w:ind w:firstLine="640" w:firstLineChars="200"/>
        <w:rPr>
          <w:rFonts w:ascii="仿宋" w:hAnsi="仿宋" w:eastAsia="仿宋" w:cs="仿宋"/>
          <w:color w:val="FF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xml:space="preserve"> 上市挂牌前企业规范补助。企业按照上市或新三板挂牌要求进行财务调整规范、股权架构规范而形成的相关</w:t>
      </w:r>
      <w:r>
        <w:rPr>
          <w:rFonts w:hint="eastAsia" w:ascii="仿宋" w:hAnsi="仿宋" w:eastAsia="仿宋" w:cs="仿宋"/>
          <w:sz w:val="32"/>
          <w:szCs w:val="32"/>
        </w:rPr>
        <w:t>支出</w:t>
      </w:r>
      <w:r>
        <w:rPr>
          <w:rFonts w:hint="eastAsia" w:ascii="仿宋" w:hAnsi="仿宋" w:eastAsia="仿宋" w:cs="仿宋"/>
          <w:color w:val="000000"/>
          <w:sz w:val="32"/>
          <w:szCs w:val="32"/>
        </w:rPr>
        <w:t>，</w:t>
      </w:r>
      <w:r>
        <w:rPr>
          <w:rFonts w:hint="eastAsia" w:ascii="仿宋" w:hAnsi="仿宋" w:eastAsia="仿宋" w:cs="仿宋"/>
          <w:sz w:val="32"/>
          <w:szCs w:val="32"/>
        </w:rPr>
        <w:t>按照《淄博市人民政府印发关于进一步促进金融业集聚发展若干措施的通知》（淄政字〔2022〕31号）等文件执行。</w:t>
      </w:r>
    </w:p>
    <w:p>
      <w:pPr>
        <w:pStyle w:val="28"/>
        <w:tabs>
          <w:tab w:val="left" w:pos="1382"/>
        </w:tabs>
        <w:spacing w:line="600" w:lineRule="exact"/>
        <w:ind w:firstLine="640" w:firstLineChars="200"/>
        <w:rPr>
          <w:rFonts w:ascii="仿宋" w:hAnsi="仿宋" w:eastAsia="仿宋" w:cs="仿宋"/>
          <w:color w:val="000000"/>
          <w:sz w:val="32"/>
          <w:szCs w:val="32"/>
          <w:lang w:val="en-US" w:eastAsia="zh-CN" w:bidi="ar-SA"/>
        </w:rPr>
      </w:pPr>
      <w:r>
        <w:rPr>
          <w:rFonts w:hint="eastAsia" w:ascii="黑体" w:hAnsi="黑体" w:eastAsia="黑体" w:cs="黑体"/>
          <w:color w:val="000000"/>
          <w:sz w:val="32"/>
          <w:szCs w:val="32"/>
          <w:lang w:val="en-US" w:eastAsia="zh-CN" w:bidi="ar-SA"/>
        </w:rPr>
        <w:t>第五条</w:t>
      </w:r>
      <w:r>
        <w:rPr>
          <w:rFonts w:hint="eastAsia" w:ascii="仿宋" w:hAnsi="仿宋" w:eastAsia="仿宋" w:cs="仿宋"/>
          <w:color w:val="000000"/>
          <w:sz w:val="32"/>
          <w:szCs w:val="32"/>
          <w:lang w:val="en-US" w:eastAsia="zh-CN" w:bidi="ar-SA"/>
        </w:rPr>
        <w:t xml:space="preserve">  股份制改制补助。上市、挂牌企业进行股份制改制所产生的费用，在享受上级补助的基础上，区级财政按照实际发生额的50%给予补助，每户企业补助最高至30万元。</w:t>
      </w:r>
    </w:p>
    <w:p>
      <w:pPr>
        <w:spacing w:line="600" w:lineRule="exact"/>
        <w:ind w:firstLine="640" w:firstLineChars="200"/>
        <w:rPr>
          <w:rFonts w:ascii="仿宋" w:hAnsi="仿宋" w:eastAsia="仿宋" w:cs="仿宋"/>
          <w:sz w:val="32"/>
          <w:szCs w:val="32"/>
        </w:rPr>
      </w:pPr>
      <w:r>
        <w:rPr>
          <w:rFonts w:hint="eastAsia" w:ascii="黑体" w:hAnsi="黑体" w:eastAsia="黑体" w:cs="黑体"/>
          <w:color w:val="000000"/>
          <w:sz w:val="32"/>
          <w:szCs w:val="32"/>
        </w:rPr>
        <w:t>第六条</w:t>
      </w:r>
      <w:r>
        <w:rPr>
          <w:rFonts w:hint="eastAsia" w:ascii="仿宋" w:hAnsi="仿宋" w:eastAsia="仿宋" w:cs="仿宋"/>
          <w:color w:val="000000"/>
          <w:sz w:val="32"/>
          <w:szCs w:val="32"/>
        </w:rPr>
        <w:t xml:space="preserve">  分阶段上市补助。对在境内证券交易所上市的企业，在享受省市政策的基础上，按照“事前补助”原则，区财政按照上市签约、首发辅导备案、受理首发申请、成功上市四个阶段，以2：3：4：1的比例，给予每家企业最高1000万元补助。其中，在沪深证券交易所上市</w:t>
      </w:r>
      <w:r>
        <w:rPr>
          <w:rFonts w:hint="eastAsia" w:ascii="仿宋" w:hAnsi="仿宋" w:eastAsia="仿宋" w:cs="仿宋"/>
          <w:sz w:val="32"/>
          <w:szCs w:val="32"/>
        </w:rPr>
        <w:t>的，分阶段给予总额1000万元补助，在北京证券交易所上市的，分阶段给予总额800万元补助。</w:t>
      </w:r>
      <w:r>
        <w:rPr>
          <w:rFonts w:hint="eastAsia" w:ascii="仿宋" w:hAnsi="仿宋" w:eastAsia="仿宋" w:cs="仿宋"/>
          <w:color w:val="000000"/>
          <w:sz w:val="32"/>
          <w:szCs w:val="32"/>
        </w:rPr>
        <w:t>北京证券交易所上市公司、新三板挂牌企业转板至沪深证券交易所上市的，补齐至1000万元。</w:t>
      </w:r>
      <w:r>
        <w:rPr>
          <w:rFonts w:hint="eastAsia" w:ascii="仿宋" w:hAnsi="仿宋" w:eastAsia="仿宋" w:cs="仿宋"/>
          <w:sz w:val="32"/>
          <w:szCs w:val="32"/>
        </w:rPr>
        <w:t>对在境外主要证券交易场所首发上市的企业，在享受上级政策的基础上，区财政按照融资净额的2‰给予补助，最高不超过1000万元。</w:t>
      </w:r>
    </w:p>
    <w:p>
      <w:pPr>
        <w:spacing w:line="600" w:lineRule="exact"/>
        <w:ind w:firstLine="549"/>
        <w:rPr>
          <w:rFonts w:ascii="仿宋" w:hAnsi="仿宋" w:eastAsia="仿宋" w:cs="仿宋"/>
          <w:color w:val="000000"/>
          <w:sz w:val="32"/>
          <w:szCs w:val="32"/>
        </w:rPr>
      </w:pPr>
      <w:r>
        <w:rPr>
          <w:rFonts w:hint="eastAsia" w:ascii="黑体" w:hAnsi="黑体" w:eastAsia="黑体" w:cs="黑体"/>
          <w:color w:val="000000"/>
          <w:sz w:val="32"/>
          <w:szCs w:val="32"/>
        </w:rPr>
        <w:t>第七条</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上市公司注册地迁入补助。企业通过并购重组方式实现上市，将上市公司注册地变更至我区且在我区纳税50%以上的，在享受上级政策的同时，区财政给予沪深交易所上市公司一次性支持1000万元，给予北京证券交易所上市公司一次性支持800万元。</w:t>
      </w:r>
      <w:r>
        <w:rPr>
          <w:rFonts w:hint="eastAsia" w:ascii="仿宋" w:hAnsi="仿宋" w:eastAsia="仿宋" w:cs="仿宋"/>
          <w:sz w:val="32"/>
          <w:szCs w:val="32"/>
        </w:rPr>
        <w:t>外地上市公司将注册地和主营业务迁入我区且在我区纳税80%以上，享受“一事一议”专项政策。</w:t>
      </w:r>
      <w:r>
        <w:rPr>
          <w:rFonts w:hint="eastAsia" w:ascii="仿宋" w:hAnsi="仿宋" w:eastAsia="仿宋" w:cs="仿宋"/>
          <w:color w:val="000000"/>
          <w:sz w:val="32"/>
          <w:szCs w:val="32"/>
        </w:rPr>
        <w:t>新三板创新层挂牌企业将注册地和主营业务迁入我区且在我区纳税50%以上的，区财政一次性补助100万元。对于促进我区企业通过并购借壳方式上市的第三方专业机构，区财政给予一次性补助 50万元。</w:t>
      </w:r>
    </w:p>
    <w:p>
      <w:pPr>
        <w:spacing w:line="600" w:lineRule="exact"/>
        <w:ind w:firstLine="640" w:firstLineChars="200"/>
        <w:rPr>
          <w:rFonts w:ascii="仿宋" w:hAnsi="仿宋" w:eastAsia="仿宋" w:cs="仿宋"/>
          <w:color w:val="FF0000"/>
          <w:sz w:val="32"/>
          <w:szCs w:val="32"/>
          <w:highlight w:val="yellow"/>
        </w:rPr>
      </w:pPr>
      <w:r>
        <w:rPr>
          <w:rFonts w:hint="eastAsia" w:ascii="黑体" w:hAnsi="黑体" w:eastAsia="黑体" w:cs="黑体"/>
          <w:color w:val="000000"/>
          <w:sz w:val="32"/>
          <w:szCs w:val="32"/>
        </w:rPr>
        <w:t>第八条</w:t>
      </w:r>
      <w:r>
        <w:rPr>
          <w:rFonts w:hint="eastAsia" w:ascii="仿宋" w:hAnsi="仿宋" w:eastAsia="仿宋" w:cs="仿宋"/>
          <w:color w:val="000000"/>
          <w:sz w:val="32"/>
          <w:szCs w:val="32"/>
        </w:rPr>
        <w:t xml:space="preserve">  拆分子公司上市补助。我区上市公司拆分子公司成功上市且子公司注册地及主营业务地仍在我区的，区财政对新上市公司依据第五条分阶段上市补助的基础上，对母公司给予150万元一次性补助，并以此为基准，每成功拆分一家，按照多补助50万元递增。</w:t>
      </w:r>
    </w:p>
    <w:p>
      <w:pPr>
        <w:spacing w:line="600" w:lineRule="exact"/>
        <w:ind w:firstLine="662" w:firstLineChars="207"/>
        <w:rPr>
          <w:rFonts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rPr>
        <w:t xml:space="preserve">  限售股解禁转让补助。上市公司个人限售股和法人限售股在我区解禁交易纳税的，个人按其实现地方贡献的90%给予补助，法人按其实现地方贡献的80%给予补助。</w:t>
      </w:r>
    </w:p>
    <w:p>
      <w:pPr>
        <w:pStyle w:val="28"/>
        <w:tabs>
          <w:tab w:val="left" w:pos="1369"/>
        </w:tabs>
        <w:spacing w:line="600" w:lineRule="exact"/>
        <w:ind w:firstLine="640" w:firstLineChars="200"/>
        <w:rPr>
          <w:rFonts w:ascii="仿宋" w:hAnsi="仿宋" w:eastAsia="仿宋" w:cs="仿宋"/>
          <w:color w:val="FF0000"/>
          <w:sz w:val="32"/>
          <w:szCs w:val="32"/>
          <w:lang w:val="en-US" w:eastAsia="zh-CN" w:bidi="ar-SA"/>
        </w:rPr>
      </w:pPr>
      <w:r>
        <w:rPr>
          <w:rFonts w:hint="eastAsia" w:ascii="黑体" w:hAnsi="黑体" w:eastAsia="黑体" w:cs="黑体"/>
          <w:color w:val="000000"/>
          <w:sz w:val="32"/>
          <w:szCs w:val="32"/>
          <w:lang w:val="en-US" w:eastAsia="zh-CN" w:bidi="ar-SA"/>
        </w:rPr>
        <w:t>第十条</w:t>
      </w:r>
      <w:r>
        <w:rPr>
          <w:rFonts w:hint="eastAsia" w:ascii="仿宋" w:hAnsi="仿宋" w:eastAsia="仿宋" w:cs="仿宋"/>
          <w:color w:val="000000"/>
          <w:sz w:val="32"/>
          <w:szCs w:val="32"/>
          <w:lang w:val="en-US" w:eastAsia="zh-CN" w:bidi="ar-SA"/>
        </w:rPr>
        <w:tab/>
      </w:r>
      <w:r>
        <w:rPr>
          <w:rFonts w:hint="eastAsia" w:ascii="仿宋" w:hAnsi="仿宋" w:eastAsia="仿宋" w:cs="仿宋"/>
          <w:color w:val="000000"/>
          <w:sz w:val="32"/>
          <w:szCs w:val="32"/>
          <w:lang w:val="en-US" w:eastAsia="zh-CN" w:bidi="ar-SA"/>
        </w:rPr>
        <w:t xml:space="preserve"> 挂牌补助。区内企业在新三板挂牌的，享受上级政策的同时，区财政按照签订挂牌协议、挂牌成功两个阶段，以1：1的比例分阶段给予总额100万元的补助。对于在齐鲁股权交易中心挂牌且达到融资额度要求的企业，在享受上级补助的基础上，区财政给予每家企业20万元补助。</w:t>
      </w:r>
    </w:p>
    <w:p>
      <w:pPr>
        <w:pStyle w:val="9"/>
        <w:spacing w:before="0" w:after="0" w:line="600" w:lineRule="exact"/>
        <w:ind w:firstLine="640" w:firstLineChars="200"/>
        <w:jc w:val="both"/>
        <w:rPr>
          <w:rFonts w:ascii="仿宋" w:hAnsi="仿宋" w:eastAsia="仿宋" w:cs="仿宋"/>
          <w:b w:val="0"/>
          <w:bCs w:val="0"/>
          <w:color w:val="000000"/>
          <w:sz w:val="32"/>
        </w:rPr>
      </w:pPr>
      <w:r>
        <w:rPr>
          <w:rFonts w:hint="eastAsia" w:ascii="仿宋" w:hAnsi="仿宋" w:eastAsia="仿宋" w:cs="仿宋"/>
          <w:b w:val="0"/>
          <w:bCs w:val="0"/>
          <w:color w:val="000000"/>
          <w:sz w:val="32"/>
        </w:rPr>
        <w:t>享受第五条分阶段上市补助及第九条新三板挂牌补助的企业，在拟上市挂牌企业因特殊原因急需资金时，经过企业申请、区资本市场工作专项领导小组集体研究决策同意（有适当保证）的情况下，可以按照“一事一议”原则预先拨付使用。若企业在上市过程中无故放弃上市进程的，应将预先拨付使用的资金退回。</w:t>
      </w:r>
    </w:p>
    <w:p>
      <w:pPr>
        <w:pStyle w:val="9"/>
        <w:spacing w:before="0" w:after="0" w:line="600" w:lineRule="exact"/>
        <w:ind w:firstLine="640" w:firstLineChars="200"/>
        <w:jc w:val="both"/>
        <w:rPr>
          <w:rFonts w:ascii="仿宋" w:hAnsi="仿宋" w:eastAsia="仿宋" w:cs="仿宋"/>
          <w:sz w:val="32"/>
        </w:rPr>
      </w:pPr>
      <w:r>
        <w:rPr>
          <w:rFonts w:hint="eastAsia" w:ascii="仿宋" w:hAnsi="仿宋" w:eastAsia="仿宋" w:cs="仿宋"/>
          <w:b w:val="0"/>
          <w:bCs w:val="0"/>
          <w:color w:val="000000"/>
          <w:sz w:val="32"/>
        </w:rPr>
        <w:t>上述上市挂牌分阶段补助资金，在上市挂牌成功后，可将补助资金的50%用于补助企业董事、监事、高级管理人员等，激发企业上市挂牌积极性。</w:t>
      </w:r>
    </w:p>
    <w:p>
      <w:pPr>
        <w:pStyle w:val="28"/>
        <w:tabs>
          <w:tab w:val="left" w:pos="1369"/>
        </w:tabs>
        <w:spacing w:line="600" w:lineRule="exact"/>
        <w:ind w:firstLine="640" w:firstLineChars="200"/>
        <w:rPr>
          <w:rFonts w:ascii="仿宋" w:hAnsi="仿宋" w:eastAsia="仿宋" w:cs="仿宋"/>
          <w:color w:val="000000"/>
          <w:sz w:val="32"/>
          <w:szCs w:val="32"/>
          <w:lang w:val="en-US" w:eastAsia="zh-CN" w:bidi="ar-SA"/>
        </w:rPr>
      </w:pPr>
      <w:r>
        <w:rPr>
          <w:rFonts w:hint="eastAsia" w:ascii="黑体" w:hAnsi="黑体" w:eastAsia="黑体" w:cs="黑体"/>
          <w:color w:val="000000"/>
          <w:sz w:val="32"/>
          <w:szCs w:val="32"/>
          <w:lang w:val="en-US" w:eastAsia="zh-CN" w:bidi="ar-SA"/>
        </w:rPr>
        <w:t>第十一条</w:t>
      </w:r>
      <w:r>
        <w:rPr>
          <w:rFonts w:hint="eastAsia" w:ascii="仿宋" w:hAnsi="仿宋" w:eastAsia="仿宋" w:cs="仿宋"/>
          <w:color w:val="000000"/>
          <w:sz w:val="32"/>
          <w:szCs w:val="32"/>
          <w:lang w:val="en-US" w:eastAsia="zh-CN" w:bidi="ar-SA"/>
        </w:rPr>
        <w:t xml:space="preserve">  再融资补助。上市公司、新三板挂牌公司实现再融资且融资额70%以上用于区内的，按实际投资区内融资额3‰的标准给予补助，每家企业同一年度内补助额最高不超过300万元。</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zh-TW" w:eastAsia="zh-TW" w:bidi="zh-TW"/>
        </w:rPr>
        <w:t>企业上市募投项目以及再融资项目，应首先在临淄区范围内立项建设，加快企业转型升级步伐，切实提高企业核心竞争能力。确因市场、土地、资源、收购兼并等原因在本区范围外投资，则应履行相关报备手续，按总部经济的结构模式设置企业组织经营体系，壮大本部经济实力。否则，将收回企业所享受本细则的财政补贴。</w:t>
      </w:r>
    </w:p>
    <w:p>
      <w:pPr>
        <w:pStyle w:val="28"/>
        <w:tabs>
          <w:tab w:val="left" w:pos="1387"/>
        </w:tabs>
        <w:spacing w:line="600" w:lineRule="exact"/>
        <w:ind w:firstLine="640" w:firstLineChars="200"/>
        <w:rPr>
          <w:rFonts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bidi="ar-SA"/>
        </w:rPr>
        <w:t>第十二条</w:t>
      </w:r>
      <w:r>
        <w:rPr>
          <w:rFonts w:hint="eastAsia" w:ascii="仿宋" w:hAnsi="仿宋" w:eastAsia="仿宋" w:cs="仿宋"/>
          <w:color w:val="000000"/>
          <w:sz w:val="32"/>
          <w:szCs w:val="32"/>
          <w:lang w:val="en-US" w:eastAsia="zh-CN" w:bidi="ar-SA"/>
        </w:rPr>
        <w:t xml:space="preserve"> </w:t>
      </w:r>
      <w:r>
        <w:rPr>
          <w:rFonts w:hint="eastAsia" w:ascii="仿宋" w:hAnsi="仿宋" w:eastAsia="仿宋" w:cs="仿宋"/>
          <w:color w:val="FF0000"/>
          <w:sz w:val="32"/>
          <w:szCs w:val="32"/>
          <w:lang w:val="en-US" w:eastAsia="zh-CN" w:bidi="ar-SA"/>
        </w:rPr>
        <w:t xml:space="preserve"> </w:t>
      </w:r>
      <w:r>
        <w:rPr>
          <w:rFonts w:hint="eastAsia" w:ascii="仿宋" w:hAnsi="仿宋" w:eastAsia="仿宋" w:cs="仿宋"/>
          <w:color w:val="000000"/>
          <w:sz w:val="32"/>
          <w:szCs w:val="32"/>
        </w:rPr>
        <w:t>建立企业上市直通车机制。</w:t>
      </w:r>
      <w:r>
        <w:rPr>
          <w:rFonts w:hint="eastAsia" w:ascii="仿宋" w:hAnsi="仿宋" w:eastAsia="仿宋" w:cs="仿宋"/>
          <w:sz w:val="32"/>
          <w:szCs w:val="32"/>
        </w:rPr>
        <w:t>对省、市公</w:t>
      </w:r>
      <w:r>
        <w:rPr>
          <w:rFonts w:hint="eastAsia" w:ascii="仿宋" w:hAnsi="仿宋" w:eastAsia="仿宋" w:cs="仿宋"/>
          <w:color w:val="000000"/>
          <w:sz w:val="32"/>
          <w:szCs w:val="32"/>
        </w:rPr>
        <w:t>布的拟上市企业遇到的项目备案、环评、土地、房产、税收、劳动保障、能耗、消防验收等问题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通过“一函通办”由区、镇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街道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两级政府联动协调解决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在符合相关法律法规的情况下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相关部门应在收到企业申请后10个工作日内办结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暂时不符合条件的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要帮助企业找到解决路径和办法。</w:t>
      </w:r>
      <w:r>
        <w:rPr>
          <w:rFonts w:hint="eastAsia" w:ascii="仿宋" w:hAnsi="仿宋" w:eastAsia="仿宋" w:cs="仿宋"/>
          <w:color w:val="000000"/>
          <w:sz w:val="32"/>
          <w:szCs w:val="32"/>
          <w:lang w:val="en-US" w:eastAsia="zh-CN"/>
        </w:rPr>
        <w:t>各部门在项目用地、贷款融资、税收优惠、环境容量、人才引进等方面对拟上市企业予以优先保障。</w:t>
      </w:r>
    </w:p>
    <w:p>
      <w:pPr>
        <w:pStyle w:val="28"/>
        <w:tabs>
          <w:tab w:val="left" w:pos="1387"/>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各级行政执法部门对上市后备企业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特别是已报证监局辅导、证监会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证券交易所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审核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报证监会申请注册企业进行检查时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应在遵循法律法规前提下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实施包容审慎监管，对企业生产经营中的不规范行为，</w:t>
      </w:r>
      <w:r>
        <w:rPr>
          <w:rFonts w:hint="eastAsia" w:ascii="仿宋" w:hAnsi="仿宋" w:eastAsia="仿宋" w:cs="仿宋"/>
          <w:color w:val="000000"/>
          <w:sz w:val="32"/>
          <w:szCs w:val="32"/>
        </w:rPr>
        <w:t>原则上以帮助整改规范为主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如拟作出责令停产停业、较大金额罚款等行政处罚决定的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应及时通报区资本市场工作专项领导小组办公室。</w:t>
      </w:r>
    </w:p>
    <w:p>
      <w:pPr>
        <w:spacing w:line="600" w:lineRule="exact"/>
        <w:ind w:firstLine="1600" w:firstLineChars="5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补助资金申报要件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企业根据补助资金申请条件，以法人为单位进行资金申报，申报材料一并提供电子版和纸质版（加盖公章），具体材料以每年的申报通知要求为准。</w:t>
      </w:r>
    </w:p>
    <w:p>
      <w:pPr>
        <w:spacing w:line="600" w:lineRule="exact"/>
        <w:ind w:firstLine="640" w:firstLineChars="200"/>
        <w:rPr>
          <w:rFonts w:ascii="仿宋" w:hAnsi="仿宋" w:eastAsia="仿宋" w:cs="仿宋"/>
          <w:color w:val="000000"/>
          <w:sz w:val="32"/>
          <w:szCs w:val="32"/>
          <w:highlight w:val="cyan"/>
        </w:rPr>
      </w:pPr>
      <w:r>
        <w:rPr>
          <w:rFonts w:hint="eastAsia" w:ascii="黑体" w:hAnsi="黑体" w:eastAsia="黑体" w:cs="黑体"/>
          <w:color w:val="000000"/>
          <w:sz w:val="32"/>
          <w:szCs w:val="32"/>
        </w:rPr>
        <w:t xml:space="preserve">第十三条 </w:t>
      </w:r>
      <w:r>
        <w:rPr>
          <w:rFonts w:hint="eastAsia" w:ascii="仿宋" w:hAnsi="仿宋" w:eastAsia="仿宋" w:cs="仿宋"/>
          <w:color w:val="000000"/>
          <w:sz w:val="32"/>
          <w:szCs w:val="32"/>
        </w:rPr>
        <w:t xml:space="preserve"> 分阶段上市补助；境内、外主要证券交易场所上市补助。我区企业实现境内、外上市补助事项，依据《淄博市人民政府关于印发淄博市进一步促进金融业集聚发展若干措施的通知》（淄政字〔2022〕31号）及本实施细则规定的补助标准，实行“免申即享”政策。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1.《免申即享资金申报表》（不需企业提供）；</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2.营业执照复印件（可通过企业信用信息公示系统查询）；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3.证监会等同意（核准）批复（可通过官方网站查询）；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4.企业真实性承诺书（需企业提供）；</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5.其他需要提供的证明材料。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xml:space="preserve">  新三板挂牌补助。需提供如下证明文件：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1.《免申即享资金申报表》（不需企业提供）；</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2.营业执照复印件（可通过企业信用信息公示系统查询）；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3.由全国股转公司出具的同意挂牌批复（可通过官方网站查询）；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4.企业真实性承诺书（需企业提供）；</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5.其他需要提供的证明材料。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第十五条</w:t>
      </w:r>
      <w:r>
        <w:rPr>
          <w:rFonts w:hint="eastAsia" w:ascii="仿宋" w:hAnsi="仿宋" w:eastAsia="仿宋" w:cs="仿宋"/>
          <w:color w:val="000000"/>
          <w:sz w:val="32"/>
          <w:szCs w:val="32"/>
        </w:rPr>
        <w:t xml:space="preserve">  后备企业培育补助。已认定为省市上市后备企业的，由区财政局根据区资本市场工作专项领导小组办公室对上市后备企业的确认文件拨付上市培育补助，原则上不需提供其他申报材料，具体以补助资金申报通知要求为准。</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rPr>
        <w:t xml:space="preserve">  上市前规范运作补助。需提供如下证明文件：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3.企业签署的规范运作协议；</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4.由区财政部门开具的，企业进行财务调整规范、股权架构规范而形成的地方贡献证明；</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5.企业真实性承诺书；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6.其他需提供的材料。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第十七条</w:t>
      </w:r>
      <w:r>
        <w:rPr>
          <w:rFonts w:hint="eastAsia" w:ascii="仿宋" w:hAnsi="仿宋" w:eastAsia="仿宋" w:cs="仿宋"/>
          <w:color w:val="000000"/>
          <w:sz w:val="32"/>
          <w:szCs w:val="32"/>
        </w:rPr>
        <w:t xml:space="preserve">  股份制改制补助。需提供如下证明文件：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2.企业与中介机构签署的股份制改制协议及企业支付相关中介机构的费用凭证；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3.股份制改制完成后的营业执照，并加盖企业公章确认；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4.企业真实性承诺书；</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5.其他需提供的材料。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第十八条</w:t>
      </w:r>
      <w:r>
        <w:rPr>
          <w:rFonts w:hint="eastAsia" w:ascii="仿宋" w:hAnsi="仿宋" w:eastAsia="仿宋" w:cs="仿宋"/>
          <w:color w:val="000000"/>
          <w:sz w:val="32"/>
          <w:szCs w:val="32"/>
        </w:rPr>
        <w:t xml:space="preserve">  上市挂牌公司注册地迁入补助。需提供如下证明文件：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3.企业在沪、深、北证券交易所上市或创新层挂牌的相关证明材料；</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4.由税务部门出具的在我区纳税比例的测算证明；</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5.企业与第三方机构签订的重组上市服务协议等；</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6.第三方机构资质证明；</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7.营收、纳税等符合迁入补助政策的证明文件；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8.企业真实性承诺书；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9.其他需提供的材料。</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第5、6项适用于重组上市企业，第7项适用于迁入的创新层挂牌公司。促进我区企业借壳上市的第三方专业机构补助名单，根据重组上市企业提报的服务协议确认。</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第十九条</w:t>
      </w:r>
      <w:r>
        <w:rPr>
          <w:rFonts w:hint="eastAsia" w:ascii="仿宋" w:hAnsi="仿宋" w:eastAsia="仿宋" w:cs="仿宋"/>
          <w:color w:val="000000"/>
          <w:sz w:val="32"/>
          <w:szCs w:val="32"/>
        </w:rPr>
        <w:t xml:space="preserve">  分拆子公司上市补助。需提供如下证明文件：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3.子公司在境内外交易场所上市发行的相关证明材料；</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4.母公司对企业控制权证明材料；</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5.企业真实性承诺书；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6.其他需提供的材料。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第二十条</w:t>
      </w:r>
      <w:r>
        <w:rPr>
          <w:rFonts w:hint="eastAsia" w:ascii="仿宋" w:hAnsi="仿宋" w:eastAsia="仿宋" w:cs="仿宋"/>
          <w:color w:val="000000"/>
          <w:sz w:val="32"/>
          <w:szCs w:val="32"/>
        </w:rPr>
        <w:t xml:space="preserve">  限售股解禁补助。需提供如下证明文件：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2.法人需提供营业执照复印件，并加盖企业公章确认；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3.法人或个人在区内解禁限售股所得税完税证明；</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4.由区财政部门开具的解禁限售股形成的地方贡献证明；</w:t>
      </w:r>
    </w:p>
    <w:p>
      <w:pPr>
        <w:spacing w:line="600" w:lineRule="exact"/>
        <w:ind w:firstLine="674"/>
        <w:rPr>
          <w:rFonts w:ascii="仿宋" w:hAnsi="仿宋" w:eastAsia="仿宋" w:cs="仿宋"/>
          <w:color w:val="000000"/>
          <w:sz w:val="32"/>
          <w:szCs w:val="32"/>
        </w:rPr>
      </w:pPr>
      <w:r>
        <w:rPr>
          <w:rFonts w:hint="eastAsia" w:ascii="仿宋" w:hAnsi="仿宋" w:eastAsia="仿宋" w:cs="仿宋"/>
          <w:color w:val="000000"/>
          <w:sz w:val="32"/>
          <w:szCs w:val="32"/>
        </w:rPr>
        <w:t>5.企业真实性承诺书；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6.其他需提供的材料。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仿宋" w:hAnsi="仿宋" w:eastAsia="仿宋" w:cs="仿宋"/>
          <w:color w:val="000000"/>
          <w:sz w:val="32"/>
          <w:szCs w:val="32"/>
        </w:rPr>
        <w:t xml:space="preserve">  上市公司、新三板挂牌公司再融资补助。需提供如下证明文件：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3.企业及融资承销机构等中介机构出具的实际募集资金规模证明文件；存管银行出具的募集资金到位证明文件；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4.我区落地的募投项目经公司履行决策程序的相关证明材料，用于补充流动资金且无法证明在我区内使用的，需从再融资金额中扣除；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5.企业真实性承诺书；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6.其他需提供的材料。</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第二十二条 </w:t>
      </w:r>
      <w:r>
        <w:rPr>
          <w:rFonts w:hint="eastAsia" w:ascii="仿宋" w:hAnsi="仿宋" w:eastAsia="仿宋" w:cs="仿宋"/>
          <w:color w:val="000000"/>
          <w:sz w:val="32"/>
          <w:szCs w:val="32"/>
        </w:rPr>
        <w:t xml:space="preserve"> 齐鲁股权交易中心挂牌融资补助。需提供如下证明文件：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1.《补助资金申请表》；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2.营业执照复印件，并加盖企业公章确认；</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3.由齐鲁股权交易中心出具的同意挂牌证明材料；</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4.齐鲁股权交易中心出具的实际募集资金规模证明文件以及银行进账单；</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5.企业真实性承诺书；</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6.其他需提供的材料。</w:t>
      </w:r>
    </w:p>
    <w:p>
      <w:pPr>
        <w:spacing w:line="600" w:lineRule="exact"/>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补助资金审核拨付流程</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第二十三条</w:t>
      </w:r>
      <w:r>
        <w:rPr>
          <w:rStyle w:val="23"/>
          <w:rFonts w:hint="eastAsia" w:ascii="仿宋" w:hAnsi="仿宋" w:eastAsia="仿宋" w:cs="仿宋"/>
          <w:b/>
        </w:rPr>
        <w:t xml:space="preserve">  </w:t>
      </w:r>
      <w:r>
        <w:rPr>
          <w:rFonts w:hint="eastAsia" w:ascii="仿宋" w:hAnsi="仿宋" w:eastAsia="仿宋" w:cs="仿宋"/>
          <w:color w:val="000000"/>
          <w:sz w:val="32"/>
          <w:szCs w:val="32"/>
        </w:rPr>
        <w:t>审核。企业根据每年申报通知要求进行申报，区发改局（区金融发展促进中心）联合区财政局进行审核。</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第二十四条</w:t>
      </w:r>
      <w:r>
        <w:rPr>
          <w:rFonts w:hint="eastAsia" w:ascii="仿宋" w:hAnsi="仿宋" w:eastAsia="仿宋" w:cs="仿宋"/>
          <w:color w:val="000000"/>
          <w:sz w:val="32"/>
          <w:szCs w:val="32"/>
        </w:rPr>
        <w:t xml:space="preserve"> </w:t>
      </w:r>
      <w:r>
        <w:rPr>
          <w:rStyle w:val="29"/>
          <w:rFonts w:hint="eastAsia" w:ascii="仿宋" w:hAnsi="仿宋" w:eastAsia="仿宋" w:cs="仿宋"/>
        </w:rPr>
        <w:t xml:space="preserve"> </w:t>
      </w:r>
      <w:r>
        <w:rPr>
          <w:rFonts w:hint="eastAsia" w:ascii="仿宋" w:hAnsi="仿宋" w:eastAsia="仿宋" w:cs="仿宋"/>
          <w:color w:val="000000"/>
          <w:sz w:val="32"/>
          <w:szCs w:val="32"/>
        </w:rPr>
        <w:t>补助资金拨付。根据区发改局（区金融发展促进中心）、区财政局审批意见，按照预算安排拨付资金。分阶段上市挂牌补助原则上自申报之日起2个月内予以兑现，其他补助事项按年度组织申报实施。特殊事项按照“一事一议”原则研究确定支持政策。</w:t>
      </w:r>
    </w:p>
    <w:p>
      <w:pPr>
        <w:widowControl/>
        <w:spacing w:line="600" w:lineRule="exact"/>
        <w:ind w:firstLine="640" w:firstLineChars="200"/>
        <w:jc w:val="left"/>
        <w:rPr>
          <w:rFonts w:ascii="仿宋" w:hAnsi="仿宋" w:eastAsia="仿宋" w:cs="仿宋"/>
          <w:color w:val="000000"/>
          <w:sz w:val="32"/>
          <w:szCs w:val="32"/>
        </w:rPr>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rPr>
        <w:t xml:space="preserve">  补助资金兑付时，需扣除前期已兑付资金的，由企业测算申请，区发改局（区金融发展促进中心）及区财政局核算确认。</w:t>
      </w:r>
    </w:p>
    <w:p>
      <w:pPr>
        <w:overflowPunct w:val="0"/>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第二十六条</w:t>
      </w:r>
      <w:r>
        <w:rPr>
          <w:rFonts w:hint="eastAsia" w:ascii="仿宋" w:hAnsi="仿宋" w:eastAsia="仿宋" w:cs="仿宋"/>
          <w:color w:val="000000"/>
          <w:sz w:val="32"/>
          <w:szCs w:val="32"/>
        </w:rPr>
        <w:t xml:space="preserve"> </w:t>
      </w:r>
      <w:r>
        <w:rPr>
          <w:rStyle w:val="29"/>
          <w:rFonts w:hint="eastAsia" w:ascii="仿宋" w:hAnsi="仿宋" w:eastAsia="仿宋" w:cs="仿宋"/>
        </w:rPr>
        <w:t xml:space="preserve"> </w:t>
      </w:r>
      <w:r>
        <w:rPr>
          <w:rFonts w:hint="eastAsia" w:ascii="仿宋" w:hAnsi="仿宋" w:eastAsia="仿宋" w:cs="仿宋"/>
          <w:color w:val="000000"/>
          <w:sz w:val="32"/>
          <w:szCs w:val="32"/>
        </w:rPr>
        <w:t>申报上述上市、挂牌、再融资等相关补助的企业，企业实控人、董监高及员工持股平台等原始股权必须托管减持在本地，若其在异地减持，则该企业将不再享受临淄区级财政补助。区资本市场工作专项领导小组办公室牵头动态跟踪辖内上市公司的原始股权托管减持情况，强化服务协调，确保在本地减持。</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第二十七条</w:t>
      </w:r>
      <w:r>
        <w:rPr>
          <w:rFonts w:hint="eastAsia" w:ascii="仿宋" w:hAnsi="仿宋" w:eastAsia="仿宋" w:cs="仿宋"/>
          <w:color w:val="000000"/>
          <w:sz w:val="32"/>
          <w:szCs w:val="32"/>
        </w:rPr>
        <w:t xml:space="preserve">  享受扶持政策的企业应承诺持续在我区经营，如确需迁离本区的，上市挂牌补助高出企业地方贡献部分应予以退还。企业因违规违法造成不良后果的，取消其享受本政策的资格。对企业弄虚作假骗取补助资金的行为，由区发改局（区金融发展促进中心）、区财政局依照相关规定作出撤销项目补助、追缴项目补助资金、取消该企业5年内申请财政补助资金资格、视其情节轻重进行通报等处理措施，涉嫌犯罪的，移交司法机关依法处理。</w:t>
      </w:r>
    </w:p>
    <w:p>
      <w:pPr>
        <w:spacing w:line="600" w:lineRule="exact"/>
        <w:ind w:firstLine="2880" w:firstLineChars="9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600" w:lineRule="exact"/>
        <w:ind w:firstLine="640" w:firstLineChars="200"/>
        <w:rPr>
          <w:rFonts w:ascii="仿宋" w:hAnsi="仿宋" w:eastAsia="仿宋" w:cs="仿宋"/>
          <w:sz w:val="32"/>
          <w:szCs w:val="32"/>
        </w:rPr>
      </w:pPr>
      <w:r>
        <w:rPr>
          <w:rFonts w:hint="eastAsia" w:ascii="黑体" w:hAnsi="黑体" w:eastAsia="黑体" w:cs="黑体"/>
          <w:color w:val="000000"/>
          <w:sz w:val="32"/>
          <w:szCs w:val="32"/>
        </w:rPr>
        <w:t>第二十八条</w:t>
      </w:r>
      <w:r>
        <w:rPr>
          <w:rFonts w:hint="eastAsia" w:ascii="仿宋" w:hAnsi="仿宋" w:eastAsia="仿宋" w:cs="仿宋"/>
          <w:sz w:val="32"/>
          <w:szCs w:val="32"/>
        </w:rPr>
        <w:t xml:space="preserve">  </w:t>
      </w:r>
      <w:r>
        <w:rPr>
          <w:rFonts w:hint="eastAsia" w:ascii="仿宋" w:hAnsi="仿宋" w:eastAsia="仿宋" w:cs="仿宋"/>
          <w:color w:val="000000"/>
          <w:sz w:val="32"/>
          <w:szCs w:val="32"/>
        </w:rPr>
        <w:t>上述政策的兑现落实以不违背中央、省、市、区相关政策规定为原则。享受本文件财政补助资金扶持的企业需符合“绿色门槛”制度要求和其他法律、行政法规及政策规定。</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第二十九条</w:t>
      </w:r>
      <w:r>
        <w:rPr>
          <w:rFonts w:hint="eastAsia" w:ascii="仿宋" w:hAnsi="仿宋" w:eastAsia="仿宋" w:cs="仿宋"/>
          <w:color w:val="000000"/>
          <w:sz w:val="32"/>
          <w:szCs w:val="32"/>
        </w:rPr>
        <w:t xml:space="preserve">  本细则由区发改局（区金融发展促进中心）会同区财政局负责解释。之前有关政策与本文件规定不一致的，以本文件规定为准。遇上级政策变更的，本级政策视情况做出调整或变更。</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第三十条</w:t>
      </w:r>
      <w:r>
        <w:rPr>
          <w:rFonts w:hint="eastAsia" w:ascii="仿宋" w:hAnsi="仿宋" w:eastAsia="仿宋" w:cs="仿宋"/>
          <w:color w:val="000000"/>
          <w:sz w:val="32"/>
          <w:szCs w:val="32"/>
        </w:rPr>
        <w:t xml:space="preserve">  本细则自2022年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日起施行，有效期至</w:t>
      </w:r>
      <w:r>
        <w:rPr>
          <w:rFonts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w:t>
      </w:r>
    </w:p>
    <w:p>
      <w:pPr>
        <w:pStyle w:val="8"/>
        <w:keepNext w:val="0"/>
        <w:keepLines w:val="0"/>
        <w:widowControl/>
        <w:suppressLineNumbers w:val="0"/>
        <w:spacing w:before="0" w:beforeAutospacing="0" w:after="0" w:afterAutospacing="0" w:line="30" w:lineRule="atLeast"/>
        <w:ind w:left="0" w:firstLine="420"/>
        <w:jc w:val="both"/>
        <w:rPr>
          <w:rFonts w:hint="eastAsia" w:ascii="仿宋" w:hAnsi="仿宋" w:eastAsia="仿宋" w:cs="仿宋"/>
          <w:sz w:val="32"/>
          <w:szCs w:val="32"/>
        </w:rPr>
      </w:pPr>
    </w:p>
    <w:p>
      <w:pPr>
        <w:pStyle w:val="8"/>
        <w:keepNext w:val="0"/>
        <w:keepLines w:val="0"/>
        <w:widowControl/>
        <w:suppressLineNumbers w:val="0"/>
        <w:spacing w:before="0" w:beforeAutospacing="0" w:after="0" w:afterAutospacing="0" w:line="30" w:lineRule="atLeast"/>
        <w:ind w:left="0" w:firstLine="420"/>
        <w:jc w:val="both"/>
        <w:rPr>
          <w:rFonts w:hint="eastAsia" w:ascii="仿宋" w:hAnsi="仿宋" w:eastAsia="仿宋" w:cs="仿宋"/>
          <w:sz w:val="32"/>
          <w:szCs w:val="32"/>
        </w:rPr>
      </w:pPr>
      <w:bookmarkStart w:id="0" w:name="_GoBack"/>
      <w:bookmarkEnd w:id="0"/>
    </w:p>
    <w:p>
      <w:pPr>
        <w:pStyle w:val="8"/>
        <w:keepNext w:val="0"/>
        <w:keepLines w:val="0"/>
        <w:widowControl/>
        <w:suppressLineNumbers w:val="0"/>
        <w:spacing w:before="0" w:beforeAutospacing="0" w:after="0" w:afterAutospacing="0"/>
        <w:ind w:left="0" w:right="0" w:firstLine="640"/>
        <w:jc w:val="right"/>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p>
    <w:p>
      <w:pPr>
        <w:pStyle w:val="8"/>
        <w:keepNext w:val="0"/>
        <w:keepLines w:val="0"/>
        <w:widowControl/>
        <w:suppressLineNumbers w:val="0"/>
        <w:spacing w:before="0" w:beforeAutospacing="0" w:after="0" w:afterAutospacing="0"/>
        <w:ind w:right="0"/>
        <w:jc w:val="both"/>
        <w:rPr>
          <w:rFonts w:hint="default" w:ascii="Times New Roman" w:hAnsi="Times New Roman" w:cs="Times New Roman"/>
          <w:sz w:val="21"/>
          <w:szCs w:val="21"/>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临淄区人民政府办公室                 </w:t>
      </w:r>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OUNDHR+FZFSK--GBK1-0">
    <w:altName w:val="Times New Roman"/>
    <w:panose1 w:val="00000000000000000000"/>
    <w:charset w:val="00"/>
    <w:family w:val="roman"/>
    <w:pitch w:val="default"/>
    <w:sig w:usb0="00000000" w:usb1="00000000" w:usb2="00000000" w:usb3="00000000" w:csb0="00040001" w:csb1="00000000"/>
  </w:font>
  <w:font w:name="FOUNDLR+FZHTK--GBK1-0">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050F05C1"/>
    <w:rsid w:val="0C69025D"/>
    <w:rsid w:val="1B3C333B"/>
    <w:rsid w:val="1B5508A0"/>
    <w:rsid w:val="2A950CB9"/>
    <w:rsid w:val="340C1A62"/>
    <w:rsid w:val="399A003C"/>
    <w:rsid w:val="51581F75"/>
    <w:rsid w:val="538C05FC"/>
    <w:rsid w:val="5EF93C07"/>
    <w:rsid w:val="669C425A"/>
    <w:rsid w:val="6DE1266C"/>
    <w:rsid w:val="784F3822"/>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1"/>
    <w:pPr>
      <w:autoSpaceDE w:val="0"/>
      <w:autoSpaceDN w:val="0"/>
      <w:jc w:val="left"/>
    </w:pPr>
    <w:rPr>
      <w:rFonts w:ascii="宋体" w:hAnsi="宋体" w:cs="宋体"/>
      <w:kern w:val="0"/>
      <w:sz w:val="29"/>
      <w:szCs w:val="29"/>
      <w:lang w:eastAsia="en-US"/>
    </w:rPr>
  </w:style>
  <w:style w:type="paragraph" w:styleId="5">
    <w:name w:val="Balloon Text"/>
    <w:basedOn w:val="1"/>
    <w:link w:val="24"/>
    <w:semiHidden/>
    <w:unhideWhenUsed/>
    <w:qFormat/>
    <w:uiPriority w:val="99"/>
    <w:pPr>
      <w:autoSpaceDE w:val="0"/>
      <w:autoSpaceDN w:val="0"/>
      <w:jc w:val="left"/>
    </w:pPr>
    <w:rPr>
      <w:rFonts w:ascii="宋体" w:hAnsi="宋体" w:cs="宋体"/>
      <w:kern w:val="0"/>
      <w:sz w:val="18"/>
      <w:szCs w:val="18"/>
      <w:lang w:eastAsia="en-US"/>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10"/>
    <w:pPr>
      <w:spacing w:before="240" w:after="60"/>
      <w:jc w:val="center"/>
      <w:outlineLvl w:val="0"/>
    </w:pPr>
    <w:rPr>
      <w:rFonts w:ascii="Cambria" w:hAnsi="Cambria"/>
      <w:b/>
      <w:bCs/>
      <w:szCs w:val="32"/>
    </w:rPr>
  </w:style>
  <w:style w:type="character" w:styleId="12">
    <w:name w:val="Strong"/>
    <w:qFormat/>
    <w:uiPriority w:val="0"/>
    <w:rPr>
      <w:b/>
    </w:rPr>
  </w:style>
  <w:style w:type="character" w:styleId="13">
    <w:name w:val="page number"/>
    <w:basedOn w:val="11"/>
    <w:qFormat/>
    <w:uiPriority w:val="0"/>
  </w:style>
  <w:style w:type="character" w:styleId="14">
    <w:name w:val="Hyperlink"/>
    <w:basedOn w:val="11"/>
    <w:semiHidden/>
    <w:unhideWhenUsed/>
    <w:uiPriority w:val="99"/>
    <w:rPr>
      <w:color w:val="0000FF"/>
      <w:u w:val="single"/>
    </w:rPr>
  </w:style>
  <w:style w:type="paragraph" w:customStyle="1" w:styleId="15">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1 字符"/>
    <w:basedOn w:val="11"/>
    <w:link w:val="2"/>
    <w:qFormat/>
    <w:uiPriority w:val="0"/>
    <w:rPr>
      <w:rFonts w:ascii="Times New Roman" w:hAnsi="Times New Roman" w:eastAsia="仿宋_GB2312" w:cs="Times New Roman"/>
      <w:b/>
      <w:bCs/>
      <w:snapToGrid w:val="0"/>
      <w:kern w:val="44"/>
      <w:sz w:val="44"/>
      <w:szCs w:val="44"/>
    </w:rPr>
  </w:style>
  <w:style w:type="table" w:customStyle="1" w:styleId="1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正文文本 字符"/>
    <w:basedOn w:val="11"/>
    <w:link w:val="4"/>
    <w:qFormat/>
    <w:uiPriority w:val="1"/>
    <w:rPr>
      <w:rFonts w:ascii="宋体" w:hAnsi="宋体" w:eastAsia="宋体" w:cs="宋体"/>
      <w:kern w:val="0"/>
      <w:sz w:val="29"/>
      <w:szCs w:val="29"/>
      <w:lang w:eastAsia="en-US"/>
    </w:rPr>
  </w:style>
  <w:style w:type="paragraph" w:styleId="21">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3">
    <w:name w:val="fontstyle01"/>
    <w:basedOn w:val="11"/>
    <w:qFormat/>
    <w:uiPriority w:val="0"/>
    <w:rPr>
      <w:rFonts w:hint="eastAsia" w:ascii="宋体+FPEF" w:eastAsia="宋体+FPEF"/>
      <w:color w:val="000000"/>
      <w:sz w:val="22"/>
      <w:szCs w:val="22"/>
    </w:rPr>
  </w:style>
  <w:style w:type="character" w:customStyle="1" w:styleId="24">
    <w:name w:val="批注框文本 字符"/>
    <w:basedOn w:val="11"/>
    <w:link w:val="5"/>
    <w:semiHidden/>
    <w:qFormat/>
    <w:uiPriority w:val="99"/>
    <w:rPr>
      <w:rFonts w:ascii="宋体" w:hAnsi="宋体" w:eastAsia="宋体" w:cs="宋体"/>
      <w:kern w:val="0"/>
      <w:sz w:val="18"/>
      <w:szCs w:val="18"/>
      <w:lang w:eastAsia="en-US"/>
    </w:rPr>
  </w:style>
  <w:style w:type="paragraph" w:customStyle="1" w:styleId="25">
    <w:name w:val="Heading3"/>
    <w:basedOn w:val="1"/>
    <w:next w:val="1"/>
    <w:qFormat/>
    <w:uiPriority w:val="0"/>
    <w:pPr>
      <w:keepNext/>
      <w:keepLines/>
      <w:spacing w:line="413" w:lineRule="auto"/>
    </w:pPr>
    <w:rPr>
      <w:rFonts w:ascii="Calibri" w:hAnsi="Calibri" w:cs="Calibri"/>
      <w:b/>
      <w:bCs/>
      <w:sz w:val="32"/>
      <w:szCs w:val="32"/>
    </w:rPr>
  </w:style>
  <w:style w:type="paragraph" w:customStyle="1" w:styleId="26">
    <w:name w:val="新A4正文"/>
    <w:basedOn w:val="1"/>
    <w:qFormat/>
    <w:uiPriority w:val="0"/>
    <w:pPr>
      <w:ind w:firstLine="698" w:firstLineChars="133"/>
    </w:pPr>
    <w:rPr>
      <w:spacing w:val="12"/>
      <w:szCs w:val="32"/>
    </w:rPr>
  </w:style>
  <w:style w:type="paragraph" w:customStyle="1" w:styleId="27">
    <w:name w:val="Heading #1|1"/>
    <w:basedOn w:val="1"/>
    <w:qFormat/>
    <w:uiPriority w:val="0"/>
    <w:pPr>
      <w:spacing w:before="1960" w:after="840"/>
      <w:ind w:firstLine="560"/>
      <w:outlineLvl w:val="0"/>
    </w:pPr>
    <w:rPr>
      <w:color w:val="FB5C64"/>
      <w:sz w:val="184"/>
      <w:szCs w:val="184"/>
    </w:rPr>
  </w:style>
  <w:style w:type="paragraph" w:customStyle="1" w:styleId="28">
    <w:name w:val="Body text|1"/>
    <w:basedOn w:val="1"/>
    <w:qFormat/>
    <w:uiPriority w:val="0"/>
    <w:pPr>
      <w:spacing w:line="451" w:lineRule="auto"/>
      <w:ind w:firstLine="400"/>
    </w:pPr>
    <w:rPr>
      <w:rFonts w:ascii="宋体" w:hAnsi="宋体"/>
      <w:sz w:val="26"/>
      <w:szCs w:val="26"/>
      <w:lang w:val="zh-TW" w:eastAsia="zh-TW" w:bidi="zh-TW"/>
    </w:rPr>
  </w:style>
  <w:style w:type="character" w:customStyle="1" w:styleId="29">
    <w:name w:val="fontstyle31"/>
    <w:basedOn w:val="11"/>
    <w:qFormat/>
    <w:uiPriority w:val="0"/>
    <w:rPr>
      <w:rFonts w:hint="default" w:ascii="FOUNDLR+FZHTK--GBK1-0" w:hAnsi="FOUNDLR+FZHTK--GBK1-0"/>
      <w:color w:val="242021"/>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375</Words>
  <Characters>389</Characters>
  <Lines>14</Lines>
  <Paragraphs>4</Paragraphs>
  <TotalTime>3</TotalTime>
  <ScaleCrop>false</ScaleCrop>
  <LinksUpToDate>false</LinksUpToDate>
  <CharactersWithSpaces>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孟雪晴</cp:lastModifiedBy>
  <cp:lastPrinted>2021-11-09T08:37:00Z</cp:lastPrinted>
  <dcterms:modified xsi:type="dcterms:W3CDTF">2022-11-25T06:25:40Z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A7E6A4C86CC14B77AAF2CFDF66821611</vt:lpwstr>
  </property>
</Properties>
</file>