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临淄区人民政府办公室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</w:t>
      </w:r>
      <w:r>
        <w:rPr>
          <w:rFonts w:ascii="方正小标宋简体" w:hAnsi="黑体" w:eastAsia="方正小标宋简体"/>
          <w:sz w:val="44"/>
          <w:szCs w:val="44"/>
        </w:rPr>
        <w:t>22</w:t>
      </w:r>
      <w:r>
        <w:rPr>
          <w:rFonts w:hint="eastAsia" w:ascii="方正小标宋简体" w:hAnsi="黑体" w:eastAsia="方正小标宋简体"/>
          <w:sz w:val="44"/>
          <w:szCs w:val="44"/>
        </w:rPr>
        <w:t>年政府信息公开工作年度报告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本报告按照《国务院办公厅政府信息与政务公开办公室关于印发&lt;中华人民共和国政府信息公开工作年度报告格式&gt;的通知》(国办公开办函〔20</w:t>
      </w: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〕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0号)和《中华人民共和国政府信息公开条例》要求编制，全文包括总体情况、主动公开政府信息情况、收到和处理政府信息公开申请情况、政府信息公开行政复议及行政诉讼情况、政府信息公开工作存在的主要问题及改进情况、其他需要报告的事项。本年度报告中所列数据统计期限从20</w:t>
      </w:r>
      <w:r>
        <w:rPr>
          <w:rFonts w:ascii="仿宋" w:hAnsi="仿宋" w:eastAsia="仿宋"/>
          <w:color w:val="000000"/>
          <w:sz w:val="32"/>
          <w:szCs w:val="32"/>
        </w:rPr>
        <w:t>22</w:t>
      </w:r>
      <w:r>
        <w:rPr>
          <w:rFonts w:hint="eastAsia" w:ascii="仿宋" w:hAnsi="仿宋" w:eastAsia="仿宋"/>
          <w:color w:val="000000"/>
          <w:sz w:val="32"/>
          <w:szCs w:val="32"/>
        </w:rPr>
        <w:t>年1月1日起，至2</w:t>
      </w:r>
      <w:r>
        <w:rPr>
          <w:rFonts w:ascii="仿宋" w:hAnsi="仿宋" w:eastAsia="仿宋"/>
          <w:color w:val="000000"/>
          <w:sz w:val="32"/>
          <w:szCs w:val="32"/>
        </w:rPr>
        <w:t>022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年12月31日止。如对报告内容有疑问，请与临淄区人民政府办公室联系（地址：临淄区广场路1号；邮编：2</w:t>
      </w:r>
      <w:r>
        <w:rPr>
          <w:rFonts w:ascii="仿宋" w:hAnsi="仿宋" w:eastAsia="仿宋"/>
          <w:color w:val="000000"/>
          <w:sz w:val="32"/>
          <w:szCs w:val="32"/>
        </w:rPr>
        <w:t>55400</w:t>
      </w:r>
      <w:r>
        <w:rPr>
          <w:rFonts w:hint="eastAsia" w:ascii="仿宋" w:hAnsi="仿宋" w:eastAsia="仿宋"/>
          <w:color w:val="000000"/>
          <w:sz w:val="32"/>
          <w:szCs w:val="32"/>
        </w:rPr>
        <w:t>；电话：0</w:t>
      </w:r>
      <w:r>
        <w:rPr>
          <w:rFonts w:ascii="仿宋" w:hAnsi="仿宋" w:eastAsia="仿宋"/>
          <w:color w:val="000000"/>
          <w:sz w:val="32"/>
          <w:szCs w:val="32"/>
        </w:rPr>
        <w:t>533-7212036</w:t>
      </w:r>
      <w:r>
        <w:rPr>
          <w:rFonts w:hint="eastAsia" w:ascii="仿宋" w:hAnsi="仿宋" w:eastAsia="仿宋"/>
          <w:color w:val="000000"/>
          <w:sz w:val="32"/>
          <w:szCs w:val="32"/>
        </w:rPr>
        <w:t>；邮箱：</w:t>
      </w:r>
      <w:r>
        <w:rPr>
          <w:rFonts w:ascii="仿宋" w:hAnsi="仿宋" w:eastAsia="仿宋"/>
          <w:color w:val="000000"/>
          <w:sz w:val="32"/>
          <w:szCs w:val="32"/>
        </w:rPr>
        <w:t>lzqzfzwgkb@zb.shandong.cn</w:t>
      </w:r>
      <w:r>
        <w:rPr>
          <w:rFonts w:hint="eastAsia" w:ascii="仿宋" w:hAnsi="仿宋" w:eastAsia="仿宋"/>
          <w:color w:val="000000"/>
          <w:sz w:val="32"/>
          <w:szCs w:val="32"/>
        </w:rPr>
        <w:t>）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一、总体情况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022</w:t>
      </w:r>
      <w:r>
        <w:rPr>
          <w:rFonts w:hint="eastAsia" w:ascii="仿宋" w:hAnsi="仿宋" w:eastAsia="仿宋"/>
          <w:color w:val="000000"/>
          <w:sz w:val="32"/>
          <w:szCs w:val="32"/>
        </w:rPr>
        <w:t>年，区政府办公室按照年度公开方案要求，细化任务分工，各科室及时主动公开各项信息。优化主动公开目录，加强工作督办考核，开展政务公开工作培训，各项工作落实到位，充分保障群众知情权、参与权、监督权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（一）主动公开信息情况。</w:t>
      </w:r>
      <w:r>
        <w:rPr>
          <w:rFonts w:hint="eastAsia" w:ascii="仿宋" w:hAnsi="仿宋" w:eastAsia="仿宋"/>
          <w:color w:val="000000"/>
          <w:sz w:val="32"/>
          <w:szCs w:val="32"/>
        </w:rPr>
        <w:t>制定出台《2022年临淄区政务公开工作方案》《临淄区人民政府办公室关于进一步规范和加强政策解读工作的通知》等文件，进一步明确工作任务。督促各业务科室及时公开政府常务会议、财政预决算等信息，及时调整机构职能领导分工信息，出台政策文件及时发布，加大政策解读力度，丰富政策解读形式。2</w:t>
      </w:r>
      <w:r>
        <w:rPr>
          <w:rFonts w:ascii="仿宋" w:hAnsi="仿宋" w:eastAsia="仿宋"/>
          <w:color w:val="000000"/>
          <w:sz w:val="32"/>
          <w:szCs w:val="32"/>
        </w:rPr>
        <w:t>022</w:t>
      </w:r>
      <w:r>
        <w:rPr>
          <w:rFonts w:hint="eastAsia" w:ascii="仿宋" w:hAnsi="仿宋" w:eastAsia="仿宋"/>
          <w:color w:val="000000"/>
          <w:sz w:val="32"/>
          <w:szCs w:val="32"/>
        </w:rPr>
        <w:t>年，主动公开政策文件</w:t>
      </w:r>
      <w:r>
        <w:rPr>
          <w:rFonts w:ascii="仿宋" w:hAnsi="仿宋" w:eastAsia="仿宋"/>
          <w:color w:val="000000"/>
          <w:sz w:val="32"/>
          <w:szCs w:val="32"/>
        </w:rPr>
        <w:t>40</w:t>
      </w:r>
      <w:r>
        <w:rPr>
          <w:rFonts w:hint="eastAsia" w:ascii="仿宋" w:hAnsi="仿宋" w:eastAsia="仿宋"/>
          <w:color w:val="000000"/>
          <w:sz w:val="32"/>
          <w:szCs w:val="32"/>
        </w:rPr>
        <w:t>件，通过图文、领导干部解读等多形式解读政策</w:t>
      </w:r>
      <w:r>
        <w:rPr>
          <w:rFonts w:ascii="仿宋" w:hAnsi="仿宋" w:eastAsia="仿宋"/>
          <w:color w:val="000000"/>
          <w:sz w:val="32"/>
          <w:szCs w:val="32"/>
        </w:rPr>
        <w:t>64</w:t>
      </w:r>
      <w:r>
        <w:rPr>
          <w:rFonts w:hint="eastAsia" w:ascii="仿宋" w:hAnsi="仿宋" w:eastAsia="仿宋"/>
          <w:color w:val="000000"/>
          <w:sz w:val="32"/>
          <w:szCs w:val="32"/>
        </w:rPr>
        <w:t>次。积极回应社会关切，公开信息</w:t>
      </w:r>
      <w:r>
        <w:rPr>
          <w:rFonts w:ascii="仿宋" w:hAnsi="仿宋" w:eastAsia="仿宋"/>
          <w:color w:val="000000"/>
          <w:sz w:val="32"/>
          <w:szCs w:val="32"/>
        </w:rPr>
        <w:t>41</w:t>
      </w:r>
      <w:r>
        <w:rPr>
          <w:rFonts w:hint="eastAsia" w:ascii="仿宋" w:hAnsi="仿宋" w:eastAsia="仿宋"/>
          <w:color w:val="000000"/>
          <w:sz w:val="32"/>
          <w:szCs w:val="32"/>
        </w:rPr>
        <w:t>条。通过“中国临淄”微信公众平台发布信息</w:t>
      </w:r>
      <w:r>
        <w:rPr>
          <w:rFonts w:ascii="仿宋" w:hAnsi="仿宋" w:eastAsia="仿宋"/>
          <w:color w:val="000000"/>
          <w:sz w:val="32"/>
          <w:szCs w:val="32"/>
        </w:rPr>
        <w:t>82</w:t>
      </w:r>
      <w:r>
        <w:rPr>
          <w:rFonts w:hint="eastAsia" w:ascii="仿宋" w:hAnsi="仿宋" w:eastAsia="仿宋"/>
          <w:color w:val="000000"/>
          <w:sz w:val="32"/>
          <w:szCs w:val="32"/>
        </w:rPr>
        <w:t>条。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（二）依申请公开工作情况。</w:t>
      </w:r>
      <w:r>
        <w:rPr>
          <w:rFonts w:hint="eastAsia" w:ascii="仿宋" w:hAnsi="仿宋" w:eastAsia="仿宋"/>
          <w:color w:val="000000"/>
          <w:sz w:val="32"/>
          <w:szCs w:val="32"/>
        </w:rPr>
        <w:t>针对部门单位工作人员变动，开展依申请公开工作培训，提升答复能力。通过购买法律服务，提升依申请公开工作水平。202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年，受理区政府、区政府办公室依申请公开信息20件，202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年度结转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件。其中当面申请1件、信函申请15件、网上申请4件，按时办结数14件，结转202</w:t>
      </w: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年度继续办理6件。其中同意公开答复数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件，不同意公开答复数4件，不属于本行政机关公开数</w:t>
      </w:r>
      <w:r>
        <w:rPr>
          <w:rFonts w:ascii="仿宋" w:hAnsi="仿宋" w:eastAsia="仿宋"/>
          <w:color w:val="000000"/>
          <w:sz w:val="32"/>
          <w:szCs w:val="32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件，申请信息不存在数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件。与2</w:t>
      </w:r>
      <w:r>
        <w:rPr>
          <w:rFonts w:ascii="仿宋" w:hAnsi="仿宋" w:eastAsia="仿宋"/>
          <w:color w:val="000000"/>
          <w:sz w:val="32"/>
          <w:szCs w:val="32"/>
        </w:rPr>
        <w:t>021</w:t>
      </w:r>
      <w:r>
        <w:rPr>
          <w:rFonts w:hint="eastAsia" w:ascii="仿宋" w:hAnsi="仿宋" w:eastAsia="仿宋"/>
          <w:color w:val="000000"/>
          <w:sz w:val="32"/>
          <w:szCs w:val="32"/>
        </w:rPr>
        <w:t>年受理件数相同，均为2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件。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（三）政府信息管理情况。</w:t>
      </w:r>
      <w:r>
        <w:rPr>
          <w:rFonts w:hint="eastAsia" w:ascii="仿宋" w:hAnsi="仿宋" w:eastAsia="仿宋"/>
          <w:sz w:val="32"/>
          <w:szCs w:val="32"/>
        </w:rPr>
        <w:t>根据年度工作方案要求，调整信息主动公开目录，方便信息查询。主动公开的政策性文件和规范性文件做好动态管理，根据废止情况，及时标注文件时效。做好政府信息公开保密审查和个人信息保护，规范做好信息公开属性的源头认定，在各类文件的起草环节明确信息公开属性。政府信息生成按照“谁履职、谁制作或获取”，审核发布按照“谁制作或获取、谁审核、谁公开、谁负责”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Hlk93399709"/>
      <w:r>
        <w:rPr>
          <w:rFonts w:hint="eastAsia" w:ascii="楷体" w:hAnsi="楷体" w:eastAsia="楷体"/>
          <w:color w:val="000000"/>
          <w:sz w:val="32"/>
          <w:szCs w:val="32"/>
        </w:rPr>
        <w:t>（四）政府信息公开平台建设情况。</w:t>
      </w:r>
      <w:r>
        <w:rPr>
          <w:rFonts w:hint="eastAsia" w:ascii="仿宋" w:hAnsi="仿宋" w:eastAsia="仿宋"/>
          <w:sz w:val="32"/>
          <w:szCs w:val="32"/>
        </w:rPr>
        <w:t>根</w:t>
      </w:r>
      <w:bookmarkEnd w:id="0"/>
      <w:r>
        <w:rPr>
          <w:rFonts w:hint="eastAsia" w:ascii="仿宋" w:hAnsi="仿宋" w:eastAsia="仿宋"/>
          <w:sz w:val="32"/>
          <w:szCs w:val="32"/>
        </w:rPr>
        <w:t>据年度工作方案，调整政府网站栏目设置。做好政策文件、政策解读、政府常务会议等公开专栏信息维护。通过政府公报专栏，定期发布政府公报，年内发布1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期。通过“中国临淄”微信公众平台公开各类信息并做好与政府网站信息发布的关联对应。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（五）政府信息公开监督保障情况。</w:t>
      </w:r>
      <w:r>
        <w:rPr>
          <w:rFonts w:hint="eastAsia" w:ascii="仿宋" w:hAnsi="仿宋" w:eastAsia="仿宋"/>
          <w:sz w:val="32"/>
          <w:szCs w:val="32"/>
        </w:rPr>
        <w:t>建立政务公开考核机制，制定考核办法，通过定期通报，督促进行问题整改。配齐配强工作人员，各科室指定1人负责本科室相关业务公开工作。加强人员业务培训，针对公开新要求，组织各业务人员分批次进行培训，提升工作能力。</w:t>
      </w:r>
    </w:p>
    <w:p>
      <w:pPr>
        <w:ind w:firstLine="64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二、主动公开政府信息情况</w:t>
      </w:r>
    </w:p>
    <w:p>
      <w:pPr>
        <w:spacing w:before="9"/>
        <w:jc w:val="left"/>
        <w:rPr>
          <w:rFonts w:ascii="宋体" w:hAnsi="宋体" w:eastAsia="宋体" w:cs="宋体"/>
          <w:kern w:val="0"/>
          <w:szCs w:val="21"/>
        </w:rPr>
      </w:pPr>
    </w:p>
    <w:tbl>
      <w:tblPr>
        <w:tblStyle w:val="12"/>
        <w:tblW w:w="8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4"/>
        <w:gridCol w:w="1686"/>
        <w:gridCol w:w="1803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tabs>
                <w:tab w:val="left" w:pos="1048"/>
              </w:tabs>
              <w:spacing w:before="142"/>
              <w:ind w:left="-1"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（一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  <w:jc w:val="center"/>
        </w:trPr>
        <w:tc>
          <w:tcPr>
            <w:tcW w:w="3284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1686" w:type="dxa"/>
            <w:tcBorders>
              <w:top w:val="single" w:color="64647C" w:sz="4" w:space="0"/>
              <w:left w:val="single" w:color="7C7C83" w:sz="4" w:space="0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ind w:left="216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本年制发件数</w:t>
            </w:r>
          </w:p>
        </w:tc>
        <w:tc>
          <w:tcPr>
            <w:tcW w:w="1803" w:type="dxa"/>
            <w:tcBorders>
              <w:top w:val="single" w:color="64647C" w:sz="4" w:space="0"/>
              <w:left w:val="single" w:color="777780" w:sz="4" w:space="0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ind w:left="275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本年废止件数</w:t>
            </w:r>
          </w:p>
        </w:tc>
        <w:tc>
          <w:tcPr>
            <w:tcW w:w="1351" w:type="dxa"/>
            <w:tcBorders>
              <w:top w:val="single" w:color="64647C" w:sz="4" w:space="0"/>
              <w:left w:val="single" w:color="606064" w:sz="2" w:space="0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  <w:jc w:val="center"/>
        </w:trPr>
        <w:tc>
          <w:tcPr>
            <w:tcW w:w="3284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规章</w:t>
            </w:r>
          </w:p>
        </w:tc>
        <w:tc>
          <w:tcPr>
            <w:tcW w:w="1686" w:type="dxa"/>
            <w:tcBorders>
              <w:top w:val="single" w:color="707790" w:sz="4" w:space="0"/>
              <w:left w:val="single" w:color="97979C" w:sz="4" w:space="0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803" w:type="dxa"/>
            <w:tcBorders>
              <w:top w:val="single" w:color="835B67" w:sz="4" w:space="0"/>
              <w:left w:val="single" w:color="939397" w:sz="4" w:space="0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color="835B67" w:sz="4" w:space="0"/>
              <w:left w:val="single" w:color="97939C" w:sz="4" w:space="0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行政规范性文件</w:t>
            </w:r>
          </w:p>
        </w:tc>
        <w:tc>
          <w:tcPr>
            <w:tcW w:w="1686" w:type="dxa"/>
            <w:tcBorders>
              <w:top w:val="single" w:color="747487" w:sz="4" w:space="0"/>
              <w:left w:val="single" w:color="97979C" w:sz="4" w:space="0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2</w:t>
            </w:r>
          </w:p>
        </w:tc>
        <w:tc>
          <w:tcPr>
            <w:tcW w:w="1803" w:type="dxa"/>
            <w:tcBorders>
              <w:top w:val="single" w:color="546080" w:sz="2" w:space="0"/>
              <w:left w:val="single" w:color="939397" w:sz="4" w:space="0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lang w:val="en" w:eastAsia="zh-CN"/>
              </w:rPr>
            </w:pPr>
            <w:r>
              <w:rPr>
                <w:rFonts w:hint="default"/>
                <w:sz w:val="21"/>
                <w:lang w:val="en" w:eastAsia="zh-CN"/>
              </w:rPr>
              <w:t>4</w:t>
            </w:r>
          </w:p>
        </w:tc>
        <w:tc>
          <w:tcPr>
            <w:tcW w:w="1351" w:type="dxa"/>
            <w:tcBorders>
              <w:top w:val="single" w:color="74778C" w:sz="4" w:space="0"/>
              <w:left w:val="single" w:color="97939C" w:sz="4" w:space="0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lang w:val="en" w:eastAsia="zh-CN"/>
              </w:rPr>
            </w:pPr>
            <w:r>
              <w:rPr>
                <w:rFonts w:hint="default"/>
                <w:sz w:val="21"/>
                <w:lang w:val="en" w:eastAsia="zh-CN"/>
              </w:rPr>
              <w:t>20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8124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tabs>
                <w:tab w:val="left" w:pos="1049"/>
              </w:tabs>
              <w:spacing w:before="140"/>
              <w:ind w:left="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（五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right="17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46B80" w:sz="4" w:space="0"/>
              <w:left w:val="single" w:color="878787" w:sz="4" w:space="0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42"/>
              <w:ind w:right="16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40"/>
              <w:ind w:left="98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行政许可</w:t>
            </w:r>
          </w:p>
        </w:tc>
        <w:tc>
          <w:tcPr>
            <w:tcW w:w="4840" w:type="dxa"/>
            <w:gridSpan w:val="3"/>
            <w:tcBorders>
              <w:top w:val="single" w:color="7C7474" w:sz="4" w:space="0"/>
              <w:left w:val="single" w:color="878787" w:sz="4" w:space="0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  <w:jc w:val="center"/>
        </w:trPr>
        <w:tc>
          <w:tcPr>
            <w:tcW w:w="8124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tabs>
                <w:tab w:val="left" w:pos="1059"/>
              </w:tabs>
              <w:spacing w:before="142"/>
              <w:ind w:left="1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（六</w:t>
            </w:r>
            <w:r>
              <w:rPr>
                <w:rFonts w:hint="eastAsia"/>
                <w:sz w:val="21"/>
                <w:lang w:eastAsia="en-US"/>
              </w:rPr>
              <w:t>）</w:t>
            </w:r>
            <w:r>
              <w:rPr>
                <w:sz w:val="21"/>
                <w:lang w:eastAsia="en-US"/>
              </w:rPr>
              <w:t xml:space="preserve">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  <w:jc w:val="center"/>
        </w:trPr>
        <w:tc>
          <w:tcPr>
            <w:tcW w:w="3284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42"/>
              <w:ind w:right="8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607087" w:sz="4" w:space="0"/>
              <w:left w:val="single" w:color="909093" w:sz="4" w:space="0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42"/>
              <w:ind w:right="13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84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9"/>
              <w:ind w:left="102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行政处罚</w:t>
            </w:r>
          </w:p>
        </w:tc>
        <w:tc>
          <w:tcPr>
            <w:tcW w:w="4840" w:type="dxa"/>
            <w:gridSpan w:val="3"/>
            <w:tcBorders>
              <w:top w:val="single" w:color="747074" w:sz="4" w:space="0"/>
              <w:left w:val="single" w:color="909093" w:sz="4" w:space="0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3284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行政强制</w:t>
            </w:r>
          </w:p>
        </w:tc>
        <w:tc>
          <w:tcPr>
            <w:tcW w:w="4840" w:type="dxa"/>
            <w:gridSpan w:val="3"/>
            <w:tcBorders>
              <w:top w:val="single" w:color="7C6B74" w:sz="4" w:space="0"/>
              <w:left w:val="single" w:color="909093" w:sz="4" w:space="0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8124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tabs>
                <w:tab w:val="left" w:pos="1068"/>
              </w:tabs>
              <w:spacing w:before="142"/>
              <w:ind w:left="25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第二十条</w:t>
            </w:r>
            <w:r>
              <w:rPr>
                <w:sz w:val="21"/>
                <w:lang w:eastAsia="en-US"/>
              </w:rPr>
              <w:tab/>
            </w:r>
            <w:r>
              <w:rPr>
                <w:sz w:val="21"/>
                <w:lang w:eastAsia="en-US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3284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5"/>
              <w:ind w:right="1"/>
              <w:jc w:val="center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信息内容</w:t>
            </w:r>
          </w:p>
        </w:tc>
        <w:tc>
          <w:tcPr>
            <w:tcW w:w="4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45"/>
              <w:ind w:left="1446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本年收费金额  （单位 ：万元</w:t>
            </w:r>
            <w:r>
              <w:rPr>
                <w:rFonts w:hint="eastAsia"/>
                <w:sz w:val="21"/>
                <w:lang w:eastAsia="en-US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3284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行政事业性收费</w:t>
            </w:r>
          </w:p>
        </w:tc>
        <w:tc>
          <w:tcPr>
            <w:tcW w:w="4840" w:type="dxa"/>
            <w:gridSpan w:val="3"/>
            <w:tcBorders>
              <w:top w:val="single" w:color="77778C" w:sz="4" w:space="0"/>
              <w:left w:val="single" w:color="8C8C93" w:sz="2" w:space="0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4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13" w:type="dxa"/>
            <w:gridSpan w:val="3"/>
            <w:vMerge w:val="continue"/>
          </w:tcPr>
          <w:p/>
        </w:tc>
        <w:tc>
          <w:tcPr>
            <w:tcW w:w="554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665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vAlign w:val="center"/>
          </w:tcPr>
          <w:p>
            <w: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vAlign w:val="center"/>
          </w:tcPr>
          <w:p>
            <w:r>
              <w:t>7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restart"/>
            <w:vAlign w:val="center"/>
          </w:tcPr>
          <w:p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申请人无正当理由逾期不补正、行政机关不再处理其政府信息公开申请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申请人逾期未按收费通知 要求缴纳费用、行政机关不再处理其政府信息公开申请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1525" w:type="dxa"/>
            <w:vMerge w:val="continue"/>
          </w:tcPr>
          <w:p/>
        </w:tc>
        <w:tc>
          <w:tcPr>
            <w:tcW w:w="2634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其他</w:t>
            </w:r>
          </w:p>
        </w:tc>
        <w:tc>
          <w:tcPr>
            <w:tcW w:w="554" w:type="dxa"/>
            <w:vAlign w:val="center"/>
          </w:tcPr>
          <w:p>
            <w:r>
              <w:rPr>
                <w:szCs w:val="21"/>
              </w:rPr>
              <w:t>2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4" w:type="dxa"/>
            <w:vMerge w:val="continue"/>
          </w:tcPr>
          <w:p/>
        </w:tc>
        <w:tc>
          <w:tcPr>
            <w:tcW w:w="4159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vAlign w:val="center"/>
          </w:tcPr>
          <w:p>
            <w:r>
              <w:t>15</w:t>
            </w:r>
          </w:p>
        </w:tc>
        <w:tc>
          <w:tcPr>
            <w:tcW w:w="693" w:type="dxa"/>
            <w:vAlign w:val="center"/>
          </w:tcPr>
          <w:p>
            <w: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54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2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3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95" w:type="dxa"/>
            <w:vAlign w:val="center"/>
          </w:tcPr>
          <w:p>
            <w:r>
              <w:rPr>
                <w:rFonts w:hint="eastAsia"/>
              </w:rPr>
              <w:t>0</w:t>
            </w:r>
          </w:p>
        </w:tc>
        <w:tc>
          <w:tcPr>
            <w:tcW w:w="665" w:type="dxa"/>
            <w:vAlign w:val="center"/>
          </w:tcPr>
          <w:p>
            <w:r>
              <w:rPr>
                <w:rFonts w:hint="eastAsia"/>
              </w:rPr>
              <w:t>6</w:t>
            </w:r>
          </w:p>
        </w:tc>
      </w:tr>
    </w:tbl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05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4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1</w:t>
      </w:r>
      <w:r>
        <w:rPr>
          <w:rFonts w:ascii="楷体" w:hAnsi="楷体" w:eastAsia="楷体"/>
          <w:color w:val="000000"/>
          <w:sz w:val="32"/>
          <w:szCs w:val="32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存在问题。</w:t>
      </w:r>
      <w:r>
        <w:rPr>
          <w:rFonts w:hint="eastAsia" w:ascii="仿宋" w:hAnsi="仿宋" w:eastAsia="仿宋"/>
          <w:color w:val="000000"/>
          <w:sz w:val="32"/>
          <w:szCs w:val="32"/>
        </w:rPr>
        <w:t>一是部分科室重视不够，缺乏做好政务公开工作的自觉性和主动性，导致信息公开不及时、不到位。二是部分栏目信息发布质量不高。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2</w:t>
      </w:r>
      <w:r>
        <w:rPr>
          <w:rFonts w:ascii="楷体" w:hAnsi="楷体" w:eastAsia="楷体"/>
          <w:color w:val="000000"/>
          <w:sz w:val="32"/>
          <w:szCs w:val="32"/>
        </w:rPr>
        <w:t>.</w:t>
      </w:r>
      <w:r>
        <w:rPr>
          <w:rFonts w:hint="eastAsia" w:ascii="楷体" w:hAnsi="楷体" w:eastAsia="楷体"/>
          <w:color w:val="000000"/>
          <w:sz w:val="32"/>
          <w:szCs w:val="32"/>
        </w:rPr>
        <w:t>改进措施。</w:t>
      </w:r>
      <w:r>
        <w:rPr>
          <w:rFonts w:hint="eastAsia" w:ascii="仿宋" w:hAnsi="仿宋" w:eastAsia="仿宋"/>
          <w:color w:val="000000"/>
          <w:sz w:val="32"/>
          <w:szCs w:val="32"/>
        </w:rPr>
        <w:t>一是强化统筹协调，健全政务公开协调指导工作机制，定期与各科室沟通，发现问题及时整改。二是提高信息发布质量，严格信息审查审核机制，不断提升信息发布质量，做好表率示范作用。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六、其他需要报告的事项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（一）收取信息处理费情况。</w:t>
      </w:r>
      <w:r>
        <w:rPr>
          <w:rFonts w:hint="eastAsia" w:ascii="仿宋" w:hAnsi="仿宋" w:eastAsia="仿宋"/>
          <w:color w:val="000000"/>
          <w:sz w:val="32"/>
          <w:szCs w:val="32"/>
        </w:rPr>
        <w:t>本年度未有收取信息处理费情况。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（二）人大代表建议和政协提案办理情况。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年，区政府办公室共承办人大代表建议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件；承办政协提案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件，办复率100%。</w:t>
      </w:r>
    </w:p>
    <w:p>
      <w:pPr>
        <w:spacing w:line="560" w:lineRule="exact"/>
        <w:ind w:firstLine="640" w:firstLineChars="200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（三）年度工作要点落实情况。</w:t>
      </w:r>
      <w:r>
        <w:rPr>
          <w:rFonts w:hint="eastAsia" w:ascii="仿宋" w:hAnsi="仿宋" w:eastAsia="仿宋"/>
          <w:color w:val="000000"/>
          <w:sz w:val="32"/>
          <w:szCs w:val="32"/>
        </w:rPr>
        <w:t>做好政策文件动态管理，根据立、改、废等情况及时调整；丰富政策解读形式，做好文稿解读的同时，通过图文、问答、领导干部专家解读等形式进行解读；做好</w:t>
      </w:r>
      <w:r>
        <w:rPr>
          <w:rFonts w:ascii="仿宋" w:hAnsi="仿宋" w:eastAsia="仿宋"/>
          <w:color w:val="000000"/>
          <w:sz w:val="32"/>
          <w:szCs w:val="32"/>
        </w:rPr>
        <w:t>2022</w:t>
      </w:r>
      <w:r>
        <w:rPr>
          <w:rFonts w:hint="eastAsia" w:ascii="仿宋" w:hAnsi="仿宋" w:eastAsia="仿宋"/>
          <w:color w:val="000000"/>
          <w:sz w:val="32"/>
          <w:szCs w:val="32"/>
        </w:rPr>
        <w:t>年区政府工作报告主要任务目标落实情况公开，按季度汇总公开工作进展、取得成效等；做好本单位财政预算、决算及相关报表公开；做好政府会议常态化公开，通过图文，媒体报道等方式公开政府常务会议情况；做好政府信箱和政府网站互动平台答复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（四）政务公开工作创新情况。1</w:t>
      </w:r>
      <w:r>
        <w:rPr>
          <w:rFonts w:ascii="楷体" w:hAnsi="楷体" w:eastAsia="楷体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依申请公开方面，购买法律服务，对全区各部门答复统一审核，全面提高依申请答复水平。</w:t>
      </w: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在加大领导干部解读的基础上，对涉及面广，政策性强的文件，通过法律顾问开展解读，进一步丰富解读形式，使政策更通俗易懂。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3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5YmNjNGRiYmMyM2VhZTljMjQ3YTY0Nzk4MjJmOTMifQ=="/>
  </w:docVars>
  <w:rsids>
    <w:rsidRoot w:val="00E04258"/>
    <w:rsid w:val="00000145"/>
    <w:rsid w:val="00001C9E"/>
    <w:rsid w:val="000038F9"/>
    <w:rsid w:val="000045EB"/>
    <w:rsid w:val="0000594A"/>
    <w:rsid w:val="00013109"/>
    <w:rsid w:val="00015FD1"/>
    <w:rsid w:val="00023AAC"/>
    <w:rsid w:val="00024810"/>
    <w:rsid w:val="0002660F"/>
    <w:rsid w:val="00026978"/>
    <w:rsid w:val="00030DFB"/>
    <w:rsid w:val="000414C6"/>
    <w:rsid w:val="00042CA0"/>
    <w:rsid w:val="00043D31"/>
    <w:rsid w:val="00046423"/>
    <w:rsid w:val="00052AD6"/>
    <w:rsid w:val="00055473"/>
    <w:rsid w:val="00055E11"/>
    <w:rsid w:val="00056B8B"/>
    <w:rsid w:val="000629D1"/>
    <w:rsid w:val="00063220"/>
    <w:rsid w:val="000656CD"/>
    <w:rsid w:val="0006628C"/>
    <w:rsid w:val="000706E1"/>
    <w:rsid w:val="00074702"/>
    <w:rsid w:val="00085190"/>
    <w:rsid w:val="0008623C"/>
    <w:rsid w:val="0008742D"/>
    <w:rsid w:val="00087FF0"/>
    <w:rsid w:val="00092898"/>
    <w:rsid w:val="00094E08"/>
    <w:rsid w:val="00097052"/>
    <w:rsid w:val="000A18B3"/>
    <w:rsid w:val="000A5D01"/>
    <w:rsid w:val="000A6851"/>
    <w:rsid w:val="000B0633"/>
    <w:rsid w:val="000B1602"/>
    <w:rsid w:val="000B7CC0"/>
    <w:rsid w:val="000C34FF"/>
    <w:rsid w:val="000C358D"/>
    <w:rsid w:val="000C4942"/>
    <w:rsid w:val="000C4C84"/>
    <w:rsid w:val="000C5D2E"/>
    <w:rsid w:val="000C6578"/>
    <w:rsid w:val="000C7BD7"/>
    <w:rsid w:val="000D0520"/>
    <w:rsid w:val="000D4473"/>
    <w:rsid w:val="000D6BC6"/>
    <w:rsid w:val="000E1057"/>
    <w:rsid w:val="000E2F5F"/>
    <w:rsid w:val="000F497F"/>
    <w:rsid w:val="000F51F6"/>
    <w:rsid w:val="000F7617"/>
    <w:rsid w:val="00105B3E"/>
    <w:rsid w:val="001108EA"/>
    <w:rsid w:val="00120C85"/>
    <w:rsid w:val="001240A4"/>
    <w:rsid w:val="00125C8A"/>
    <w:rsid w:val="00127976"/>
    <w:rsid w:val="00131A3C"/>
    <w:rsid w:val="001343A5"/>
    <w:rsid w:val="0013565C"/>
    <w:rsid w:val="00137F60"/>
    <w:rsid w:val="00140E3F"/>
    <w:rsid w:val="00141E69"/>
    <w:rsid w:val="00143DC5"/>
    <w:rsid w:val="00144ABF"/>
    <w:rsid w:val="00144B5F"/>
    <w:rsid w:val="0014785E"/>
    <w:rsid w:val="00153042"/>
    <w:rsid w:val="001544A4"/>
    <w:rsid w:val="00170D63"/>
    <w:rsid w:val="00172B20"/>
    <w:rsid w:val="0017420B"/>
    <w:rsid w:val="0017427C"/>
    <w:rsid w:val="00176618"/>
    <w:rsid w:val="00176B17"/>
    <w:rsid w:val="00180618"/>
    <w:rsid w:val="00183633"/>
    <w:rsid w:val="00187315"/>
    <w:rsid w:val="001900C0"/>
    <w:rsid w:val="00192809"/>
    <w:rsid w:val="00196FD6"/>
    <w:rsid w:val="001A1B6E"/>
    <w:rsid w:val="001A21B5"/>
    <w:rsid w:val="001A36DF"/>
    <w:rsid w:val="001B26AB"/>
    <w:rsid w:val="001B4410"/>
    <w:rsid w:val="001B5D46"/>
    <w:rsid w:val="001C1DC2"/>
    <w:rsid w:val="001C4706"/>
    <w:rsid w:val="001C4EBC"/>
    <w:rsid w:val="001C5FFD"/>
    <w:rsid w:val="001C6DFA"/>
    <w:rsid w:val="001C6F55"/>
    <w:rsid w:val="001D41A6"/>
    <w:rsid w:val="001D61F9"/>
    <w:rsid w:val="001D63AC"/>
    <w:rsid w:val="001E0520"/>
    <w:rsid w:val="001E0CBD"/>
    <w:rsid w:val="001E25F4"/>
    <w:rsid w:val="001E5257"/>
    <w:rsid w:val="001E5A28"/>
    <w:rsid w:val="001E72C7"/>
    <w:rsid w:val="001F5D73"/>
    <w:rsid w:val="002019C6"/>
    <w:rsid w:val="00202FD0"/>
    <w:rsid w:val="00204AA5"/>
    <w:rsid w:val="00205590"/>
    <w:rsid w:val="002149D9"/>
    <w:rsid w:val="002150A5"/>
    <w:rsid w:val="002157C1"/>
    <w:rsid w:val="00216261"/>
    <w:rsid w:val="00216DF6"/>
    <w:rsid w:val="0021763D"/>
    <w:rsid w:val="00222077"/>
    <w:rsid w:val="00224377"/>
    <w:rsid w:val="002264B1"/>
    <w:rsid w:val="002275BE"/>
    <w:rsid w:val="0023206E"/>
    <w:rsid w:val="00234868"/>
    <w:rsid w:val="0023602C"/>
    <w:rsid w:val="00240EAF"/>
    <w:rsid w:val="00246626"/>
    <w:rsid w:val="00250A4C"/>
    <w:rsid w:val="002531F4"/>
    <w:rsid w:val="00255E00"/>
    <w:rsid w:val="00255F86"/>
    <w:rsid w:val="00256F7D"/>
    <w:rsid w:val="002572C0"/>
    <w:rsid w:val="002604BD"/>
    <w:rsid w:val="00262020"/>
    <w:rsid w:val="00270C0E"/>
    <w:rsid w:val="0027691A"/>
    <w:rsid w:val="00276B13"/>
    <w:rsid w:val="00276E5B"/>
    <w:rsid w:val="002774CD"/>
    <w:rsid w:val="0028009A"/>
    <w:rsid w:val="00280FAA"/>
    <w:rsid w:val="00294467"/>
    <w:rsid w:val="00294F71"/>
    <w:rsid w:val="00295E2D"/>
    <w:rsid w:val="00296DC4"/>
    <w:rsid w:val="002A188B"/>
    <w:rsid w:val="002A1F5C"/>
    <w:rsid w:val="002A672D"/>
    <w:rsid w:val="002A7292"/>
    <w:rsid w:val="002B0D6E"/>
    <w:rsid w:val="002B1D93"/>
    <w:rsid w:val="002B395F"/>
    <w:rsid w:val="002B463A"/>
    <w:rsid w:val="002B6F68"/>
    <w:rsid w:val="002C0C09"/>
    <w:rsid w:val="002D115E"/>
    <w:rsid w:val="002D1694"/>
    <w:rsid w:val="002D33B9"/>
    <w:rsid w:val="002D65EF"/>
    <w:rsid w:val="002D6987"/>
    <w:rsid w:val="002D6A99"/>
    <w:rsid w:val="002D70DF"/>
    <w:rsid w:val="002E10FD"/>
    <w:rsid w:val="002E17CA"/>
    <w:rsid w:val="002E421A"/>
    <w:rsid w:val="002E594D"/>
    <w:rsid w:val="002E6EDF"/>
    <w:rsid w:val="003048BF"/>
    <w:rsid w:val="00304D59"/>
    <w:rsid w:val="003054A7"/>
    <w:rsid w:val="003109FF"/>
    <w:rsid w:val="00312C5F"/>
    <w:rsid w:val="0031332E"/>
    <w:rsid w:val="003135A4"/>
    <w:rsid w:val="0031530C"/>
    <w:rsid w:val="003164F6"/>
    <w:rsid w:val="00316CE4"/>
    <w:rsid w:val="003257C1"/>
    <w:rsid w:val="003318E7"/>
    <w:rsid w:val="00332905"/>
    <w:rsid w:val="00333516"/>
    <w:rsid w:val="00334C65"/>
    <w:rsid w:val="0034379C"/>
    <w:rsid w:val="00350BD0"/>
    <w:rsid w:val="00350D39"/>
    <w:rsid w:val="00354755"/>
    <w:rsid w:val="00357E22"/>
    <w:rsid w:val="00357E4E"/>
    <w:rsid w:val="003638D5"/>
    <w:rsid w:val="00363B37"/>
    <w:rsid w:val="00366088"/>
    <w:rsid w:val="0038169B"/>
    <w:rsid w:val="00382099"/>
    <w:rsid w:val="00383519"/>
    <w:rsid w:val="003856CA"/>
    <w:rsid w:val="00386525"/>
    <w:rsid w:val="00387A9C"/>
    <w:rsid w:val="00390173"/>
    <w:rsid w:val="0039072E"/>
    <w:rsid w:val="00395676"/>
    <w:rsid w:val="00397E9C"/>
    <w:rsid w:val="003A4408"/>
    <w:rsid w:val="003A617F"/>
    <w:rsid w:val="003B4A71"/>
    <w:rsid w:val="003B7876"/>
    <w:rsid w:val="003C0527"/>
    <w:rsid w:val="003C44C8"/>
    <w:rsid w:val="003C5789"/>
    <w:rsid w:val="003D3DAD"/>
    <w:rsid w:val="003D6959"/>
    <w:rsid w:val="003D7EB2"/>
    <w:rsid w:val="003E1F92"/>
    <w:rsid w:val="003E6B2B"/>
    <w:rsid w:val="003F2DA8"/>
    <w:rsid w:val="003F38D1"/>
    <w:rsid w:val="003F538D"/>
    <w:rsid w:val="004008C3"/>
    <w:rsid w:val="00400BED"/>
    <w:rsid w:val="00405DB6"/>
    <w:rsid w:val="0041230D"/>
    <w:rsid w:val="00414EEE"/>
    <w:rsid w:val="00420F86"/>
    <w:rsid w:val="0042326E"/>
    <w:rsid w:val="00423431"/>
    <w:rsid w:val="00427F02"/>
    <w:rsid w:val="00434746"/>
    <w:rsid w:val="0044085A"/>
    <w:rsid w:val="00446210"/>
    <w:rsid w:val="00451464"/>
    <w:rsid w:val="00452652"/>
    <w:rsid w:val="00460593"/>
    <w:rsid w:val="0046437F"/>
    <w:rsid w:val="00467CB2"/>
    <w:rsid w:val="004713FB"/>
    <w:rsid w:val="004719F8"/>
    <w:rsid w:val="00473626"/>
    <w:rsid w:val="00474846"/>
    <w:rsid w:val="00476ABF"/>
    <w:rsid w:val="00481ED7"/>
    <w:rsid w:val="00481FD3"/>
    <w:rsid w:val="00483E15"/>
    <w:rsid w:val="004847BC"/>
    <w:rsid w:val="0048518B"/>
    <w:rsid w:val="004936CF"/>
    <w:rsid w:val="00495EBA"/>
    <w:rsid w:val="004A6081"/>
    <w:rsid w:val="004B1B2D"/>
    <w:rsid w:val="004B36CF"/>
    <w:rsid w:val="004B3DE8"/>
    <w:rsid w:val="004B53B3"/>
    <w:rsid w:val="004B7413"/>
    <w:rsid w:val="004C254E"/>
    <w:rsid w:val="004C2C34"/>
    <w:rsid w:val="004C2F29"/>
    <w:rsid w:val="004C4F7D"/>
    <w:rsid w:val="004D2882"/>
    <w:rsid w:val="004D7633"/>
    <w:rsid w:val="004D788E"/>
    <w:rsid w:val="004E24C6"/>
    <w:rsid w:val="004E5DF1"/>
    <w:rsid w:val="004F244D"/>
    <w:rsid w:val="004F2625"/>
    <w:rsid w:val="004F39DF"/>
    <w:rsid w:val="00501A3F"/>
    <w:rsid w:val="005026C8"/>
    <w:rsid w:val="00503B08"/>
    <w:rsid w:val="00504DE1"/>
    <w:rsid w:val="00511AE3"/>
    <w:rsid w:val="005162AB"/>
    <w:rsid w:val="00520A6A"/>
    <w:rsid w:val="00523B84"/>
    <w:rsid w:val="0052540C"/>
    <w:rsid w:val="00531036"/>
    <w:rsid w:val="00533338"/>
    <w:rsid w:val="0053359A"/>
    <w:rsid w:val="00534089"/>
    <w:rsid w:val="00540904"/>
    <w:rsid w:val="00543FE0"/>
    <w:rsid w:val="00545B17"/>
    <w:rsid w:val="00546170"/>
    <w:rsid w:val="00556A7F"/>
    <w:rsid w:val="005637BC"/>
    <w:rsid w:val="00564F0C"/>
    <w:rsid w:val="00567AE3"/>
    <w:rsid w:val="0057319B"/>
    <w:rsid w:val="0057340D"/>
    <w:rsid w:val="005771DE"/>
    <w:rsid w:val="00580B3B"/>
    <w:rsid w:val="00580D95"/>
    <w:rsid w:val="005818BC"/>
    <w:rsid w:val="00582EFB"/>
    <w:rsid w:val="00584920"/>
    <w:rsid w:val="00586957"/>
    <w:rsid w:val="00590B6D"/>
    <w:rsid w:val="00593B91"/>
    <w:rsid w:val="00593F9E"/>
    <w:rsid w:val="0059666D"/>
    <w:rsid w:val="005A3BFA"/>
    <w:rsid w:val="005A5E65"/>
    <w:rsid w:val="005C071E"/>
    <w:rsid w:val="005C0A8C"/>
    <w:rsid w:val="005C1259"/>
    <w:rsid w:val="005D4DA2"/>
    <w:rsid w:val="005D4DDE"/>
    <w:rsid w:val="005D7981"/>
    <w:rsid w:val="005E2D72"/>
    <w:rsid w:val="005E2FAD"/>
    <w:rsid w:val="005E5225"/>
    <w:rsid w:val="005E5EA6"/>
    <w:rsid w:val="005F07DB"/>
    <w:rsid w:val="005F410F"/>
    <w:rsid w:val="005F5FEA"/>
    <w:rsid w:val="005F7CFA"/>
    <w:rsid w:val="006001B7"/>
    <w:rsid w:val="00604585"/>
    <w:rsid w:val="00604767"/>
    <w:rsid w:val="00606DE2"/>
    <w:rsid w:val="00607754"/>
    <w:rsid w:val="00607BD2"/>
    <w:rsid w:val="006105C7"/>
    <w:rsid w:val="006133B7"/>
    <w:rsid w:val="00614243"/>
    <w:rsid w:val="00615468"/>
    <w:rsid w:val="006221BD"/>
    <w:rsid w:val="0062401C"/>
    <w:rsid w:val="0062406E"/>
    <w:rsid w:val="00630352"/>
    <w:rsid w:val="00632656"/>
    <w:rsid w:val="00633AD3"/>
    <w:rsid w:val="00634DDC"/>
    <w:rsid w:val="006359EF"/>
    <w:rsid w:val="006364F7"/>
    <w:rsid w:val="006368DF"/>
    <w:rsid w:val="0064035F"/>
    <w:rsid w:val="00640DE1"/>
    <w:rsid w:val="006419CD"/>
    <w:rsid w:val="00641A49"/>
    <w:rsid w:val="00641B33"/>
    <w:rsid w:val="00645E5B"/>
    <w:rsid w:val="00651342"/>
    <w:rsid w:val="00656F2C"/>
    <w:rsid w:val="00660AAE"/>
    <w:rsid w:val="006634C0"/>
    <w:rsid w:val="00675D05"/>
    <w:rsid w:val="00677652"/>
    <w:rsid w:val="006821DB"/>
    <w:rsid w:val="00687144"/>
    <w:rsid w:val="0069301A"/>
    <w:rsid w:val="00693163"/>
    <w:rsid w:val="00693534"/>
    <w:rsid w:val="00697E19"/>
    <w:rsid w:val="00697EE4"/>
    <w:rsid w:val="006A1171"/>
    <w:rsid w:val="006A13C2"/>
    <w:rsid w:val="006A5226"/>
    <w:rsid w:val="006A5288"/>
    <w:rsid w:val="006B0C13"/>
    <w:rsid w:val="006B72A8"/>
    <w:rsid w:val="006B7E72"/>
    <w:rsid w:val="006C0283"/>
    <w:rsid w:val="006C2EA0"/>
    <w:rsid w:val="006C58BC"/>
    <w:rsid w:val="006C656F"/>
    <w:rsid w:val="006C7952"/>
    <w:rsid w:val="006E0094"/>
    <w:rsid w:val="006E2256"/>
    <w:rsid w:val="006E2790"/>
    <w:rsid w:val="006E63A6"/>
    <w:rsid w:val="006E63B8"/>
    <w:rsid w:val="006F42F2"/>
    <w:rsid w:val="006F5E17"/>
    <w:rsid w:val="007011FB"/>
    <w:rsid w:val="0070175A"/>
    <w:rsid w:val="00705CE0"/>
    <w:rsid w:val="007061A3"/>
    <w:rsid w:val="0070622A"/>
    <w:rsid w:val="00707D61"/>
    <w:rsid w:val="00710BA4"/>
    <w:rsid w:val="007129AD"/>
    <w:rsid w:val="00714451"/>
    <w:rsid w:val="00717EE3"/>
    <w:rsid w:val="007218A5"/>
    <w:rsid w:val="007234A6"/>
    <w:rsid w:val="00723B47"/>
    <w:rsid w:val="00723D67"/>
    <w:rsid w:val="00724A6A"/>
    <w:rsid w:val="00731CB1"/>
    <w:rsid w:val="00732D81"/>
    <w:rsid w:val="00733F31"/>
    <w:rsid w:val="00736923"/>
    <w:rsid w:val="00736C50"/>
    <w:rsid w:val="00737F14"/>
    <w:rsid w:val="00741A40"/>
    <w:rsid w:val="00746739"/>
    <w:rsid w:val="00755418"/>
    <w:rsid w:val="00760496"/>
    <w:rsid w:val="007611C0"/>
    <w:rsid w:val="0076607A"/>
    <w:rsid w:val="007720F2"/>
    <w:rsid w:val="00772EA0"/>
    <w:rsid w:val="007745BE"/>
    <w:rsid w:val="007769D7"/>
    <w:rsid w:val="00781A3D"/>
    <w:rsid w:val="00790116"/>
    <w:rsid w:val="00791D32"/>
    <w:rsid w:val="00794B44"/>
    <w:rsid w:val="007A0220"/>
    <w:rsid w:val="007A02B5"/>
    <w:rsid w:val="007A2756"/>
    <w:rsid w:val="007A39A8"/>
    <w:rsid w:val="007A3DB5"/>
    <w:rsid w:val="007A46E1"/>
    <w:rsid w:val="007A4F8C"/>
    <w:rsid w:val="007A6694"/>
    <w:rsid w:val="007A7BB7"/>
    <w:rsid w:val="007B346E"/>
    <w:rsid w:val="007B42D4"/>
    <w:rsid w:val="007B68D1"/>
    <w:rsid w:val="007B6DCF"/>
    <w:rsid w:val="007B7AE0"/>
    <w:rsid w:val="007C2141"/>
    <w:rsid w:val="007C53E0"/>
    <w:rsid w:val="007C5C81"/>
    <w:rsid w:val="007D0AF2"/>
    <w:rsid w:val="007D3AB6"/>
    <w:rsid w:val="007D4916"/>
    <w:rsid w:val="007D59C4"/>
    <w:rsid w:val="007D71FE"/>
    <w:rsid w:val="007E07E3"/>
    <w:rsid w:val="007E177A"/>
    <w:rsid w:val="007E2505"/>
    <w:rsid w:val="007E334A"/>
    <w:rsid w:val="007E55EA"/>
    <w:rsid w:val="007F193F"/>
    <w:rsid w:val="007F22F8"/>
    <w:rsid w:val="007F3182"/>
    <w:rsid w:val="007F43FC"/>
    <w:rsid w:val="007F4E63"/>
    <w:rsid w:val="00802361"/>
    <w:rsid w:val="00803A8F"/>
    <w:rsid w:val="008041FF"/>
    <w:rsid w:val="00804E65"/>
    <w:rsid w:val="00805ABE"/>
    <w:rsid w:val="00806B21"/>
    <w:rsid w:val="00813BC0"/>
    <w:rsid w:val="00820BB8"/>
    <w:rsid w:val="0082744A"/>
    <w:rsid w:val="00830865"/>
    <w:rsid w:val="0083723A"/>
    <w:rsid w:val="0083763C"/>
    <w:rsid w:val="00837953"/>
    <w:rsid w:val="00837D96"/>
    <w:rsid w:val="00840818"/>
    <w:rsid w:val="00842C3D"/>
    <w:rsid w:val="00844416"/>
    <w:rsid w:val="00852EEB"/>
    <w:rsid w:val="008556C2"/>
    <w:rsid w:val="00855B3A"/>
    <w:rsid w:val="00856193"/>
    <w:rsid w:val="008567BF"/>
    <w:rsid w:val="008579AB"/>
    <w:rsid w:val="008606AC"/>
    <w:rsid w:val="008608A2"/>
    <w:rsid w:val="008613A8"/>
    <w:rsid w:val="008619F6"/>
    <w:rsid w:val="00865005"/>
    <w:rsid w:val="00873E0F"/>
    <w:rsid w:val="00874364"/>
    <w:rsid w:val="00875150"/>
    <w:rsid w:val="00875291"/>
    <w:rsid w:val="00881404"/>
    <w:rsid w:val="0089032F"/>
    <w:rsid w:val="00892DC4"/>
    <w:rsid w:val="00892E66"/>
    <w:rsid w:val="008938E6"/>
    <w:rsid w:val="008977A9"/>
    <w:rsid w:val="008A0545"/>
    <w:rsid w:val="008A171F"/>
    <w:rsid w:val="008A26FD"/>
    <w:rsid w:val="008A3BC0"/>
    <w:rsid w:val="008A66F8"/>
    <w:rsid w:val="008B2FD1"/>
    <w:rsid w:val="008B36DE"/>
    <w:rsid w:val="008B5142"/>
    <w:rsid w:val="008B5D19"/>
    <w:rsid w:val="008B6607"/>
    <w:rsid w:val="008C2625"/>
    <w:rsid w:val="008C37A3"/>
    <w:rsid w:val="008C48D5"/>
    <w:rsid w:val="008C51DA"/>
    <w:rsid w:val="008C7E1D"/>
    <w:rsid w:val="008D17DC"/>
    <w:rsid w:val="008D2DBD"/>
    <w:rsid w:val="008D429C"/>
    <w:rsid w:val="008D6B7B"/>
    <w:rsid w:val="008D6CF3"/>
    <w:rsid w:val="008E185B"/>
    <w:rsid w:val="008E1E05"/>
    <w:rsid w:val="008E1F71"/>
    <w:rsid w:val="008F142B"/>
    <w:rsid w:val="008F1674"/>
    <w:rsid w:val="008F188C"/>
    <w:rsid w:val="008F3D4E"/>
    <w:rsid w:val="008F51FF"/>
    <w:rsid w:val="008F55BA"/>
    <w:rsid w:val="0090213B"/>
    <w:rsid w:val="00904289"/>
    <w:rsid w:val="00906B9B"/>
    <w:rsid w:val="00912FB0"/>
    <w:rsid w:val="00913531"/>
    <w:rsid w:val="00916B08"/>
    <w:rsid w:val="00920298"/>
    <w:rsid w:val="0092086C"/>
    <w:rsid w:val="00920A8C"/>
    <w:rsid w:val="0092182B"/>
    <w:rsid w:val="0092533C"/>
    <w:rsid w:val="00930D46"/>
    <w:rsid w:val="009349B5"/>
    <w:rsid w:val="00935E77"/>
    <w:rsid w:val="00940C11"/>
    <w:rsid w:val="00941C64"/>
    <w:rsid w:val="00943D39"/>
    <w:rsid w:val="009515FD"/>
    <w:rsid w:val="009547E6"/>
    <w:rsid w:val="00954C2A"/>
    <w:rsid w:val="00956264"/>
    <w:rsid w:val="009568D2"/>
    <w:rsid w:val="0095735C"/>
    <w:rsid w:val="0096093C"/>
    <w:rsid w:val="00962CD0"/>
    <w:rsid w:val="00966C94"/>
    <w:rsid w:val="0097065C"/>
    <w:rsid w:val="00975A80"/>
    <w:rsid w:val="009811AC"/>
    <w:rsid w:val="0098598B"/>
    <w:rsid w:val="00993C26"/>
    <w:rsid w:val="009B0107"/>
    <w:rsid w:val="009B7848"/>
    <w:rsid w:val="009C460B"/>
    <w:rsid w:val="009C6FFD"/>
    <w:rsid w:val="009D430D"/>
    <w:rsid w:val="009D452F"/>
    <w:rsid w:val="009D5A5A"/>
    <w:rsid w:val="009E0ED9"/>
    <w:rsid w:val="009E17C3"/>
    <w:rsid w:val="009E3F33"/>
    <w:rsid w:val="009E460F"/>
    <w:rsid w:val="009E68DF"/>
    <w:rsid w:val="009E7693"/>
    <w:rsid w:val="009F3632"/>
    <w:rsid w:val="009F4FD2"/>
    <w:rsid w:val="00A03AC4"/>
    <w:rsid w:val="00A03E53"/>
    <w:rsid w:val="00A06E87"/>
    <w:rsid w:val="00A1342F"/>
    <w:rsid w:val="00A143E6"/>
    <w:rsid w:val="00A16C0E"/>
    <w:rsid w:val="00A22178"/>
    <w:rsid w:val="00A25860"/>
    <w:rsid w:val="00A353B4"/>
    <w:rsid w:val="00A35AE0"/>
    <w:rsid w:val="00A36696"/>
    <w:rsid w:val="00A36C3E"/>
    <w:rsid w:val="00A43B4D"/>
    <w:rsid w:val="00A47C35"/>
    <w:rsid w:val="00A55405"/>
    <w:rsid w:val="00A56457"/>
    <w:rsid w:val="00A574E6"/>
    <w:rsid w:val="00A6302E"/>
    <w:rsid w:val="00A65792"/>
    <w:rsid w:val="00A7163D"/>
    <w:rsid w:val="00A75587"/>
    <w:rsid w:val="00A759E5"/>
    <w:rsid w:val="00A82619"/>
    <w:rsid w:val="00A86F1B"/>
    <w:rsid w:val="00A919F7"/>
    <w:rsid w:val="00A93492"/>
    <w:rsid w:val="00A944C5"/>
    <w:rsid w:val="00A957F6"/>
    <w:rsid w:val="00AA0857"/>
    <w:rsid w:val="00AA3C78"/>
    <w:rsid w:val="00AA6678"/>
    <w:rsid w:val="00AA7AEC"/>
    <w:rsid w:val="00AA7B4B"/>
    <w:rsid w:val="00AB031E"/>
    <w:rsid w:val="00AB09E9"/>
    <w:rsid w:val="00AC222F"/>
    <w:rsid w:val="00AD0D97"/>
    <w:rsid w:val="00AD1A81"/>
    <w:rsid w:val="00AD1C82"/>
    <w:rsid w:val="00AD1D6B"/>
    <w:rsid w:val="00AD49B5"/>
    <w:rsid w:val="00AD5BEA"/>
    <w:rsid w:val="00AD76B6"/>
    <w:rsid w:val="00AE6C57"/>
    <w:rsid w:val="00AE77F6"/>
    <w:rsid w:val="00AF2313"/>
    <w:rsid w:val="00AF406E"/>
    <w:rsid w:val="00AF50F4"/>
    <w:rsid w:val="00B0337D"/>
    <w:rsid w:val="00B12715"/>
    <w:rsid w:val="00B12B27"/>
    <w:rsid w:val="00B1769A"/>
    <w:rsid w:val="00B23183"/>
    <w:rsid w:val="00B245B9"/>
    <w:rsid w:val="00B24973"/>
    <w:rsid w:val="00B33075"/>
    <w:rsid w:val="00B34EF4"/>
    <w:rsid w:val="00B414D1"/>
    <w:rsid w:val="00B459E2"/>
    <w:rsid w:val="00B53141"/>
    <w:rsid w:val="00B532C8"/>
    <w:rsid w:val="00B559FA"/>
    <w:rsid w:val="00B63E26"/>
    <w:rsid w:val="00B811E5"/>
    <w:rsid w:val="00B8236F"/>
    <w:rsid w:val="00B835A5"/>
    <w:rsid w:val="00B91004"/>
    <w:rsid w:val="00BA000D"/>
    <w:rsid w:val="00BA35CC"/>
    <w:rsid w:val="00BA4307"/>
    <w:rsid w:val="00BA45ED"/>
    <w:rsid w:val="00BA486D"/>
    <w:rsid w:val="00BB1F4C"/>
    <w:rsid w:val="00BB2336"/>
    <w:rsid w:val="00BC0376"/>
    <w:rsid w:val="00BC0DDF"/>
    <w:rsid w:val="00BC34AC"/>
    <w:rsid w:val="00BD1CAC"/>
    <w:rsid w:val="00BD4F6B"/>
    <w:rsid w:val="00BD789A"/>
    <w:rsid w:val="00BE26F0"/>
    <w:rsid w:val="00BE350E"/>
    <w:rsid w:val="00BE3EBE"/>
    <w:rsid w:val="00BE3FA5"/>
    <w:rsid w:val="00BE4FAC"/>
    <w:rsid w:val="00BF0D87"/>
    <w:rsid w:val="00BF3636"/>
    <w:rsid w:val="00BF368E"/>
    <w:rsid w:val="00BF42A9"/>
    <w:rsid w:val="00BF578F"/>
    <w:rsid w:val="00C04961"/>
    <w:rsid w:val="00C055A1"/>
    <w:rsid w:val="00C07E13"/>
    <w:rsid w:val="00C11BC3"/>
    <w:rsid w:val="00C11D2B"/>
    <w:rsid w:val="00C16EFE"/>
    <w:rsid w:val="00C17388"/>
    <w:rsid w:val="00C206ED"/>
    <w:rsid w:val="00C217D5"/>
    <w:rsid w:val="00C234EF"/>
    <w:rsid w:val="00C24E68"/>
    <w:rsid w:val="00C307E5"/>
    <w:rsid w:val="00C30AAF"/>
    <w:rsid w:val="00C61A42"/>
    <w:rsid w:val="00C63784"/>
    <w:rsid w:val="00C661B5"/>
    <w:rsid w:val="00C665B4"/>
    <w:rsid w:val="00C71268"/>
    <w:rsid w:val="00C75B28"/>
    <w:rsid w:val="00C762CA"/>
    <w:rsid w:val="00C83C1A"/>
    <w:rsid w:val="00C86FE5"/>
    <w:rsid w:val="00C90488"/>
    <w:rsid w:val="00C90FBF"/>
    <w:rsid w:val="00C91D9E"/>
    <w:rsid w:val="00C928FE"/>
    <w:rsid w:val="00C94177"/>
    <w:rsid w:val="00C9497F"/>
    <w:rsid w:val="00C957F6"/>
    <w:rsid w:val="00C978BE"/>
    <w:rsid w:val="00CA24FE"/>
    <w:rsid w:val="00CA4E64"/>
    <w:rsid w:val="00CB1248"/>
    <w:rsid w:val="00CB7A70"/>
    <w:rsid w:val="00CC09E5"/>
    <w:rsid w:val="00CC51DA"/>
    <w:rsid w:val="00CD3E74"/>
    <w:rsid w:val="00CD6DCF"/>
    <w:rsid w:val="00CE17AD"/>
    <w:rsid w:val="00CE33B0"/>
    <w:rsid w:val="00CE3B5A"/>
    <w:rsid w:val="00CE49B6"/>
    <w:rsid w:val="00CE4DB6"/>
    <w:rsid w:val="00CE7BFF"/>
    <w:rsid w:val="00CF2399"/>
    <w:rsid w:val="00CF2860"/>
    <w:rsid w:val="00CF3DD6"/>
    <w:rsid w:val="00CF509B"/>
    <w:rsid w:val="00CF7DF1"/>
    <w:rsid w:val="00D0300A"/>
    <w:rsid w:val="00D06B46"/>
    <w:rsid w:val="00D16C7E"/>
    <w:rsid w:val="00D17DF3"/>
    <w:rsid w:val="00D201BD"/>
    <w:rsid w:val="00D21479"/>
    <w:rsid w:val="00D2358D"/>
    <w:rsid w:val="00D25962"/>
    <w:rsid w:val="00D268CC"/>
    <w:rsid w:val="00D327E4"/>
    <w:rsid w:val="00D33F3A"/>
    <w:rsid w:val="00D4031A"/>
    <w:rsid w:val="00D434B4"/>
    <w:rsid w:val="00D43AAA"/>
    <w:rsid w:val="00D43B9F"/>
    <w:rsid w:val="00D4484C"/>
    <w:rsid w:val="00D51651"/>
    <w:rsid w:val="00D53AC2"/>
    <w:rsid w:val="00D54B78"/>
    <w:rsid w:val="00D670F0"/>
    <w:rsid w:val="00D7609C"/>
    <w:rsid w:val="00D7673F"/>
    <w:rsid w:val="00D76B31"/>
    <w:rsid w:val="00D81D7A"/>
    <w:rsid w:val="00D83D05"/>
    <w:rsid w:val="00D849A0"/>
    <w:rsid w:val="00D93EC9"/>
    <w:rsid w:val="00D96A77"/>
    <w:rsid w:val="00D96B4C"/>
    <w:rsid w:val="00DA076B"/>
    <w:rsid w:val="00DA0B78"/>
    <w:rsid w:val="00DA1BF9"/>
    <w:rsid w:val="00DA443C"/>
    <w:rsid w:val="00DA4831"/>
    <w:rsid w:val="00DA4E35"/>
    <w:rsid w:val="00DA546B"/>
    <w:rsid w:val="00DA5691"/>
    <w:rsid w:val="00DB085B"/>
    <w:rsid w:val="00DB1096"/>
    <w:rsid w:val="00DB316C"/>
    <w:rsid w:val="00DC2AFC"/>
    <w:rsid w:val="00DC6314"/>
    <w:rsid w:val="00DD7CD6"/>
    <w:rsid w:val="00DE0CC2"/>
    <w:rsid w:val="00DE3137"/>
    <w:rsid w:val="00DE7D42"/>
    <w:rsid w:val="00DF0951"/>
    <w:rsid w:val="00DF2CAA"/>
    <w:rsid w:val="00DF3C2A"/>
    <w:rsid w:val="00DF576D"/>
    <w:rsid w:val="00DF59E8"/>
    <w:rsid w:val="00DF60AB"/>
    <w:rsid w:val="00DF7204"/>
    <w:rsid w:val="00E01A10"/>
    <w:rsid w:val="00E01F0F"/>
    <w:rsid w:val="00E03F11"/>
    <w:rsid w:val="00E04258"/>
    <w:rsid w:val="00E068B5"/>
    <w:rsid w:val="00E07D70"/>
    <w:rsid w:val="00E23485"/>
    <w:rsid w:val="00E275DE"/>
    <w:rsid w:val="00E30050"/>
    <w:rsid w:val="00E377B4"/>
    <w:rsid w:val="00E42C13"/>
    <w:rsid w:val="00E42DE7"/>
    <w:rsid w:val="00E447EA"/>
    <w:rsid w:val="00E46A83"/>
    <w:rsid w:val="00E52562"/>
    <w:rsid w:val="00E54057"/>
    <w:rsid w:val="00E541AA"/>
    <w:rsid w:val="00E56D7E"/>
    <w:rsid w:val="00E62601"/>
    <w:rsid w:val="00E651F4"/>
    <w:rsid w:val="00E712E4"/>
    <w:rsid w:val="00E7522E"/>
    <w:rsid w:val="00E756BB"/>
    <w:rsid w:val="00E82A61"/>
    <w:rsid w:val="00E83001"/>
    <w:rsid w:val="00E86BFA"/>
    <w:rsid w:val="00E9136E"/>
    <w:rsid w:val="00E92569"/>
    <w:rsid w:val="00E93C26"/>
    <w:rsid w:val="00E9689B"/>
    <w:rsid w:val="00EA0FDD"/>
    <w:rsid w:val="00EA17D7"/>
    <w:rsid w:val="00EA3830"/>
    <w:rsid w:val="00EA3993"/>
    <w:rsid w:val="00EB0983"/>
    <w:rsid w:val="00EB0F52"/>
    <w:rsid w:val="00EB345F"/>
    <w:rsid w:val="00EB4EEC"/>
    <w:rsid w:val="00EC02B5"/>
    <w:rsid w:val="00EC48E7"/>
    <w:rsid w:val="00EC7F71"/>
    <w:rsid w:val="00ED1769"/>
    <w:rsid w:val="00ED2198"/>
    <w:rsid w:val="00ED2963"/>
    <w:rsid w:val="00ED3161"/>
    <w:rsid w:val="00ED4C6D"/>
    <w:rsid w:val="00ED4E74"/>
    <w:rsid w:val="00EE3275"/>
    <w:rsid w:val="00EE7415"/>
    <w:rsid w:val="00EF0391"/>
    <w:rsid w:val="00EF2C94"/>
    <w:rsid w:val="00EF7239"/>
    <w:rsid w:val="00F00F32"/>
    <w:rsid w:val="00F0322D"/>
    <w:rsid w:val="00F0408E"/>
    <w:rsid w:val="00F04871"/>
    <w:rsid w:val="00F12F37"/>
    <w:rsid w:val="00F22E87"/>
    <w:rsid w:val="00F40BD5"/>
    <w:rsid w:val="00F455D4"/>
    <w:rsid w:val="00F45E29"/>
    <w:rsid w:val="00F46168"/>
    <w:rsid w:val="00F503E6"/>
    <w:rsid w:val="00F53FBF"/>
    <w:rsid w:val="00F544AC"/>
    <w:rsid w:val="00F60260"/>
    <w:rsid w:val="00F651BF"/>
    <w:rsid w:val="00F6601D"/>
    <w:rsid w:val="00F675FD"/>
    <w:rsid w:val="00F71A9E"/>
    <w:rsid w:val="00F739B0"/>
    <w:rsid w:val="00F74408"/>
    <w:rsid w:val="00F74856"/>
    <w:rsid w:val="00F81F44"/>
    <w:rsid w:val="00F9544E"/>
    <w:rsid w:val="00F9603E"/>
    <w:rsid w:val="00FA2749"/>
    <w:rsid w:val="00FA3378"/>
    <w:rsid w:val="00FA4017"/>
    <w:rsid w:val="00FA67ED"/>
    <w:rsid w:val="00FB0E1B"/>
    <w:rsid w:val="00FB16F3"/>
    <w:rsid w:val="00FB45EE"/>
    <w:rsid w:val="00FB5467"/>
    <w:rsid w:val="00FB6D9A"/>
    <w:rsid w:val="00FB7C20"/>
    <w:rsid w:val="00FC192F"/>
    <w:rsid w:val="00FC44B2"/>
    <w:rsid w:val="00FC66CE"/>
    <w:rsid w:val="00FD0EE2"/>
    <w:rsid w:val="00FD4AC0"/>
    <w:rsid w:val="00FD598D"/>
    <w:rsid w:val="00FD5E3C"/>
    <w:rsid w:val="00FD7A66"/>
    <w:rsid w:val="00FE1203"/>
    <w:rsid w:val="00FE1DCB"/>
    <w:rsid w:val="00FE2E48"/>
    <w:rsid w:val="00FE3091"/>
    <w:rsid w:val="4DE93206"/>
    <w:rsid w:val="574910D7"/>
    <w:rsid w:val="AB645910"/>
    <w:rsid w:val="E2F349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customStyle="1" w:styleId="12">
    <w:name w:val="Table Normal"/>
    <w:semiHidden/>
    <w:unhideWhenUsed/>
    <w:qFormat/>
    <w:uiPriority w:val="2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484</Words>
  <Characters>2760</Characters>
  <Lines>23</Lines>
  <Paragraphs>6</Paragraphs>
  <TotalTime>1190</TotalTime>
  <ScaleCrop>false</ScaleCrop>
  <LinksUpToDate>false</LinksUpToDate>
  <CharactersWithSpaces>3238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2020-01-07T02:32:00Z</dcterms:created>
  <dc:creator>China</dc:creator>
  <cp:lastModifiedBy>administrator</cp:lastModifiedBy>
  <dcterms:modified xsi:type="dcterms:W3CDTF">2024-01-25T08:49:40Z</dcterms:modified>
  <cp:revision>3169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C98A82D1A6B84DE69D41B0E6BC5409D6</vt:lpwstr>
  </property>
</Properties>
</file>