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hint="eastAsia" w:ascii="微软雅黑" w:hAnsi="微软雅黑" w:eastAsia="微软雅黑" w:cs="微软雅黑"/>
          <w:b/>
          <w:bCs/>
          <w:i w:val="0"/>
          <w:iCs w:val="0"/>
          <w:caps w:val="0"/>
          <w:color w:val="333333"/>
          <w:spacing w:val="0"/>
          <w:sz w:val="42"/>
          <w:szCs w:val="42"/>
        </w:rPr>
      </w:pPr>
      <w:r>
        <w:rPr>
          <w:rFonts w:hint="eastAsia" w:ascii="微软雅黑" w:hAnsi="微软雅黑" w:eastAsia="微软雅黑" w:cs="微软雅黑"/>
          <w:b/>
          <w:bCs/>
          <w:i w:val="0"/>
          <w:iCs w:val="0"/>
          <w:caps w:val="0"/>
          <w:color w:val="333333"/>
          <w:spacing w:val="0"/>
          <w:sz w:val="42"/>
          <w:szCs w:val="42"/>
          <w:lang w:eastAsia="zh-CN"/>
        </w:rPr>
        <w:t>临淄区</w:t>
      </w:r>
      <w:r>
        <w:rPr>
          <w:rFonts w:hint="eastAsia" w:ascii="微软雅黑" w:hAnsi="微软雅黑" w:eastAsia="微软雅黑" w:cs="微软雅黑"/>
          <w:b/>
          <w:bCs/>
          <w:i w:val="0"/>
          <w:iCs w:val="0"/>
          <w:caps w:val="0"/>
          <w:color w:val="333333"/>
          <w:spacing w:val="0"/>
          <w:sz w:val="42"/>
          <w:szCs w:val="42"/>
        </w:rPr>
        <w:t>市场监督管理局药品</w:t>
      </w:r>
      <w:r>
        <w:rPr>
          <w:rFonts w:hint="eastAsia" w:ascii="微软雅黑" w:hAnsi="微软雅黑" w:eastAsia="微软雅黑" w:cs="微软雅黑"/>
          <w:b/>
          <w:bCs/>
          <w:i w:val="0"/>
          <w:iCs w:val="0"/>
          <w:caps w:val="0"/>
          <w:color w:val="333333"/>
          <w:spacing w:val="0"/>
          <w:sz w:val="42"/>
          <w:szCs w:val="42"/>
          <w:lang w:eastAsia="zh-CN"/>
        </w:rPr>
        <w:t>、</w:t>
      </w:r>
      <w:r>
        <w:rPr>
          <w:rFonts w:hint="eastAsia" w:ascii="微软雅黑" w:hAnsi="微软雅黑" w:eastAsia="微软雅黑" w:cs="微软雅黑"/>
          <w:b/>
          <w:bCs/>
          <w:i w:val="0"/>
          <w:iCs w:val="0"/>
          <w:caps w:val="0"/>
          <w:color w:val="333333"/>
          <w:spacing w:val="0"/>
          <w:sz w:val="42"/>
          <w:szCs w:val="42"/>
        </w:rPr>
        <w:t>医疗器械经营</w:t>
      </w:r>
      <w:r>
        <w:rPr>
          <w:rFonts w:hint="eastAsia" w:ascii="微软雅黑" w:hAnsi="微软雅黑" w:eastAsia="微软雅黑" w:cs="微软雅黑"/>
          <w:b/>
          <w:bCs/>
          <w:i w:val="0"/>
          <w:iCs w:val="0"/>
          <w:caps w:val="0"/>
          <w:color w:val="333333"/>
          <w:spacing w:val="0"/>
          <w:sz w:val="42"/>
          <w:szCs w:val="42"/>
          <w:lang w:eastAsia="zh-CN"/>
        </w:rPr>
        <w:t>使用环节</w:t>
      </w:r>
      <w:bookmarkStart w:id="0" w:name="_GoBack"/>
      <w:bookmarkEnd w:id="0"/>
      <w:r>
        <w:rPr>
          <w:rFonts w:hint="eastAsia" w:ascii="微软雅黑" w:hAnsi="微软雅黑" w:eastAsia="微软雅黑" w:cs="微软雅黑"/>
          <w:b/>
          <w:bCs/>
          <w:i w:val="0"/>
          <w:iCs w:val="0"/>
          <w:caps w:val="0"/>
          <w:color w:val="333333"/>
          <w:spacing w:val="0"/>
          <w:sz w:val="42"/>
          <w:szCs w:val="42"/>
        </w:rPr>
        <w:t>监督检查制度</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20" w:beforeAutospacing="0" w:after="390" w:afterAutospacing="0" w:line="400" w:lineRule="exact"/>
        <w:ind w:left="0" w:right="0" w:firstLine="0"/>
        <w:jc w:val="left"/>
        <w:textAlignment w:val="auto"/>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日常检查。按要求制定日常监督检查计划，根据辖区内药品零售企业（含连锁门店）、药品使用单位、疾控机构及预防接种单位、医疗器械经营使用单位情况，确定检查频次和检查单位数量，对辖区药品、医疗器械经营使用单位的年度监督检查比例不低于40%，3年实现监督检查全覆盖。同时，对第二类精神药品等特殊药品零售企业每年检查次数不少于4次；对医疗用毒性药品零售企业每年检查次数不少于2次；对疾控机构、预防接种单位每年检查实现全覆盖，对疫苗配送单位开展延伸检查。对新开办、增加经营范围或有重大事项变化的经营企业，及经济效益较差易降低标准违规经营使用的企业单位可增加检查频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60" w:beforeAutospacing="0" w:after="0" w:afterAutospacing="0" w:line="400" w:lineRule="exact"/>
        <w:ind w:right="0"/>
        <w:textAlignment w:val="auto"/>
        <w:rPr>
          <w:sz w:val="24"/>
          <w:szCs w:val="24"/>
        </w:rPr>
      </w:pPr>
      <w:r>
        <w:rPr>
          <w:rFonts w:hint="eastAsia" w:ascii="微软雅黑" w:hAnsi="微软雅黑" w:eastAsia="微软雅黑" w:cs="微软雅黑"/>
          <w:i w:val="0"/>
          <w:iCs w:val="0"/>
          <w:caps w:val="0"/>
          <w:color w:val="000000"/>
          <w:spacing w:val="0"/>
          <w:sz w:val="24"/>
          <w:szCs w:val="24"/>
          <w:shd w:val="clear" w:fill="FFFFFF"/>
        </w:rPr>
        <w:t>2.有因检查。根据各类风险信息和工作需要，积极开展以飞行检查为主要检查形式的有因检查。涉及重大风险隐患的，在做好风险管控的同时，要及时报告市局。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60" w:beforeAutospacing="0" w:after="0" w:afterAutospacing="0" w:line="400" w:lineRule="exact"/>
        <w:ind w:right="0"/>
        <w:textAlignment w:val="auto"/>
        <w:rPr>
          <w:sz w:val="24"/>
          <w:szCs w:val="24"/>
        </w:rPr>
      </w:pPr>
      <w:r>
        <w:rPr>
          <w:rFonts w:hint="eastAsia" w:ascii="微软雅黑" w:hAnsi="微软雅黑" w:eastAsia="微软雅黑" w:cs="微软雅黑"/>
          <w:i w:val="0"/>
          <w:iCs w:val="0"/>
          <w:caps w:val="0"/>
          <w:color w:val="000000"/>
          <w:spacing w:val="0"/>
          <w:sz w:val="24"/>
          <w:szCs w:val="24"/>
          <w:shd w:val="clear" w:fill="FFFFFF"/>
        </w:rPr>
        <w:t>3.整改复查。协助淄博市局做好检查工作，负责监督相关企业单位对市局检查发现缺陷项目进行整改并组织现场复查。原则上检查结束后20个工作日内将整改报告和复查意见报市局。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60" w:beforeAutospacing="0" w:after="0" w:afterAutospacing="0" w:line="400" w:lineRule="exact"/>
        <w:ind w:right="0"/>
        <w:textAlignment w:val="auto"/>
        <w:rPr>
          <w:sz w:val="24"/>
          <w:szCs w:val="24"/>
        </w:rPr>
      </w:pPr>
      <w:r>
        <w:rPr>
          <w:rFonts w:hint="eastAsia" w:ascii="微软雅黑" w:hAnsi="微软雅黑" w:eastAsia="微软雅黑" w:cs="微软雅黑"/>
          <w:i w:val="0"/>
          <w:iCs w:val="0"/>
          <w:caps w:val="0"/>
          <w:color w:val="000000"/>
          <w:spacing w:val="0"/>
          <w:sz w:val="24"/>
          <w:szCs w:val="24"/>
          <w:shd w:val="clear" w:fill="FFFFFF"/>
        </w:rPr>
        <w:t>4.符合性检查。按照淄博市局工作计划，负责对辖区内药品零售企业具体开展符合性检查。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DD300D"/>
    <w:multiLevelType w:val="singleLevel"/>
    <w:tmpl w:val="7ADD300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D2E54"/>
    <w:rsid w:val="0C685632"/>
    <w:rsid w:val="0FB07C87"/>
    <w:rsid w:val="113157A4"/>
    <w:rsid w:val="1D2F0DEE"/>
    <w:rsid w:val="24F95160"/>
    <w:rsid w:val="26BB79A5"/>
    <w:rsid w:val="2787021B"/>
    <w:rsid w:val="2B090AC2"/>
    <w:rsid w:val="2DB479B4"/>
    <w:rsid w:val="30323F96"/>
    <w:rsid w:val="39744EFD"/>
    <w:rsid w:val="42E67090"/>
    <w:rsid w:val="4A812A67"/>
    <w:rsid w:val="50472AC1"/>
    <w:rsid w:val="7F1C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2022-12-30T07:42:00Z</dcterms:created>
  <dc:creator>Administrator</dc:creator>
  <cp:lastModifiedBy>Administrator</cp:lastModifiedBy>
  <dcterms:modified xsi:type="dcterms:W3CDTF">2022-12-30T09:07:49Z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