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hint="eastAsia" w:ascii="Arial" w:hAnsi="Arial" w:cs="Arial"/>
          <w:b w:val="0"/>
          <w:i w:val="0"/>
          <w:caps w:val="0"/>
          <w:color w:val="000000"/>
          <w:spacing w:val="0"/>
          <w:sz w:val="24"/>
          <w:szCs w:val="24"/>
        </w:rPr>
      </w:pPr>
      <w:r>
        <w:rPr>
          <w:rFonts w:ascii="黑体" w:hAnsi="宋体" w:eastAsia="黑体" w:cs="黑体"/>
          <w:b w:val="0"/>
          <w:i w:val="0"/>
          <w:caps w:val="0"/>
          <w:color w:val="000000"/>
          <w:spacing w:val="0"/>
          <w:kern w:val="0"/>
          <w:sz w:val="44"/>
          <w:szCs w:val="44"/>
          <w:lang w:val="en-US" w:eastAsia="zh-CN" w:bidi="ar"/>
        </w:rPr>
        <w:t>行政执法主体资格清单</w:t>
      </w:r>
    </w:p>
    <w:p>
      <w:pPr>
        <w:keepNext w:val="0"/>
        <w:keepLines w:val="0"/>
        <w:widowControl/>
        <w:suppressLineNumbers w:val="0"/>
        <w:spacing w:before="0" w:beforeAutospacing="1" w:after="0" w:afterAutospacing="1"/>
        <w:ind w:left="0" w:right="0" w:firstLine="0"/>
        <w:jc w:val="left"/>
        <w:rPr>
          <w:rFonts w:hint="default" w:ascii="Arial" w:hAnsi="Arial" w:cs="Arial"/>
          <w:b w:val="0"/>
          <w:i w:val="0"/>
          <w:caps w:val="0"/>
          <w:color w:val="000000"/>
          <w:spacing w:val="0"/>
          <w:sz w:val="24"/>
          <w:szCs w:val="24"/>
        </w:rPr>
      </w:pPr>
      <w:r>
        <w:rPr>
          <w:rFonts w:hint="eastAsia" w:ascii="宋体" w:hAnsi="宋体" w:eastAsia="宋体" w:cs="宋体"/>
          <w:b w:val="0"/>
          <w:i w:val="0"/>
          <w:caps w:val="0"/>
          <w:color w:val="000000"/>
          <w:spacing w:val="0"/>
          <w:kern w:val="0"/>
          <w:sz w:val="30"/>
          <w:szCs w:val="30"/>
          <w:lang w:val="en-US" w:eastAsia="zh-CN" w:bidi="ar"/>
        </w:rPr>
        <w:t>填报单位：临淄区食品药品监督管理局</w:t>
      </w:r>
    </w:p>
    <w:tbl>
      <w:tblPr>
        <w:tblStyle w:val="3"/>
        <w:tblW w:w="8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5"/>
        <w:gridCol w:w="6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机构名称</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0"/>
                <w:szCs w:val="30"/>
                <w:lang w:val="en-US" w:eastAsia="zh-CN" w:bidi="ar"/>
              </w:rPr>
              <w:t>临淄区食品药品监督管理局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机构性质</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行政机关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受委托组织基本信息</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经费来源</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编制状况</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lang w:val="en-US"/>
              </w:rPr>
            </w:pPr>
            <w:r>
              <w:rPr>
                <w:rFonts w:hint="eastAsia" w:ascii="宋体" w:hAnsi="宋体" w:eastAsia="宋体" w:cs="宋体"/>
                <w:b w:val="0"/>
                <w:i w:val="0"/>
                <w:caps w:val="0"/>
                <w:color w:val="000000"/>
                <w:spacing w:val="0"/>
                <w:kern w:val="0"/>
                <w:sz w:val="32"/>
                <w:szCs w:val="32"/>
                <w:lang w:val="en-US" w:eastAsia="zh-CN" w:bidi="ar"/>
              </w:rPr>
              <w:t>行政编制100、事业编制18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主体类别</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一级执法主体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val="0"/>
                <w:i w:val="0"/>
                <w:caps w:val="0"/>
                <w:color w:val="000000"/>
                <w:spacing w:val="0"/>
                <w:kern w:val="0"/>
                <w:sz w:val="32"/>
                <w:szCs w:val="32"/>
                <w:lang w:val="en-US" w:eastAsia="zh-CN" w:bidi="ar"/>
              </w:rPr>
              <w:t>职责权限</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一）贯彻实施国家和省、市食品（含食品添加剂、保健食品、酒类，下同）安全、药品（含中药、民族药，下同）、医疗器械、化妆品监督管理法律、法规、规章和相关规划、政策，组织拟订相关规范性文件并监</w:t>
            </w:r>
            <w:bookmarkStart w:id="0" w:name="_GoBack"/>
            <w:bookmarkEnd w:id="0"/>
            <w:r>
              <w:rPr>
                <w:rFonts w:hint="eastAsia" w:ascii="宋体" w:hAnsi="宋体" w:eastAsia="宋体" w:cs="宋体"/>
                <w:b w:val="0"/>
                <w:i w:val="0"/>
                <w:caps w:val="0"/>
                <w:color w:val="000000"/>
                <w:spacing w:val="0"/>
                <w:kern w:val="0"/>
                <w:sz w:val="24"/>
                <w:szCs w:val="24"/>
                <w:lang w:val="en-US" w:eastAsia="zh-CN" w:bidi="ar"/>
              </w:rPr>
              <w:t>督实施；推动建立落实食品药品安全企业主体责任、乡镇人民政府（街道办事处）负总责的机制，建立食品药品重大信息直报制度并组织实施，防范区域性、系统性食品药品安全风险。</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二）负责实施和监督食品生产、流通和餐饮服务环节食品行政许可；建立食品安全隐患排查治理机制，制定全区食品安全检查年度计划、重大整顿治理方案并组织落实；组织实施食品安全信息统一公布制度，公布区内重大食品安全信息；组织开展食品安全监督抽样检验工作。</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三）监督实施国家药典等药品和医疗器械标准及分类管理制度；监督实施药品和医疗器械研制、生产、经营、使用质量管理规范；组织开展药品监督抽样检验工作；建立药品和化妆品不良反应、医疗器械不良事件监测体系并开展监测和处置工作；配合实施国家基本药物制度；监督实施中药饮片炮制规范；组织实施国家化妆品监督管理办法；组织实施执业药师制度。</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（四）负责制定食品、药品、医疗器械、化妆品监督管理的稽查制度并组织实施，组织查处重大违法行为；完善行政执法与刑事司法衔接机制；建立问题产品召回和处置制度并监督实施。</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（五）负责重大食品药品安全事故应急体系建设，组织、指导重大食品药品安全事故应急处置和调查处理工作，监督事故查处落实情况。</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（六）负责制定全区食品药品安全科技发展政策措施并组织实施，推动食品药品检验检测体系、食品药品电子监管追溯体系和信息化建设。</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（七）负责开展食品药品安全宣传、教育培训；推进诚信体系建设。</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（八）掌握分析食品、药品、医疗器械、化妆品安全形势和存在问题，提出完善制度机制和改革工作的建议；指导乡镇（街道）食品药品监督管理工作。</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九）承担区食品安全委员会日常工作；负责食品安全监督管理综合协调，健全协调联动机制；督促检查食品安全法律法规和区食品安全委员会决策部署的贯彻落实情况；督促检查乡镇（街道）履行食品安全监督管理职责并负责考核评价。</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（十）承办区委、区政府以及区食品安全委员会交办的其他事项。</w:t>
            </w:r>
          </w:p>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24"/>
                <w:szCs w:val="24"/>
                <w:lang w:val="en-US" w:eastAsia="zh-CN" w:bidi="ar"/>
              </w:rPr>
              <w:t>(十一)根据鲁发[2009]18 号文件“权责一致、有权必有责”的要求，区食品药品监督管理局在负责上述工作的同时必须对行政“不作为”“乱作为”和“慢作为”所造成的影响和后果承担相应的责任。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b w:val="0"/>
                <w:i w:val="0"/>
                <w:caps w:val="0"/>
                <w:color w:val="000000"/>
                <w:spacing w:val="0"/>
                <w:kern w:val="0"/>
                <w:sz w:val="32"/>
                <w:szCs w:val="32"/>
                <w:lang w:val="en-US" w:eastAsia="zh-CN" w:bidi="ar"/>
              </w:rPr>
            </w:pPr>
            <w:r>
              <w:rPr>
                <w:rFonts w:hint="eastAsia" w:ascii="宋体" w:hAnsi="宋体" w:eastAsia="宋体" w:cs="宋体"/>
                <w:b w:val="0"/>
                <w:i w:val="0"/>
                <w:caps w:val="0"/>
                <w:color w:val="000000"/>
                <w:spacing w:val="0"/>
                <w:kern w:val="0"/>
                <w:sz w:val="32"/>
                <w:szCs w:val="32"/>
                <w:lang w:val="en-US" w:eastAsia="zh-CN" w:bidi="ar"/>
              </w:rPr>
              <w:t>法定代表人</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rFonts w:hint="eastAsia" w:ascii="宋体" w:hAnsi="宋体" w:eastAsia="宋体" w:cs="宋体"/>
                <w:b w:val="0"/>
                <w:i w:val="0"/>
                <w:caps w:val="0"/>
                <w:color w:val="000000"/>
                <w:spacing w:val="0"/>
                <w:kern w:val="0"/>
                <w:sz w:val="32"/>
                <w:szCs w:val="32"/>
                <w:lang w:val="en-US" w:eastAsia="zh-CN" w:bidi="ar"/>
              </w:rPr>
            </w:pPr>
            <w:r>
              <w:rPr>
                <w:rFonts w:hint="eastAsia" w:ascii="宋体" w:hAnsi="宋体" w:eastAsia="宋体" w:cs="宋体"/>
                <w:b w:val="0"/>
                <w:i w:val="0"/>
                <w:caps w:val="0"/>
                <w:color w:val="000000"/>
                <w:spacing w:val="0"/>
                <w:kern w:val="0"/>
                <w:sz w:val="32"/>
                <w:szCs w:val="32"/>
                <w:lang w:val="en-US" w:eastAsia="zh-CN" w:bidi="ar"/>
              </w:rPr>
              <w:t>赵家富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单位地址</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lang w:val="en-US"/>
              </w:rPr>
            </w:pPr>
            <w:r>
              <w:rPr>
                <w:rFonts w:hint="eastAsia" w:ascii="宋体" w:hAnsi="宋体" w:eastAsia="宋体" w:cs="宋体"/>
                <w:b w:val="0"/>
                <w:i w:val="0"/>
                <w:caps w:val="0"/>
                <w:color w:val="000000"/>
                <w:spacing w:val="0"/>
                <w:kern w:val="0"/>
                <w:sz w:val="32"/>
                <w:szCs w:val="32"/>
                <w:lang w:val="en-US" w:eastAsia="zh-CN" w:bidi="ar"/>
              </w:rPr>
              <w:t>临淄区管仲路181号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宋体" w:hAnsi="宋体" w:eastAsia="宋体" w:cs="宋体"/>
                <w:b w:val="0"/>
                <w:i w:val="0"/>
                <w:caps w:val="0"/>
                <w:color w:val="000000"/>
                <w:spacing w:val="0"/>
                <w:kern w:val="0"/>
                <w:sz w:val="32"/>
                <w:szCs w:val="32"/>
                <w:lang w:val="en-US" w:eastAsia="zh-CN" w:bidi="ar"/>
              </w:rPr>
              <w:t>投诉电话</w:t>
            </w:r>
          </w:p>
        </w:tc>
        <w:tc>
          <w:tcPr>
            <w:tcW w:w="6442"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1" w:after="0" w:afterAutospacing="1"/>
              <w:ind w:left="0" w:right="0"/>
              <w:jc w:val="left"/>
              <w:rPr>
                <w:lang w:val="en-US"/>
              </w:rPr>
            </w:pPr>
            <w:r>
              <w:rPr>
                <w:rFonts w:hint="eastAsia" w:ascii="宋体" w:hAnsi="宋体" w:eastAsia="宋体" w:cs="宋体"/>
                <w:b w:val="0"/>
                <w:i w:val="0"/>
                <w:caps w:val="0"/>
                <w:color w:val="000000"/>
                <w:spacing w:val="0"/>
                <w:kern w:val="0"/>
                <w:sz w:val="32"/>
                <w:szCs w:val="32"/>
                <w:lang w:val="en-US" w:eastAsia="zh-CN" w:bidi="ar"/>
              </w:rPr>
              <w:t>12331、0533-7183501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75C9"/>
    <w:rsid w:val="06C575C9"/>
    <w:rsid w:val="070731A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2018-08-01T02:43:00Z</dcterms:created>
  <dc:creator>Administrator</dc:creator>
  <cp:lastModifiedBy>Administrator</cp:lastModifiedBy>
  <cp:lastPrinted>2018-08-14T01:02:19Z</cp:lastPrinted>
  <dcterms:modified xsi:type="dcterms:W3CDTF">2018-08-14T01:22:39Z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