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9070F">
      <w:pPr>
        <w:spacing w:before="480" w:after="480" w:line="288" w:lineRule="auto"/>
        <w:ind w:left="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临淄区司法局2025年政府信息公开工作年度报告</w:t>
      </w:r>
    </w:p>
    <w:p w14:paraId="65C69C83">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本报告所统计的数据时限为2025年1月1日起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至2025年12月31日止。如对报告内容有疑问，请与淄博市临淄区司法局联系（地址：山东省淄博市临淄区牛山路9号；邮编：255400；电话：0533-7220377；邮</w:t>
      </w:r>
      <w:r>
        <w:rPr>
          <w:rFonts w:hint="eastAsia" w:ascii="仿宋_GB2312" w:hAnsi="仿宋_GB2312" w:eastAsia="仿宋_GB2312" w:cs="仿宋_GB2312"/>
          <w:sz w:val="32"/>
          <w:szCs w:val="32"/>
          <w:lang w:eastAsia="zh-CN"/>
        </w:rPr>
        <w:t>箱：</w:t>
      </w:r>
      <w:r>
        <w:rPr>
          <w:rFonts w:hint="eastAsia" w:ascii="仿宋_GB2312" w:hAnsi="仿宋_GB2312" w:eastAsia="仿宋_GB2312" w:cs="仿宋_GB2312"/>
          <w:sz w:val="32"/>
          <w:szCs w:val="32"/>
        </w:rPr>
        <w:t>lzqsfjbgs@zb.shandong.cn）。</w:t>
      </w:r>
    </w:p>
    <w:p w14:paraId="1DA5936C">
      <w:pPr>
        <w:keepNext w:val="0"/>
        <w:keepLines w:val="0"/>
        <w:pageBreakBefore w:val="0"/>
        <w:widowControl w:val="0"/>
        <w:kinsoku/>
        <w:wordWrap/>
        <w:overflowPunct/>
        <w:topLinePunct w:val="0"/>
        <w:autoSpaceDE/>
        <w:autoSpaceDN/>
        <w:bidi w:val="0"/>
        <w:adjustRightInd/>
        <w:snapToGrid/>
        <w:spacing w:before="380" w:after="140" w:line="560" w:lineRule="exact"/>
        <w:ind w:left="0" w:firstLine="640" w:firstLineChars="200"/>
        <w:jc w:val="left"/>
        <w:textAlignment w:val="auto"/>
        <w:outlineLvl w:val="0"/>
        <w:rPr>
          <w:rFonts w:hint="eastAsia" w:ascii="黑体" w:hAnsi="黑体" w:eastAsia="黑体" w:cs="黑体"/>
          <w:b w:val="0"/>
          <w:bCs/>
          <w:sz w:val="32"/>
          <w:szCs w:val="32"/>
        </w:rPr>
      </w:pPr>
      <w:bookmarkStart w:id="0" w:name="heading_0"/>
      <w:r>
        <w:rPr>
          <w:rFonts w:hint="eastAsia" w:ascii="黑体" w:hAnsi="黑体" w:eastAsia="黑体" w:cs="黑体"/>
          <w:b w:val="0"/>
          <w:bCs/>
          <w:sz w:val="32"/>
          <w:szCs w:val="32"/>
        </w:rPr>
        <w:t>一、总体情况</w:t>
      </w:r>
      <w:bookmarkEnd w:id="0"/>
    </w:p>
    <w:p w14:paraId="6E8C83EB">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color w:val="auto"/>
          <w:sz w:val="32"/>
          <w:szCs w:val="32"/>
        </w:rPr>
        <w:t>临淄区司法局全面贯彻落实党的二十大精神和党的二十届</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中全会精神，</w:t>
      </w:r>
      <w:r>
        <w:rPr>
          <w:rFonts w:hint="eastAsia" w:ascii="仿宋_GB2312" w:hAnsi="仿宋_GB2312" w:eastAsia="仿宋_GB2312" w:cs="仿宋_GB2312"/>
          <w:sz w:val="32"/>
          <w:szCs w:val="32"/>
        </w:rPr>
        <w:t>根据临淄区人民政府办公室《临淄区人民政府办公室关于印发2025年临淄区政务公开工作方案的通知》部署要求，以公开常态化为总抓手，认真贯彻落实《中华人民共和国政府信息公开条例》，以公开促落实、促规范、促服务，不断提高政府依法行政、透明行政、高效廉洁行政的能力和水平。</w:t>
      </w:r>
    </w:p>
    <w:p w14:paraId="4D7387F9">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楷体_GB2312" w:hAnsi="楷体_GB2312" w:eastAsia="楷体_GB2312" w:cs="楷体_GB2312"/>
          <w:b w:val="0"/>
          <w:bCs/>
          <w:sz w:val="32"/>
          <w:szCs w:val="32"/>
          <w:lang w:eastAsia="zh-CN"/>
        </w:rPr>
      </w:pPr>
      <w:bookmarkStart w:id="1" w:name="heading_1"/>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主动公开</w:t>
      </w:r>
      <w:bookmarkEnd w:id="1"/>
    </w:p>
    <w:p w14:paraId="65674376">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2025年，区司法局通过临淄区政府网站、“临淄司法行政”头条号等渠道及时公布各类信息，涵盖机构职能、规划计划文件、法治政府建设、公共法律服务、普法宣传等工作，全年依托政府网站发布信息7</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条，通过新媒体平台发布普法及政务信息120余条。</w:t>
      </w:r>
    </w:p>
    <w:p w14:paraId="1124B836">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楷体_GB2312" w:hAnsi="楷体_GB2312" w:eastAsia="楷体_GB2312" w:cs="楷体_GB2312"/>
          <w:b w:val="0"/>
          <w:bCs/>
          <w:sz w:val="32"/>
          <w:szCs w:val="32"/>
          <w:lang w:eastAsia="zh-CN"/>
        </w:rPr>
      </w:pPr>
      <w:bookmarkStart w:id="2" w:name="heading_2"/>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二）</w:t>
      </w:r>
      <w:r>
        <w:rPr>
          <w:rFonts w:hint="eastAsia" w:ascii="楷体_GB2312" w:hAnsi="楷体_GB2312" w:eastAsia="楷体_GB2312" w:cs="楷体_GB2312"/>
          <w:b w:val="0"/>
          <w:bCs/>
          <w:sz w:val="32"/>
          <w:szCs w:val="32"/>
          <w:lang w:eastAsia="zh-CN"/>
        </w:rPr>
        <w:t>依申请公开工作</w:t>
      </w:r>
      <w:bookmarkEnd w:id="2"/>
    </w:p>
    <w:p w14:paraId="31206429">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我局高度重视依申请公开工作，全力满足群众需求，明确由局办公室具体负责办理依申请公开事项，规范申请受理、审查、处理、答复全流程管理。</w:t>
      </w:r>
    </w:p>
    <w:p w14:paraId="33597657">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楷体_GB2312" w:hAnsi="楷体_GB2312" w:eastAsia="楷体_GB2312" w:cs="楷体_GB2312"/>
          <w:b w:val="0"/>
          <w:bCs/>
          <w:sz w:val="32"/>
          <w:szCs w:val="32"/>
          <w:lang w:eastAsia="zh-CN"/>
        </w:rPr>
      </w:pPr>
      <w:bookmarkStart w:id="3" w:name="heading_3"/>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lang w:eastAsia="zh-CN"/>
        </w:rPr>
        <w:t>政府信息管理</w:t>
      </w:r>
      <w:bookmarkEnd w:id="3"/>
    </w:p>
    <w:p w14:paraId="7362B555">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区司法局持续完善工作体制机制，细化分工，压实工作责任，进一步完善政府信息发布的审核流程，严格落实信息发布“三审”制度，确保发布信息内容的准确性；根据上级要求和工作实际，及时修订完善《临淄区司法局政府信息主动公开基本目录》，对公开栏目进行动态维护更新，不断强化政府信息管理工作。</w:t>
      </w:r>
    </w:p>
    <w:p w14:paraId="3D5D39CD">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楷体_GB2312" w:hAnsi="楷体_GB2312" w:eastAsia="楷体_GB2312" w:cs="楷体_GB2312"/>
          <w:b w:val="0"/>
          <w:bCs/>
          <w:sz w:val="32"/>
          <w:szCs w:val="32"/>
          <w:lang w:eastAsia="zh-CN"/>
        </w:rPr>
      </w:pPr>
      <w:bookmarkStart w:id="4" w:name="heading_4"/>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四）</w:t>
      </w:r>
      <w:r>
        <w:rPr>
          <w:rFonts w:hint="eastAsia" w:ascii="楷体_GB2312" w:hAnsi="楷体_GB2312" w:eastAsia="楷体_GB2312" w:cs="楷体_GB2312"/>
          <w:b w:val="0"/>
          <w:bCs/>
          <w:sz w:val="32"/>
          <w:szCs w:val="32"/>
          <w:lang w:eastAsia="zh-CN"/>
        </w:rPr>
        <w:t>平台建设</w:t>
      </w:r>
      <w:bookmarkEnd w:id="4"/>
    </w:p>
    <w:p w14:paraId="687A1AF7">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我局依托临淄区政府官方门户网站的政务公开专栏作为我区司法行政系统信息公开的主平台，持续做好网上政府信息公开工作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线下充分利用临淄区公共法律服务中心政务公开窗口、法治宣传“七进”、“法语春风”法治公开课等各类主题宣传活动，现场以案释法并公开政务信息，进一步加大法治宣传力度，不断提高政府信息公开的深度和广度。</w:t>
      </w:r>
    </w:p>
    <w:p w14:paraId="3127CFE2">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楷体_GB2312" w:hAnsi="楷体_GB2312" w:eastAsia="楷体_GB2312" w:cs="楷体_GB2312"/>
          <w:b w:val="0"/>
          <w:bCs/>
          <w:sz w:val="32"/>
          <w:szCs w:val="32"/>
          <w:lang w:eastAsia="zh-CN"/>
        </w:rPr>
      </w:pPr>
      <w:bookmarkStart w:id="5" w:name="heading_5"/>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五）</w:t>
      </w:r>
      <w:r>
        <w:rPr>
          <w:rFonts w:hint="eastAsia" w:ascii="楷体_GB2312" w:hAnsi="楷体_GB2312" w:eastAsia="楷体_GB2312" w:cs="楷体_GB2312"/>
          <w:b w:val="0"/>
          <w:bCs/>
          <w:sz w:val="32"/>
          <w:szCs w:val="32"/>
          <w:lang w:eastAsia="zh-CN"/>
        </w:rPr>
        <w:t>监督保障</w:t>
      </w:r>
      <w:bookmarkEnd w:id="5"/>
    </w:p>
    <w:p w14:paraId="04E411FF">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深入落实上级关于全面推进政府信息公开工作的新要求，将政府信息发布工作列入区司法行政2025年度工作要点和全年工作任务考核目标，建立工作台账，每月调度工作进展情况。梳理完成《临淄区司法局政务公开工作任务台账》，进一步明确司法局政府信息公开的内容、时限、依据、形式、主体等要素，全年组织政务公开工作业务培训会2次，认真做好日常考核和整改“回头看”，督促有关科室对照目录履行信息公开职责。</w:t>
      </w:r>
    </w:p>
    <w:p w14:paraId="33ED0691">
      <w:pPr>
        <w:numPr>
          <w:ilvl w:val="0"/>
          <w:numId w:val="0"/>
        </w:numPr>
        <w:spacing w:before="380" w:after="140" w:line="288" w:lineRule="auto"/>
        <w:ind w:firstLine="640" w:firstLineChars="200"/>
        <w:jc w:val="left"/>
        <w:outlineLvl w:val="0"/>
        <w:rPr>
          <w:rFonts w:hint="eastAsia" w:ascii="黑体" w:hAnsi="黑体" w:eastAsia="黑体" w:cs="黑体"/>
          <w:b w:val="0"/>
          <w:bCs/>
          <w:sz w:val="32"/>
          <w:szCs w:val="32"/>
        </w:rPr>
      </w:pPr>
      <w:bookmarkStart w:id="6" w:name="heading_6"/>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主动公开政府信息情况</w:t>
      </w:r>
      <w:bookmarkEnd w:id="6"/>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14:paraId="267F22BC">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86C3AB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7998CAD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F787FF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673F305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237ADDE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18EB93A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6B53698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4C3D8F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286BC666">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6A620292">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7E951F93">
            <w:pPr>
              <w:widowControl/>
              <w:jc w:val="center"/>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14:paraId="3F33468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05C45D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4D808FE1">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2EBB3849">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383D3BE5">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14:paraId="566D48F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AB10FC7">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0F6FE16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FEF792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7B31D41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D1C6F4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94A67D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62898631">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auto"/>
                <w:kern w:val="0"/>
                <w:szCs w:val="21"/>
                <w:lang w:val="en-US" w:eastAsia="zh-CN"/>
              </w:rPr>
              <w:t>0</w:t>
            </w:r>
          </w:p>
        </w:tc>
      </w:tr>
      <w:tr w14:paraId="0947125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0C8AF7E">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674CF7E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E062F5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0A8AD15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5791B05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4" w:space="0"/>
              <w:right w:val="single" w:color="auto" w:sz="8" w:space="0"/>
            </w:tcBorders>
            <w:noWrap w:val="0"/>
            <w:vAlign w:val="center"/>
          </w:tcPr>
          <w:p w14:paraId="6C05F942">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7212DB25">
            <w:pPr>
              <w:widowControl/>
              <w:jc w:val="center"/>
              <w:rPr>
                <w:rFonts w:hint="eastAsia" w:ascii="仿宋_GB2312" w:hAnsi="Calibri" w:eastAsia="仿宋_GB2312" w:cs="Calibri"/>
                <w:color w:val="FF0000"/>
                <w:kern w:val="0"/>
                <w:szCs w:val="21"/>
                <w:lang w:eastAsia="zh-CN"/>
              </w:rPr>
            </w:pPr>
            <w:r>
              <w:rPr>
                <w:rFonts w:hint="eastAsia" w:ascii="仿宋_GB2312" w:hAnsi="Calibri" w:eastAsia="仿宋_GB2312" w:cs="Calibri"/>
                <w:color w:val="auto"/>
                <w:kern w:val="0"/>
                <w:szCs w:val="21"/>
                <w:lang w:val="en-US" w:eastAsia="zh-CN"/>
              </w:rPr>
              <w:t>0</w:t>
            </w:r>
          </w:p>
        </w:tc>
      </w:tr>
      <w:tr w14:paraId="261D4341">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8" w:space="0"/>
              <w:bottom w:val="single" w:color="auto" w:sz="8" w:space="0"/>
              <w:right w:val="single" w:color="auto" w:sz="8" w:space="0"/>
            </w:tcBorders>
            <w:noWrap w:val="0"/>
            <w:vAlign w:val="center"/>
          </w:tcPr>
          <w:p w14:paraId="25D4183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5132D769">
            <w:pPr>
              <w:widowControl/>
              <w:jc w:val="center"/>
              <w:rPr>
                <w:rFonts w:hint="eastAsia" w:ascii="仿宋_GB2312" w:hAnsi="Calibri" w:eastAsia="仿宋_GB2312" w:cs="Calibri"/>
                <w:color w:val="FF0000"/>
                <w:kern w:val="0"/>
                <w:szCs w:val="21"/>
                <w:lang w:eastAsia="zh-CN"/>
              </w:rPr>
            </w:pPr>
            <w:r>
              <w:rPr>
                <w:rFonts w:hint="eastAsia" w:ascii="仿宋_GB2312" w:hAnsi="Calibri" w:eastAsia="仿宋_GB2312" w:cs="Calibri"/>
                <w:color w:val="auto"/>
                <w:kern w:val="0"/>
                <w:szCs w:val="21"/>
                <w:lang w:val="en-US" w:eastAsia="zh-CN"/>
              </w:rPr>
              <w:t>0</w:t>
            </w:r>
          </w:p>
        </w:tc>
      </w:tr>
      <w:tr w14:paraId="52858FA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DA9EFA5">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6BC9E512">
        <w:tblPrEx>
          <w:tblCellMar>
            <w:top w:w="0" w:type="dxa"/>
            <w:left w:w="108" w:type="dxa"/>
            <w:bottom w:w="0" w:type="dxa"/>
            <w:right w:w="108" w:type="dxa"/>
          </w:tblCellMar>
        </w:tblPrEx>
        <w:trPr>
          <w:trHeight w:val="732"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14:paraId="64141CF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single" w:color="auto" w:sz="4" w:space="0"/>
              <w:bottom w:val="single" w:color="auto" w:sz="8" w:space="0"/>
              <w:right w:val="single" w:color="000000" w:sz="8" w:space="0"/>
            </w:tcBorders>
            <w:noWrap w:val="0"/>
            <w:vAlign w:val="center"/>
          </w:tcPr>
          <w:p w14:paraId="18C66F3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3C5AAD09">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8" w:space="0"/>
              <w:bottom w:val="single" w:color="auto" w:sz="8" w:space="0"/>
              <w:right w:val="single" w:color="auto" w:sz="8" w:space="0"/>
            </w:tcBorders>
            <w:noWrap w:val="0"/>
            <w:vAlign w:val="center"/>
          </w:tcPr>
          <w:p w14:paraId="4C90CB7D">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0B424086">
            <w:pPr>
              <w:widowControl/>
              <w:jc w:val="center"/>
              <w:rPr>
                <w:rFonts w:hint="eastAsia" w:ascii="仿宋_GB2312" w:hAnsi="Calibri" w:eastAsia="仿宋_GB2312" w:cs="Calibri"/>
                <w:color w:val="000000"/>
                <w:kern w:val="0"/>
                <w:szCs w:val="21"/>
                <w:lang w:eastAsia="zh-CN"/>
              </w:rPr>
            </w:pPr>
            <w:r>
              <w:rPr>
                <w:rFonts w:hint="eastAsia" w:ascii="仿宋_GB2312" w:hAnsi="Calibri" w:eastAsia="仿宋_GB2312" w:cs="Calibri"/>
                <w:color w:val="auto"/>
                <w:kern w:val="0"/>
                <w:szCs w:val="21"/>
                <w:lang w:val="en-US" w:eastAsia="zh-CN"/>
              </w:rPr>
              <w:t>0</w:t>
            </w:r>
          </w:p>
        </w:tc>
      </w:tr>
    </w:tbl>
    <w:p w14:paraId="69BD77E8">
      <w:pPr>
        <w:spacing w:before="380" w:after="140" w:line="288" w:lineRule="auto"/>
        <w:ind w:firstLine="640" w:firstLineChars="200"/>
        <w:jc w:val="left"/>
        <w:outlineLvl w:val="0"/>
        <w:rPr>
          <w:rFonts w:hint="eastAsia" w:ascii="仿宋_GB2312" w:hAnsi="仿宋_GB2312" w:eastAsia="仿宋_GB2312" w:cs="仿宋_GB2312"/>
          <w:sz w:val="32"/>
          <w:szCs w:val="32"/>
        </w:rPr>
      </w:pPr>
      <w:bookmarkStart w:id="7" w:name="heading_7"/>
      <w:r>
        <w:rPr>
          <w:rFonts w:hint="eastAsia" w:ascii="黑体" w:hAnsi="黑体" w:eastAsia="黑体" w:cs="黑体"/>
          <w:b w:val="0"/>
          <w:bCs/>
          <w:sz w:val="32"/>
          <w:szCs w:val="32"/>
        </w:rPr>
        <w:t>三、收到和处理政府信息公开申请情况</w:t>
      </w:r>
      <w:bookmarkEnd w:id="7"/>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6BB633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30FEF010">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0392268B">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10"/>
            <w:noWrap w:val="0"/>
            <w:tcMar>
              <w:left w:w="108" w:type="dxa"/>
              <w:right w:w="108" w:type="dxa"/>
            </w:tcMar>
            <w:vAlign w:val="center"/>
          </w:tcPr>
          <w:p w14:paraId="1739399D">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61B4A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4B46E5C9">
            <w:pPr>
              <w:jc w:val="center"/>
              <w:rPr>
                <w:rFonts w:ascii="仿宋_GB2312" w:hAnsi="Times New Roman" w:eastAsia="仿宋_GB2312"/>
                <w:szCs w:val="21"/>
              </w:rPr>
            </w:pPr>
          </w:p>
        </w:tc>
        <w:tc>
          <w:tcPr>
            <w:tcW w:w="747" w:type="dxa"/>
            <w:vMerge w:val="restart"/>
            <w:noWrap w:val="0"/>
            <w:tcMar>
              <w:left w:w="108" w:type="dxa"/>
              <w:right w:w="108" w:type="dxa"/>
            </w:tcMar>
            <w:vAlign w:val="center"/>
          </w:tcPr>
          <w:p w14:paraId="2B76AA76">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7"/>
            <w:noWrap w:val="0"/>
            <w:tcMar>
              <w:left w:w="108" w:type="dxa"/>
              <w:right w:w="108" w:type="dxa"/>
            </w:tcMar>
            <w:vAlign w:val="center"/>
          </w:tcPr>
          <w:p w14:paraId="7F80744D">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noWrap w:val="0"/>
            <w:tcMar>
              <w:left w:w="108" w:type="dxa"/>
              <w:right w:w="108" w:type="dxa"/>
            </w:tcMar>
            <w:vAlign w:val="center"/>
          </w:tcPr>
          <w:p w14:paraId="4E3761F0">
            <w:pPr>
              <w:widowControl/>
              <w:jc w:val="center"/>
              <w:rPr>
                <w:rFonts w:ascii="黑体" w:hAnsi="黑体" w:eastAsia="黑体"/>
                <w:szCs w:val="21"/>
              </w:rPr>
            </w:pPr>
            <w:r>
              <w:rPr>
                <w:rFonts w:hint="eastAsia" w:ascii="黑体" w:hAnsi="黑体" w:eastAsia="黑体"/>
                <w:kern w:val="0"/>
                <w:szCs w:val="21"/>
              </w:rPr>
              <w:t>总计</w:t>
            </w:r>
          </w:p>
        </w:tc>
      </w:tr>
      <w:tr w14:paraId="2B6F16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0FED79DB">
            <w:pPr>
              <w:jc w:val="center"/>
              <w:rPr>
                <w:rFonts w:ascii="仿宋_GB2312" w:hAnsi="Times New Roman" w:eastAsia="仿宋_GB2312"/>
                <w:szCs w:val="21"/>
              </w:rPr>
            </w:pPr>
          </w:p>
        </w:tc>
        <w:tc>
          <w:tcPr>
            <w:tcW w:w="747" w:type="dxa"/>
            <w:vMerge w:val="continue"/>
            <w:noWrap w:val="0"/>
            <w:tcMar>
              <w:left w:w="108" w:type="dxa"/>
              <w:right w:w="108" w:type="dxa"/>
            </w:tcMar>
            <w:vAlign w:val="center"/>
          </w:tcPr>
          <w:p w14:paraId="75EF6BAF">
            <w:pPr>
              <w:jc w:val="center"/>
              <w:rPr>
                <w:rFonts w:ascii="黑体" w:hAnsi="黑体" w:eastAsia="黑体"/>
                <w:szCs w:val="21"/>
              </w:rPr>
            </w:pPr>
          </w:p>
        </w:tc>
        <w:tc>
          <w:tcPr>
            <w:tcW w:w="540" w:type="dxa"/>
            <w:gridSpan w:val="2"/>
            <w:noWrap w:val="0"/>
            <w:tcMar>
              <w:left w:w="108" w:type="dxa"/>
              <w:right w:w="108" w:type="dxa"/>
            </w:tcMar>
            <w:vAlign w:val="center"/>
          </w:tcPr>
          <w:p w14:paraId="2575079E">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noWrap w:val="0"/>
            <w:tcMar>
              <w:left w:w="108" w:type="dxa"/>
              <w:right w:w="108" w:type="dxa"/>
            </w:tcMar>
            <w:vAlign w:val="center"/>
          </w:tcPr>
          <w:p w14:paraId="35635854">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noWrap w:val="0"/>
            <w:tcMar>
              <w:left w:w="108" w:type="dxa"/>
              <w:right w:w="108" w:type="dxa"/>
            </w:tcMar>
            <w:vAlign w:val="center"/>
          </w:tcPr>
          <w:p w14:paraId="43513493">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noWrap w:val="0"/>
            <w:tcMar>
              <w:left w:w="108" w:type="dxa"/>
              <w:right w:w="108" w:type="dxa"/>
            </w:tcMar>
            <w:vAlign w:val="center"/>
          </w:tcPr>
          <w:p w14:paraId="480A9E1D">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noWrap w:val="0"/>
            <w:tcMar>
              <w:left w:w="108" w:type="dxa"/>
              <w:right w:w="108" w:type="dxa"/>
            </w:tcMar>
            <w:vAlign w:val="center"/>
          </w:tcPr>
          <w:p w14:paraId="137A9097">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gridSpan w:val="2"/>
            <w:vMerge w:val="continue"/>
            <w:noWrap w:val="0"/>
            <w:tcMar>
              <w:left w:w="108" w:type="dxa"/>
              <w:right w:w="108" w:type="dxa"/>
            </w:tcMar>
            <w:vAlign w:val="center"/>
          </w:tcPr>
          <w:p w14:paraId="5E1F95F8">
            <w:pPr>
              <w:jc w:val="center"/>
              <w:rPr>
                <w:rFonts w:ascii="仿宋_GB2312" w:hAnsi="Times New Roman" w:eastAsia="仿宋_GB2312"/>
                <w:szCs w:val="21"/>
              </w:rPr>
            </w:pPr>
          </w:p>
        </w:tc>
      </w:tr>
      <w:tr w14:paraId="10991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10DFEF26">
            <w:pPr>
              <w:widowControl/>
              <w:rPr>
                <w:rFonts w:ascii="黑体" w:hAnsi="黑体" w:eastAsia="黑体"/>
                <w:szCs w:val="21"/>
              </w:rPr>
            </w:pPr>
            <w:r>
              <w:rPr>
                <w:rFonts w:hint="eastAsia" w:ascii="黑体" w:hAnsi="黑体" w:eastAsia="黑体"/>
                <w:kern w:val="0"/>
                <w:szCs w:val="21"/>
              </w:rPr>
              <w:t>一、</w:t>
            </w:r>
            <w:bookmarkStart w:id="8" w:name="_Hlk66973412"/>
            <w:r>
              <w:rPr>
                <w:rFonts w:hint="eastAsia" w:ascii="黑体" w:hAnsi="黑体" w:eastAsia="黑体"/>
                <w:kern w:val="0"/>
                <w:szCs w:val="21"/>
              </w:rPr>
              <w:t>本年新收政府信息公开申请数量</w:t>
            </w:r>
            <w:bookmarkEnd w:id="8"/>
          </w:p>
        </w:tc>
        <w:tc>
          <w:tcPr>
            <w:tcW w:w="747" w:type="dxa"/>
            <w:noWrap w:val="0"/>
            <w:tcMar>
              <w:left w:w="108" w:type="dxa"/>
              <w:right w:w="108" w:type="dxa"/>
            </w:tcMar>
            <w:vAlign w:val="center"/>
          </w:tcPr>
          <w:p w14:paraId="501E361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6586F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0C1D6A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17C24E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5CC82FE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4DDE17E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4B3D6E3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0B103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5995CE87">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noWrap w:val="0"/>
            <w:tcMar>
              <w:left w:w="108" w:type="dxa"/>
              <w:right w:w="108" w:type="dxa"/>
            </w:tcMar>
            <w:vAlign w:val="center"/>
          </w:tcPr>
          <w:p w14:paraId="0553A03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DEC86B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4FAF80D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3E1A114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69A8D16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64BCD8F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2F2AA6B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3D3F0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695A7A15">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14:paraId="3913AB58">
            <w:pPr>
              <w:widowControl/>
              <w:rPr>
                <w:rFonts w:ascii="黑体" w:hAnsi="黑体" w:eastAsia="黑体"/>
                <w:szCs w:val="21"/>
              </w:rPr>
            </w:pPr>
            <w:r>
              <w:rPr>
                <w:rFonts w:hint="eastAsia" w:ascii="黑体" w:hAnsi="黑体" w:eastAsia="黑体"/>
                <w:kern w:val="0"/>
                <w:szCs w:val="21"/>
              </w:rPr>
              <w:t>（一）予以公开</w:t>
            </w:r>
          </w:p>
        </w:tc>
        <w:tc>
          <w:tcPr>
            <w:tcW w:w="752" w:type="dxa"/>
            <w:gridSpan w:val="2"/>
            <w:noWrap w:val="0"/>
            <w:tcMar>
              <w:left w:w="108" w:type="dxa"/>
              <w:right w:w="108" w:type="dxa"/>
            </w:tcMar>
            <w:vAlign w:val="center"/>
          </w:tcPr>
          <w:p w14:paraId="371ACCC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2D1574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35" w:type="dxa"/>
            <w:noWrap w:val="0"/>
            <w:tcMar>
              <w:left w:w="108" w:type="dxa"/>
              <w:right w:w="108" w:type="dxa"/>
            </w:tcMar>
            <w:vAlign w:val="center"/>
          </w:tcPr>
          <w:p w14:paraId="067936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580C593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75F0861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6" w:type="dxa"/>
            <w:gridSpan w:val="2"/>
            <w:noWrap w:val="0"/>
            <w:tcMar>
              <w:left w:w="108" w:type="dxa"/>
              <w:right w:w="108" w:type="dxa"/>
            </w:tcMar>
            <w:vAlign w:val="center"/>
          </w:tcPr>
          <w:p w14:paraId="07DDD57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0" w:type="dxa"/>
            <w:noWrap w:val="0"/>
            <w:tcMar>
              <w:left w:w="108" w:type="dxa"/>
              <w:right w:w="108" w:type="dxa"/>
            </w:tcMar>
            <w:vAlign w:val="center"/>
          </w:tcPr>
          <w:p w14:paraId="2021BB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32D93D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D50DB49">
            <w:pPr>
              <w:rPr>
                <w:rFonts w:ascii="黑体" w:hAnsi="黑体" w:eastAsia="黑体"/>
                <w:szCs w:val="21"/>
              </w:rPr>
            </w:pPr>
          </w:p>
        </w:tc>
        <w:tc>
          <w:tcPr>
            <w:tcW w:w="4677" w:type="dxa"/>
            <w:gridSpan w:val="2"/>
            <w:noWrap w:val="0"/>
            <w:tcMar>
              <w:left w:w="108" w:type="dxa"/>
              <w:right w:w="108" w:type="dxa"/>
            </w:tcMar>
            <w:vAlign w:val="center"/>
          </w:tcPr>
          <w:p w14:paraId="7D5C434F">
            <w:pPr>
              <w:widowControl/>
              <w:rPr>
                <w:rFonts w:ascii="黑体" w:hAnsi="黑体" w:eastAsia="黑体"/>
                <w:szCs w:val="21"/>
              </w:rPr>
            </w:pPr>
            <w:r>
              <w:rPr>
                <w:rFonts w:hint="eastAsia" w:ascii="黑体" w:hAnsi="黑体" w:eastAsia="黑体"/>
                <w:kern w:val="0"/>
                <w:szCs w:val="21"/>
              </w:rPr>
              <w:t>（二）部分公开（</w:t>
            </w:r>
            <w:bookmarkStart w:id="9" w:name="_Hlk66973981"/>
            <w:r>
              <w:rPr>
                <w:rFonts w:hint="eastAsia" w:ascii="黑体" w:hAnsi="黑体" w:eastAsia="黑体"/>
                <w:kern w:val="0"/>
                <w:szCs w:val="21"/>
              </w:rPr>
              <w:t>区分处理的，只计这一情形，不计其他情形</w:t>
            </w:r>
            <w:bookmarkEnd w:id="9"/>
            <w:r>
              <w:rPr>
                <w:rFonts w:hint="eastAsia" w:ascii="黑体" w:hAnsi="黑体" w:eastAsia="黑体"/>
                <w:kern w:val="0"/>
                <w:szCs w:val="21"/>
              </w:rPr>
              <w:t>）</w:t>
            </w:r>
          </w:p>
        </w:tc>
        <w:tc>
          <w:tcPr>
            <w:tcW w:w="752" w:type="dxa"/>
            <w:gridSpan w:val="2"/>
            <w:noWrap w:val="0"/>
            <w:tcMar>
              <w:left w:w="108" w:type="dxa"/>
              <w:right w:w="108" w:type="dxa"/>
            </w:tcMar>
            <w:vAlign w:val="center"/>
          </w:tcPr>
          <w:p w14:paraId="4B1FCC7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EA2A9C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35" w:type="dxa"/>
            <w:noWrap w:val="0"/>
            <w:tcMar>
              <w:left w:w="108" w:type="dxa"/>
              <w:right w:w="108" w:type="dxa"/>
            </w:tcMar>
            <w:vAlign w:val="center"/>
          </w:tcPr>
          <w:p w14:paraId="0A12C0A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67EE4B1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4A5DE87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6" w:type="dxa"/>
            <w:gridSpan w:val="2"/>
            <w:noWrap w:val="0"/>
            <w:tcMar>
              <w:left w:w="108" w:type="dxa"/>
              <w:right w:w="108" w:type="dxa"/>
            </w:tcMar>
            <w:vAlign w:val="center"/>
          </w:tcPr>
          <w:p w14:paraId="62E82E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0" w:type="dxa"/>
            <w:noWrap w:val="0"/>
            <w:tcMar>
              <w:left w:w="108" w:type="dxa"/>
              <w:right w:w="108" w:type="dxa"/>
            </w:tcMar>
            <w:vAlign w:val="center"/>
          </w:tcPr>
          <w:p w14:paraId="29BCAAA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14:paraId="2A690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CFF83BB">
            <w:pPr>
              <w:rPr>
                <w:rFonts w:ascii="黑体" w:hAnsi="黑体" w:eastAsia="黑体"/>
                <w:szCs w:val="21"/>
              </w:rPr>
            </w:pPr>
          </w:p>
        </w:tc>
        <w:tc>
          <w:tcPr>
            <w:tcW w:w="1701" w:type="dxa"/>
            <w:vMerge w:val="restart"/>
            <w:noWrap w:val="0"/>
            <w:tcMar>
              <w:left w:w="108" w:type="dxa"/>
              <w:right w:w="108" w:type="dxa"/>
            </w:tcMar>
            <w:vAlign w:val="center"/>
          </w:tcPr>
          <w:p w14:paraId="73FB6EA5">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14:paraId="0637AC39">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noWrap w:val="0"/>
            <w:tcMar>
              <w:left w:w="108" w:type="dxa"/>
              <w:right w:w="108" w:type="dxa"/>
            </w:tcMar>
            <w:vAlign w:val="center"/>
          </w:tcPr>
          <w:p w14:paraId="5121DA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3BB8C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AF78C1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67FE0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0EECF7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29D681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22765BC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46CA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03654E4">
            <w:pPr>
              <w:rPr>
                <w:rFonts w:ascii="黑体" w:hAnsi="黑体" w:eastAsia="黑体"/>
                <w:szCs w:val="21"/>
              </w:rPr>
            </w:pPr>
          </w:p>
        </w:tc>
        <w:tc>
          <w:tcPr>
            <w:tcW w:w="1701" w:type="dxa"/>
            <w:vMerge w:val="continue"/>
            <w:noWrap w:val="0"/>
            <w:tcMar>
              <w:left w:w="108" w:type="dxa"/>
              <w:right w:w="108" w:type="dxa"/>
            </w:tcMar>
            <w:vAlign w:val="center"/>
          </w:tcPr>
          <w:p w14:paraId="01CEB5FA">
            <w:pPr>
              <w:spacing w:line="200" w:lineRule="exact"/>
              <w:rPr>
                <w:rFonts w:ascii="黑体" w:hAnsi="黑体" w:eastAsia="黑体"/>
                <w:szCs w:val="21"/>
              </w:rPr>
            </w:pPr>
          </w:p>
        </w:tc>
        <w:tc>
          <w:tcPr>
            <w:tcW w:w="2976" w:type="dxa"/>
            <w:noWrap w:val="0"/>
            <w:tcMar>
              <w:left w:w="108" w:type="dxa"/>
              <w:right w:w="108" w:type="dxa"/>
            </w:tcMar>
            <w:vAlign w:val="center"/>
          </w:tcPr>
          <w:p w14:paraId="197B6CB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10" w:name="_Hlk66974104"/>
            <w:r>
              <w:rPr>
                <w:rFonts w:hint="eastAsia" w:ascii="仿宋_GB2312" w:hAnsi="黑体" w:eastAsia="仿宋_GB2312"/>
                <w:kern w:val="0"/>
                <w:szCs w:val="21"/>
              </w:rPr>
              <w:t>其他法律行政法规禁止公开</w:t>
            </w:r>
            <w:bookmarkEnd w:id="10"/>
          </w:p>
        </w:tc>
        <w:tc>
          <w:tcPr>
            <w:tcW w:w="747" w:type="dxa"/>
            <w:noWrap w:val="0"/>
            <w:tcMar>
              <w:left w:w="108" w:type="dxa"/>
              <w:right w:w="108" w:type="dxa"/>
            </w:tcMar>
            <w:vAlign w:val="center"/>
          </w:tcPr>
          <w:p w14:paraId="606FC3D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9E7386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7A3852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5804E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376420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57827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C1D639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3A2A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A51EFB7">
            <w:pPr>
              <w:rPr>
                <w:rFonts w:ascii="黑体" w:hAnsi="黑体" w:eastAsia="黑体"/>
                <w:szCs w:val="21"/>
              </w:rPr>
            </w:pPr>
          </w:p>
        </w:tc>
        <w:tc>
          <w:tcPr>
            <w:tcW w:w="1701" w:type="dxa"/>
            <w:vMerge w:val="continue"/>
            <w:noWrap w:val="0"/>
            <w:tcMar>
              <w:left w:w="108" w:type="dxa"/>
              <w:right w:w="108" w:type="dxa"/>
            </w:tcMar>
            <w:vAlign w:val="center"/>
          </w:tcPr>
          <w:p w14:paraId="6A58C3E2">
            <w:pPr>
              <w:spacing w:line="200" w:lineRule="exact"/>
              <w:rPr>
                <w:rFonts w:ascii="黑体" w:hAnsi="黑体" w:eastAsia="黑体"/>
                <w:szCs w:val="21"/>
              </w:rPr>
            </w:pPr>
          </w:p>
        </w:tc>
        <w:tc>
          <w:tcPr>
            <w:tcW w:w="2976" w:type="dxa"/>
            <w:noWrap w:val="0"/>
            <w:tcMar>
              <w:left w:w="108" w:type="dxa"/>
              <w:right w:w="108" w:type="dxa"/>
            </w:tcMar>
            <w:vAlign w:val="center"/>
          </w:tcPr>
          <w:p w14:paraId="2796FF8E">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noWrap w:val="0"/>
            <w:tcMar>
              <w:left w:w="108" w:type="dxa"/>
              <w:right w:w="108" w:type="dxa"/>
            </w:tcMar>
            <w:vAlign w:val="center"/>
          </w:tcPr>
          <w:p w14:paraId="34B8950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4B7FA2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D3E2DA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C06FB0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FE4F6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87B259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0255FE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94E7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6B3A5F4">
            <w:pPr>
              <w:rPr>
                <w:rFonts w:ascii="黑体" w:hAnsi="黑体" w:eastAsia="黑体"/>
                <w:szCs w:val="21"/>
              </w:rPr>
            </w:pPr>
          </w:p>
        </w:tc>
        <w:tc>
          <w:tcPr>
            <w:tcW w:w="1701" w:type="dxa"/>
            <w:vMerge w:val="continue"/>
            <w:noWrap w:val="0"/>
            <w:tcMar>
              <w:left w:w="108" w:type="dxa"/>
              <w:right w:w="108" w:type="dxa"/>
            </w:tcMar>
            <w:vAlign w:val="center"/>
          </w:tcPr>
          <w:p w14:paraId="693A60E7">
            <w:pPr>
              <w:spacing w:line="200" w:lineRule="exact"/>
              <w:rPr>
                <w:rFonts w:ascii="黑体" w:hAnsi="黑体" w:eastAsia="黑体"/>
                <w:szCs w:val="21"/>
              </w:rPr>
            </w:pPr>
          </w:p>
        </w:tc>
        <w:tc>
          <w:tcPr>
            <w:tcW w:w="2976" w:type="dxa"/>
            <w:noWrap w:val="0"/>
            <w:tcMar>
              <w:left w:w="108" w:type="dxa"/>
              <w:right w:w="108" w:type="dxa"/>
            </w:tcMar>
            <w:vAlign w:val="center"/>
          </w:tcPr>
          <w:p w14:paraId="196B56FD">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11" w:name="_Hlk66974290"/>
            <w:r>
              <w:rPr>
                <w:rFonts w:hint="eastAsia" w:ascii="仿宋_GB2312" w:hAnsi="黑体" w:eastAsia="仿宋_GB2312"/>
                <w:kern w:val="0"/>
                <w:szCs w:val="21"/>
              </w:rPr>
              <w:t>保护第三方合法权益</w:t>
            </w:r>
            <w:bookmarkEnd w:id="11"/>
          </w:p>
        </w:tc>
        <w:tc>
          <w:tcPr>
            <w:tcW w:w="747" w:type="dxa"/>
            <w:noWrap w:val="0"/>
            <w:tcMar>
              <w:left w:w="108" w:type="dxa"/>
              <w:right w:w="108" w:type="dxa"/>
            </w:tcMar>
            <w:vAlign w:val="center"/>
          </w:tcPr>
          <w:p w14:paraId="2AF740A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14568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2E63C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B41557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AF2D31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11C973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06917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A17F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D0FFCAF">
            <w:pPr>
              <w:rPr>
                <w:rFonts w:ascii="黑体" w:hAnsi="黑体" w:eastAsia="黑体"/>
                <w:szCs w:val="21"/>
              </w:rPr>
            </w:pPr>
          </w:p>
        </w:tc>
        <w:tc>
          <w:tcPr>
            <w:tcW w:w="1701" w:type="dxa"/>
            <w:vMerge w:val="continue"/>
            <w:noWrap w:val="0"/>
            <w:tcMar>
              <w:left w:w="108" w:type="dxa"/>
              <w:right w:w="108" w:type="dxa"/>
            </w:tcMar>
            <w:vAlign w:val="center"/>
          </w:tcPr>
          <w:p w14:paraId="0EB54F6D">
            <w:pPr>
              <w:spacing w:line="200" w:lineRule="exact"/>
              <w:rPr>
                <w:rFonts w:ascii="黑体" w:hAnsi="黑体" w:eastAsia="黑体"/>
                <w:szCs w:val="21"/>
              </w:rPr>
            </w:pPr>
          </w:p>
        </w:tc>
        <w:tc>
          <w:tcPr>
            <w:tcW w:w="2976" w:type="dxa"/>
            <w:noWrap w:val="0"/>
            <w:tcMar>
              <w:left w:w="108" w:type="dxa"/>
              <w:right w:w="108" w:type="dxa"/>
            </w:tcMar>
            <w:vAlign w:val="center"/>
          </w:tcPr>
          <w:p w14:paraId="6CF66CEA">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noWrap w:val="0"/>
            <w:tcMar>
              <w:left w:w="108" w:type="dxa"/>
              <w:right w:w="108" w:type="dxa"/>
            </w:tcMar>
            <w:vAlign w:val="center"/>
          </w:tcPr>
          <w:p w14:paraId="42F2F5C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532F5C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DD4792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5CE053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3F0D49D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465451E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09257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4667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8D2E83B">
            <w:pPr>
              <w:rPr>
                <w:rFonts w:ascii="黑体" w:hAnsi="黑体" w:eastAsia="黑体"/>
                <w:szCs w:val="21"/>
              </w:rPr>
            </w:pPr>
          </w:p>
        </w:tc>
        <w:tc>
          <w:tcPr>
            <w:tcW w:w="1701" w:type="dxa"/>
            <w:vMerge w:val="continue"/>
            <w:noWrap w:val="0"/>
            <w:tcMar>
              <w:left w:w="108" w:type="dxa"/>
              <w:right w:w="108" w:type="dxa"/>
            </w:tcMar>
            <w:vAlign w:val="center"/>
          </w:tcPr>
          <w:p w14:paraId="1C4D8A8C">
            <w:pPr>
              <w:spacing w:line="200" w:lineRule="exact"/>
              <w:rPr>
                <w:rFonts w:ascii="黑体" w:hAnsi="黑体" w:eastAsia="黑体"/>
                <w:szCs w:val="21"/>
              </w:rPr>
            </w:pPr>
          </w:p>
        </w:tc>
        <w:tc>
          <w:tcPr>
            <w:tcW w:w="2976" w:type="dxa"/>
            <w:noWrap w:val="0"/>
            <w:tcMar>
              <w:left w:w="108" w:type="dxa"/>
              <w:right w:w="108" w:type="dxa"/>
            </w:tcMar>
            <w:vAlign w:val="center"/>
          </w:tcPr>
          <w:p w14:paraId="55F271C2">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12" w:name="_Hlk66974555"/>
            <w:r>
              <w:rPr>
                <w:rFonts w:hint="eastAsia" w:ascii="仿宋_GB2312" w:hAnsi="黑体" w:eastAsia="仿宋_GB2312"/>
                <w:kern w:val="0"/>
                <w:szCs w:val="21"/>
              </w:rPr>
              <w:t>属于四类过程性信息</w:t>
            </w:r>
            <w:bookmarkEnd w:id="12"/>
          </w:p>
        </w:tc>
        <w:tc>
          <w:tcPr>
            <w:tcW w:w="747" w:type="dxa"/>
            <w:noWrap w:val="0"/>
            <w:tcMar>
              <w:left w:w="108" w:type="dxa"/>
              <w:right w:w="108" w:type="dxa"/>
            </w:tcMar>
            <w:vAlign w:val="center"/>
          </w:tcPr>
          <w:p w14:paraId="08E0927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3AF3EB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480A92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07E1FD5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396C12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078B86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F46064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FB4B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36E2F87">
            <w:pPr>
              <w:rPr>
                <w:rFonts w:ascii="黑体" w:hAnsi="黑体" w:eastAsia="黑体"/>
                <w:szCs w:val="21"/>
              </w:rPr>
            </w:pPr>
          </w:p>
        </w:tc>
        <w:tc>
          <w:tcPr>
            <w:tcW w:w="1701" w:type="dxa"/>
            <w:vMerge w:val="continue"/>
            <w:noWrap w:val="0"/>
            <w:tcMar>
              <w:left w:w="108" w:type="dxa"/>
              <w:right w:w="108" w:type="dxa"/>
            </w:tcMar>
            <w:vAlign w:val="center"/>
          </w:tcPr>
          <w:p w14:paraId="3F6AD5F8">
            <w:pPr>
              <w:spacing w:line="200" w:lineRule="exact"/>
              <w:rPr>
                <w:rFonts w:ascii="黑体" w:hAnsi="黑体" w:eastAsia="黑体"/>
                <w:szCs w:val="21"/>
              </w:rPr>
            </w:pPr>
          </w:p>
        </w:tc>
        <w:tc>
          <w:tcPr>
            <w:tcW w:w="2976" w:type="dxa"/>
            <w:noWrap w:val="0"/>
            <w:tcMar>
              <w:left w:w="108" w:type="dxa"/>
              <w:right w:w="108" w:type="dxa"/>
            </w:tcMar>
            <w:vAlign w:val="center"/>
          </w:tcPr>
          <w:p w14:paraId="5BF4A401">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noWrap w:val="0"/>
            <w:tcMar>
              <w:left w:w="108" w:type="dxa"/>
              <w:right w:w="108" w:type="dxa"/>
            </w:tcMar>
            <w:vAlign w:val="center"/>
          </w:tcPr>
          <w:p w14:paraId="4DF5633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BC46A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7B728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503FE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FFA4E4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47A67C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076803D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680F9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FAA86F1">
            <w:pPr>
              <w:rPr>
                <w:rFonts w:ascii="黑体" w:hAnsi="黑体" w:eastAsia="黑体"/>
                <w:szCs w:val="21"/>
              </w:rPr>
            </w:pPr>
          </w:p>
        </w:tc>
        <w:tc>
          <w:tcPr>
            <w:tcW w:w="1701" w:type="dxa"/>
            <w:vMerge w:val="continue"/>
            <w:noWrap w:val="0"/>
            <w:tcMar>
              <w:left w:w="108" w:type="dxa"/>
              <w:right w:w="108" w:type="dxa"/>
            </w:tcMar>
            <w:vAlign w:val="center"/>
          </w:tcPr>
          <w:p w14:paraId="7CAF0CC5">
            <w:pPr>
              <w:spacing w:line="200" w:lineRule="exact"/>
              <w:rPr>
                <w:rFonts w:ascii="黑体" w:hAnsi="黑体" w:eastAsia="黑体"/>
                <w:szCs w:val="21"/>
              </w:rPr>
            </w:pPr>
          </w:p>
        </w:tc>
        <w:tc>
          <w:tcPr>
            <w:tcW w:w="2976" w:type="dxa"/>
            <w:noWrap w:val="0"/>
            <w:tcMar>
              <w:left w:w="108" w:type="dxa"/>
              <w:right w:w="108" w:type="dxa"/>
            </w:tcMar>
            <w:vAlign w:val="center"/>
          </w:tcPr>
          <w:p w14:paraId="473A21FC">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13" w:name="_Hlk66975211"/>
            <w:r>
              <w:rPr>
                <w:rFonts w:hint="eastAsia" w:ascii="仿宋_GB2312" w:hAnsi="黑体" w:eastAsia="仿宋_GB2312"/>
                <w:kern w:val="0"/>
                <w:szCs w:val="21"/>
              </w:rPr>
              <w:t>属于行政查询事项</w:t>
            </w:r>
            <w:bookmarkEnd w:id="13"/>
          </w:p>
        </w:tc>
        <w:tc>
          <w:tcPr>
            <w:tcW w:w="747" w:type="dxa"/>
            <w:noWrap w:val="0"/>
            <w:tcMar>
              <w:left w:w="108" w:type="dxa"/>
              <w:right w:w="108" w:type="dxa"/>
            </w:tcMar>
            <w:vAlign w:val="center"/>
          </w:tcPr>
          <w:p w14:paraId="093C7E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2FA266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35C26B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D81D2E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B66A0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46BD1B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33FDB7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9733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8C03943">
            <w:pPr>
              <w:rPr>
                <w:rFonts w:ascii="黑体" w:hAnsi="黑体" w:eastAsia="黑体"/>
                <w:szCs w:val="21"/>
              </w:rPr>
            </w:pPr>
          </w:p>
        </w:tc>
        <w:tc>
          <w:tcPr>
            <w:tcW w:w="1701" w:type="dxa"/>
            <w:vMerge w:val="restart"/>
            <w:noWrap w:val="0"/>
            <w:tcMar>
              <w:left w:w="108" w:type="dxa"/>
              <w:right w:w="108" w:type="dxa"/>
            </w:tcMar>
            <w:vAlign w:val="center"/>
          </w:tcPr>
          <w:p w14:paraId="3BDBE4C1">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14:paraId="6B1A500A">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noWrap w:val="0"/>
            <w:tcMar>
              <w:left w:w="108" w:type="dxa"/>
              <w:right w:w="108" w:type="dxa"/>
            </w:tcMar>
            <w:vAlign w:val="center"/>
          </w:tcPr>
          <w:p w14:paraId="6613CA4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EBDFEA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6B4FDF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B0AA7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357D15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F9B154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21879BB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E3E4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360A848">
            <w:pPr>
              <w:rPr>
                <w:rFonts w:ascii="黑体" w:hAnsi="黑体" w:eastAsia="黑体"/>
                <w:szCs w:val="21"/>
              </w:rPr>
            </w:pPr>
          </w:p>
        </w:tc>
        <w:tc>
          <w:tcPr>
            <w:tcW w:w="1701" w:type="dxa"/>
            <w:vMerge w:val="continue"/>
            <w:noWrap w:val="0"/>
            <w:tcMar>
              <w:left w:w="108" w:type="dxa"/>
              <w:right w:w="108" w:type="dxa"/>
            </w:tcMar>
            <w:vAlign w:val="center"/>
          </w:tcPr>
          <w:p w14:paraId="73AA9D39">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14:paraId="152FAABB">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14" w:name="_Hlk66975392"/>
            <w:r>
              <w:rPr>
                <w:rFonts w:hint="eastAsia" w:ascii="仿宋_GB2312" w:hAnsi="黑体" w:eastAsia="仿宋_GB2312"/>
                <w:kern w:val="0"/>
                <w:szCs w:val="21"/>
              </w:rPr>
              <w:t>没有现成信息需要另行制作</w:t>
            </w:r>
            <w:bookmarkEnd w:id="14"/>
          </w:p>
        </w:tc>
        <w:tc>
          <w:tcPr>
            <w:tcW w:w="747" w:type="dxa"/>
            <w:noWrap w:val="0"/>
            <w:tcMar>
              <w:left w:w="108" w:type="dxa"/>
              <w:right w:w="108" w:type="dxa"/>
            </w:tcMar>
            <w:vAlign w:val="center"/>
          </w:tcPr>
          <w:p w14:paraId="6BDC6EC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BE3B6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C7E4E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EBCFA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19EC74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F54AB4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EFD08E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0424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ADDFFE0">
            <w:pPr>
              <w:rPr>
                <w:rFonts w:ascii="黑体" w:hAnsi="黑体" w:eastAsia="黑体"/>
                <w:szCs w:val="21"/>
              </w:rPr>
            </w:pPr>
          </w:p>
        </w:tc>
        <w:tc>
          <w:tcPr>
            <w:tcW w:w="1701" w:type="dxa"/>
            <w:vMerge w:val="continue"/>
            <w:noWrap w:val="0"/>
            <w:tcMar>
              <w:left w:w="108" w:type="dxa"/>
              <w:right w:w="108" w:type="dxa"/>
            </w:tcMar>
            <w:vAlign w:val="center"/>
          </w:tcPr>
          <w:p w14:paraId="1A34AD87">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14:paraId="45295DC7">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15" w:name="_Hlk66975466"/>
            <w:r>
              <w:rPr>
                <w:rFonts w:hint="eastAsia" w:ascii="仿宋_GB2312" w:hAnsi="黑体" w:eastAsia="仿宋_GB2312"/>
                <w:kern w:val="0"/>
                <w:szCs w:val="21"/>
              </w:rPr>
              <w:t>补正后申请内容仍不明确</w:t>
            </w:r>
            <w:bookmarkEnd w:id="15"/>
          </w:p>
        </w:tc>
        <w:tc>
          <w:tcPr>
            <w:tcW w:w="747" w:type="dxa"/>
            <w:noWrap w:val="0"/>
            <w:tcMar>
              <w:left w:w="108" w:type="dxa"/>
              <w:right w:w="108" w:type="dxa"/>
            </w:tcMar>
            <w:vAlign w:val="center"/>
          </w:tcPr>
          <w:p w14:paraId="7BB1146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EE6A5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093B7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DA8EAE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BBB080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99DA8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5C4939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397A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A723B07">
            <w:pPr>
              <w:rPr>
                <w:rFonts w:ascii="黑体" w:hAnsi="黑体" w:eastAsia="黑体"/>
                <w:szCs w:val="21"/>
              </w:rPr>
            </w:pPr>
          </w:p>
        </w:tc>
        <w:tc>
          <w:tcPr>
            <w:tcW w:w="1701" w:type="dxa"/>
            <w:vMerge w:val="restart"/>
            <w:noWrap w:val="0"/>
            <w:tcMar>
              <w:left w:w="108" w:type="dxa"/>
              <w:right w:w="108" w:type="dxa"/>
            </w:tcMar>
            <w:vAlign w:val="center"/>
          </w:tcPr>
          <w:p w14:paraId="04DD43F8">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14:paraId="26AB3F40">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16" w:name="_Hlk66975537"/>
            <w:r>
              <w:rPr>
                <w:rFonts w:hint="eastAsia" w:ascii="仿宋_GB2312" w:hAnsi="黑体" w:eastAsia="仿宋_GB2312"/>
                <w:kern w:val="0"/>
                <w:szCs w:val="21"/>
              </w:rPr>
              <w:t>信访举报投诉类申请</w:t>
            </w:r>
            <w:bookmarkEnd w:id="16"/>
          </w:p>
        </w:tc>
        <w:tc>
          <w:tcPr>
            <w:tcW w:w="747" w:type="dxa"/>
            <w:noWrap w:val="0"/>
            <w:tcMar>
              <w:left w:w="108" w:type="dxa"/>
              <w:right w:w="108" w:type="dxa"/>
            </w:tcMar>
            <w:vAlign w:val="center"/>
          </w:tcPr>
          <w:p w14:paraId="0AA2A86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66EB27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8198CF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386BB9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71FFA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4B43591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189BEF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57A3C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2ACAB7B">
            <w:pPr>
              <w:rPr>
                <w:rFonts w:ascii="黑体" w:hAnsi="黑体" w:eastAsia="黑体"/>
                <w:szCs w:val="21"/>
              </w:rPr>
            </w:pPr>
          </w:p>
        </w:tc>
        <w:tc>
          <w:tcPr>
            <w:tcW w:w="1701" w:type="dxa"/>
            <w:vMerge w:val="continue"/>
            <w:noWrap w:val="0"/>
            <w:tcMar>
              <w:left w:w="108" w:type="dxa"/>
              <w:right w:w="108" w:type="dxa"/>
            </w:tcMar>
            <w:vAlign w:val="center"/>
          </w:tcPr>
          <w:p w14:paraId="3F1AEA25">
            <w:pPr>
              <w:spacing w:line="200" w:lineRule="exact"/>
              <w:rPr>
                <w:rFonts w:ascii="黑体" w:hAnsi="黑体" w:eastAsia="黑体"/>
                <w:szCs w:val="21"/>
              </w:rPr>
            </w:pPr>
          </w:p>
        </w:tc>
        <w:tc>
          <w:tcPr>
            <w:tcW w:w="2976" w:type="dxa"/>
            <w:noWrap w:val="0"/>
            <w:tcMar>
              <w:left w:w="108" w:type="dxa"/>
              <w:right w:w="108" w:type="dxa"/>
            </w:tcMar>
            <w:vAlign w:val="center"/>
          </w:tcPr>
          <w:p w14:paraId="1F471C36">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noWrap w:val="0"/>
            <w:tcMar>
              <w:left w:w="108" w:type="dxa"/>
              <w:right w:w="108" w:type="dxa"/>
            </w:tcMar>
            <w:vAlign w:val="center"/>
          </w:tcPr>
          <w:p w14:paraId="339EAE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8ED395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AE2AF6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B95C1D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0E324B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D9B1A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1C8BA32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6D53D9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62431B4">
            <w:pPr>
              <w:rPr>
                <w:rFonts w:ascii="黑体" w:hAnsi="黑体" w:eastAsia="黑体"/>
                <w:szCs w:val="21"/>
              </w:rPr>
            </w:pPr>
          </w:p>
        </w:tc>
        <w:tc>
          <w:tcPr>
            <w:tcW w:w="1701" w:type="dxa"/>
            <w:vMerge w:val="continue"/>
            <w:noWrap w:val="0"/>
            <w:tcMar>
              <w:left w:w="108" w:type="dxa"/>
              <w:right w:w="108" w:type="dxa"/>
            </w:tcMar>
            <w:vAlign w:val="center"/>
          </w:tcPr>
          <w:p w14:paraId="719CE373">
            <w:pPr>
              <w:spacing w:line="200" w:lineRule="exact"/>
              <w:rPr>
                <w:rFonts w:ascii="黑体" w:hAnsi="黑体" w:eastAsia="黑体"/>
                <w:szCs w:val="21"/>
              </w:rPr>
            </w:pPr>
          </w:p>
        </w:tc>
        <w:tc>
          <w:tcPr>
            <w:tcW w:w="2976" w:type="dxa"/>
            <w:noWrap w:val="0"/>
            <w:tcMar>
              <w:left w:w="108" w:type="dxa"/>
              <w:right w:w="108" w:type="dxa"/>
            </w:tcMar>
            <w:vAlign w:val="center"/>
          </w:tcPr>
          <w:p w14:paraId="3397B428">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noWrap w:val="0"/>
            <w:tcMar>
              <w:left w:w="108" w:type="dxa"/>
              <w:right w:w="108" w:type="dxa"/>
            </w:tcMar>
            <w:vAlign w:val="center"/>
          </w:tcPr>
          <w:p w14:paraId="3413C2C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9EF077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09588B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DF2B92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84D594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2F9CB1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C3E545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7E6449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5E84BF73">
            <w:pPr>
              <w:rPr>
                <w:rFonts w:ascii="黑体" w:hAnsi="黑体" w:eastAsia="黑体"/>
                <w:szCs w:val="21"/>
              </w:rPr>
            </w:pPr>
          </w:p>
        </w:tc>
        <w:tc>
          <w:tcPr>
            <w:tcW w:w="1701" w:type="dxa"/>
            <w:vMerge w:val="continue"/>
            <w:noWrap w:val="0"/>
            <w:tcMar>
              <w:left w:w="108" w:type="dxa"/>
              <w:right w:w="108" w:type="dxa"/>
            </w:tcMar>
            <w:vAlign w:val="center"/>
          </w:tcPr>
          <w:p w14:paraId="34DA7BC9">
            <w:pPr>
              <w:spacing w:line="200" w:lineRule="exact"/>
              <w:rPr>
                <w:rFonts w:ascii="黑体" w:hAnsi="黑体" w:eastAsia="黑体"/>
                <w:szCs w:val="21"/>
              </w:rPr>
            </w:pPr>
          </w:p>
        </w:tc>
        <w:tc>
          <w:tcPr>
            <w:tcW w:w="2976" w:type="dxa"/>
            <w:noWrap w:val="0"/>
            <w:tcMar>
              <w:left w:w="108" w:type="dxa"/>
              <w:right w:w="108" w:type="dxa"/>
            </w:tcMar>
            <w:vAlign w:val="center"/>
          </w:tcPr>
          <w:p w14:paraId="27F70DA1">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noWrap w:val="0"/>
            <w:tcMar>
              <w:left w:w="108" w:type="dxa"/>
              <w:right w:w="108" w:type="dxa"/>
            </w:tcMar>
            <w:vAlign w:val="center"/>
          </w:tcPr>
          <w:p w14:paraId="5F48F7E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F13D0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C0596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50C7C3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7FB049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365AA2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265BDEB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FD5A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2F6FB8F">
            <w:pPr>
              <w:rPr>
                <w:rFonts w:ascii="黑体" w:hAnsi="黑体" w:eastAsia="黑体"/>
                <w:szCs w:val="21"/>
              </w:rPr>
            </w:pPr>
          </w:p>
        </w:tc>
        <w:tc>
          <w:tcPr>
            <w:tcW w:w="1701" w:type="dxa"/>
            <w:vMerge w:val="continue"/>
            <w:noWrap w:val="0"/>
            <w:tcMar>
              <w:left w:w="108" w:type="dxa"/>
              <w:right w:w="108" w:type="dxa"/>
            </w:tcMar>
            <w:vAlign w:val="center"/>
          </w:tcPr>
          <w:p w14:paraId="179B53B4">
            <w:pPr>
              <w:spacing w:line="200" w:lineRule="exact"/>
              <w:rPr>
                <w:rFonts w:ascii="黑体" w:hAnsi="黑体" w:eastAsia="黑体"/>
                <w:szCs w:val="21"/>
              </w:rPr>
            </w:pPr>
          </w:p>
        </w:tc>
        <w:tc>
          <w:tcPr>
            <w:tcW w:w="2976" w:type="dxa"/>
            <w:noWrap w:val="0"/>
            <w:tcMar>
              <w:left w:w="108" w:type="dxa"/>
              <w:right w:w="108" w:type="dxa"/>
            </w:tcMar>
            <w:vAlign w:val="center"/>
          </w:tcPr>
          <w:p w14:paraId="5E71CD4C">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4A0B034C">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noWrap w:val="0"/>
            <w:tcMar>
              <w:left w:w="108" w:type="dxa"/>
              <w:right w:w="108" w:type="dxa"/>
            </w:tcMar>
            <w:vAlign w:val="center"/>
          </w:tcPr>
          <w:p w14:paraId="245E620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F9C6B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ED5AE3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554A9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5656D3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D4430B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FA0CF1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28D6F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F50967C">
            <w:pPr>
              <w:rPr>
                <w:rFonts w:ascii="黑体" w:hAnsi="黑体" w:eastAsia="黑体"/>
                <w:szCs w:val="21"/>
              </w:rPr>
            </w:pPr>
          </w:p>
        </w:tc>
        <w:tc>
          <w:tcPr>
            <w:tcW w:w="1701" w:type="dxa"/>
            <w:vMerge w:val="restart"/>
            <w:noWrap w:val="0"/>
            <w:tcMar>
              <w:left w:w="108" w:type="dxa"/>
              <w:right w:w="108" w:type="dxa"/>
            </w:tcMar>
            <w:vAlign w:val="center"/>
          </w:tcPr>
          <w:p w14:paraId="7FC8BD24">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14:paraId="7433F13E">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noWrap w:val="0"/>
            <w:tcMar>
              <w:left w:w="108" w:type="dxa"/>
              <w:right w:w="108" w:type="dxa"/>
            </w:tcMar>
            <w:vAlign w:val="center"/>
          </w:tcPr>
          <w:p w14:paraId="4E12BA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3EA57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751BAF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6B7B83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F8087C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1460A6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0E4C9BF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0622C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E0FD701">
            <w:pPr>
              <w:rPr>
                <w:rFonts w:ascii="黑体" w:hAnsi="黑体" w:eastAsia="黑体"/>
                <w:szCs w:val="21"/>
              </w:rPr>
            </w:pPr>
          </w:p>
        </w:tc>
        <w:tc>
          <w:tcPr>
            <w:tcW w:w="1701" w:type="dxa"/>
            <w:vMerge w:val="continue"/>
            <w:noWrap w:val="0"/>
            <w:tcMar>
              <w:left w:w="108" w:type="dxa"/>
              <w:right w:w="108" w:type="dxa"/>
            </w:tcMar>
            <w:vAlign w:val="center"/>
          </w:tcPr>
          <w:p w14:paraId="72F18A2F">
            <w:pPr>
              <w:widowControl/>
              <w:spacing w:line="300" w:lineRule="exact"/>
              <w:rPr>
                <w:rFonts w:ascii="黑体" w:hAnsi="黑体" w:eastAsia="黑体"/>
                <w:kern w:val="0"/>
                <w:szCs w:val="21"/>
              </w:rPr>
            </w:pPr>
          </w:p>
        </w:tc>
        <w:tc>
          <w:tcPr>
            <w:tcW w:w="2976" w:type="dxa"/>
            <w:noWrap w:val="0"/>
            <w:vAlign w:val="center"/>
          </w:tcPr>
          <w:p w14:paraId="55D08F68">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noWrap w:val="0"/>
            <w:tcMar>
              <w:left w:w="108" w:type="dxa"/>
              <w:right w:w="108" w:type="dxa"/>
            </w:tcMar>
            <w:vAlign w:val="center"/>
          </w:tcPr>
          <w:p w14:paraId="4D5CFAB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F271AE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5DB648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3C50B9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52457E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45159BB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05A0AA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xx</w:t>
            </w:r>
          </w:p>
        </w:tc>
      </w:tr>
      <w:tr w14:paraId="290A1E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EFB9DF8">
            <w:pPr>
              <w:rPr>
                <w:rFonts w:ascii="黑体" w:hAnsi="黑体" w:eastAsia="黑体"/>
                <w:szCs w:val="21"/>
              </w:rPr>
            </w:pPr>
          </w:p>
        </w:tc>
        <w:tc>
          <w:tcPr>
            <w:tcW w:w="1701" w:type="dxa"/>
            <w:vMerge w:val="continue"/>
            <w:noWrap w:val="0"/>
            <w:tcMar>
              <w:left w:w="108" w:type="dxa"/>
              <w:right w:w="108" w:type="dxa"/>
            </w:tcMar>
            <w:vAlign w:val="center"/>
          </w:tcPr>
          <w:p w14:paraId="7491A979">
            <w:pPr>
              <w:widowControl/>
              <w:spacing w:line="300" w:lineRule="exact"/>
              <w:rPr>
                <w:rFonts w:ascii="黑体" w:hAnsi="黑体" w:eastAsia="黑体"/>
                <w:kern w:val="0"/>
                <w:szCs w:val="21"/>
              </w:rPr>
            </w:pPr>
          </w:p>
        </w:tc>
        <w:tc>
          <w:tcPr>
            <w:tcW w:w="2976" w:type="dxa"/>
            <w:noWrap w:val="0"/>
            <w:vAlign w:val="center"/>
          </w:tcPr>
          <w:p w14:paraId="0C8735A8">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noWrap w:val="0"/>
            <w:tcMar>
              <w:left w:w="108" w:type="dxa"/>
              <w:right w:w="108" w:type="dxa"/>
            </w:tcMar>
            <w:vAlign w:val="center"/>
          </w:tcPr>
          <w:p w14:paraId="349C459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3118AC5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35768BD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3F0C99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293F1E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4E96249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77EAE86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r w14:paraId="73120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029EF5A">
            <w:pPr>
              <w:rPr>
                <w:rFonts w:ascii="黑体" w:hAnsi="黑体" w:eastAsia="黑体"/>
                <w:szCs w:val="21"/>
              </w:rPr>
            </w:pPr>
          </w:p>
        </w:tc>
        <w:tc>
          <w:tcPr>
            <w:tcW w:w="4677" w:type="dxa"/>
            <w:gridSpan w:val="2"/>
            <w:noWrap w:val="0"/>
            <w:tcMar>
              <w:left w:w="108" w:type="dxa"/>
              <w:right w:w="108" w:type="dxa"/>
            </w:tcMar>
            <w:vAlign w:val="center"/>
          </w:tcPr>
          <w:p w14:paraId="40EB0361">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noWrap w:val="0"/>
            <w:tcMar>
              <w:left w:w="108" w:type="dxa"/>
              <w:right w:w="108" w:type="dxa"/>
            </w:tcMar>
            <w:vAlign w:val="center"/>
          </w:tcPr>
          <w:p w14:paraId="5809987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4C81D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669AAA8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35D445B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1119D5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02D514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782C93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r w14:paraId="24368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1490D518">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noWrap w:val="0"/>
            <w:tcMar>
              <w:left w:w="108" w:type="dxa"/>
              <w:right w:w="108" w:type="dxa"/>
            </w:tcMar>
            <w:vAlign w:val="center"/>
          </w:tcPr>
          <w:p w14:paraId="5756815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1DDADB4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noWrap w:val="0"/>
            <w:tcMar>
              <w:left w:w="108" w:type="dxa"/>
              <w:right w:w="108" w:type="dxa"/>
            </w:tcMar>
            <w:vAlign w:val="center"/>
          </w:tcPr>
          <w:p w14:paraId="74E7CB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noWrap w:val="0"/>
            <w:tcMar>
              <w:left w:w="108" w:type="dxa"/>
              <w:right w:w="108" w:type="dxa"/>
            </w:tcMar>
            <w:vAlign w:val="center"/>
          </w:tcPr>
          <w:p w14:paraId="5D819A2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noWrap w:val="0"/>
            <w:tcMar>
              <w:left w:w="108" w:type="dxa"/>
              <w:right w:w="108" w:type="dxa"/>
            </w:tcMar>
            <w:vAlign w:val="center"/>
          </w:tcPr>
          <w:p w14:paraId="6F80A57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noWrap w:val="0"/>
            <w:tcMar>
              <w:left w:w="108" w:type="dxa"/>
              <w:right w:w="108" w:type="dxa"/>
            </w:tcMar>
            <w:vAlign w:val="center"/>
          </w:tcPr>
          <w:p w14:paraId="45E749D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noWrap w:val="0"/>
            <w:tcMar>
              <w:left w:w="108" w:type="dxa"/>
              <w:right w:w="108" w:type="dxa"/>
            </w:tcMar>
            <w:vAlign w:val="center"/>
          </w:tcPr>
          <w:p w14:paraId="1954AD7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bl>
    <w:p w14:paraId="59834674">
      <w:pPr>
        <w:spacing w:before="380" w:after="140" w:line="288" w:lineRule="auto"/>
        <w:ind w:left="0" w:firstLine="640" w:firstLineChars="200"/>
        <w:jc w:val="left"/>
        <w:outlineLvl w:val="0"/>
        <w:rPr>
          <w:rFonts w:hint="eastAsia" w:ascii="黑体" w:hAnsi="黑体" w:eastAsia="黑体" w:cs="黑体"/>
          <w:b w:val="0"/>
          <w:bCs/>
          <w:sz w:val="32"/>
          <w:szCs w:val="32"/>
        </w:rPr>
      </w:pPr>
      <w:bookmarkStart w:id="17" w:name="heading_8"/>
      <w:r>
        <w:rPr>
          <w:rFonts w:hint="eastAsia" w:ascii="黑体" w:hAnsi="黑体" w:eastAsia="黑体" w:cs="黑体"/>
          <w:b w:val="0"/>
          <w:bCs/>
          <w:sz w:val="32"/>
          <w:szCs w:val="32"/>
        </w:rPr>
        <w:t>四、政府信息公开行政复议、行政诉讼情况</w:t>
      </w:r>
      <w:bookmarkEnd w:id="17"/>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1B4233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764D39">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27A97119">
            <w:pPr>
              <w:widowControl/>
              <w:jc w:val="center"/>
              <w:rPr>
                <w:rFonts w:ascii="黑体" w:hAnsi="黑体" w:eastAsia="黑体"/>
              </w:rPr>
            </w:pPr>
            <w:r>
              <w:rPr>
                <w:rFonts w:ascii="黑体" w:hAnsi="黑体" w:eastAsia="黑体"/>
                <w:kern w:val="0"/>
                <w:sz w:val="20"/>
                <w:szCs w:val="20"/>
              </w:rPr>
              <w:t>行政诉讼</w:t>
            </w:r>
          </w:p>
        </w:tc>
      </w:tr>
      <w:tr w14:paraId="66E951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13BD4DD">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4C758C4C">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6B966267">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35AB364">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175B67D">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0AF0FB7C">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9196BF3">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BD742B0">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768DFCFC">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313C585">
            <w:pPr>
              <w:widowControl/>
              <w:jc w:val="center"/>
              <w:rPr>
                <w:rFonts w:ascii="黑体" w:hAnsi="黑体" w:eastAsia="黑体"/>
              </w:rPr>
            </w:pPr>
            <w:bookmarkStart w:id="18" w:name="_Hlk67039688"/>
            <w:r>
              <w:rPr>
                <w:rFonts w:ascii="黑体" w:hAnsi="黑体" w:eastAsia="黑体"/>
                <w:kern w:val="0"/>
                <w:sz w:val="20"/>
                <w:szCs w:val="20"/>
              </w:rPr>
              <w:t>复议后起诉</w:t>
            </w:r>
            <w:bookmarkEnd w:id="18"/>
          </w:p>
        </w:tc>
      </w:tr>
      <w:tr w14:paraId="0263FF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0B18D3D">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0E2F6963">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711E30F0">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3689151">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10C65E4">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269E22F1">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EAEB47A">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2045106">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5676A253">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DEC940E">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3C31FBEE">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EE30EC3">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2A50510">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3631DF2">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6611A5DA">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D4949CF">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0F598DD8">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990CEF0">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FBDA678">
            <w:pPr>
              <w:widowControl/>
              <w:jc w:val="center"/>
              <w:rPr>
                <w:rFonts w:ascii="黑体" w:hAnsi="黑体" w:eastAsia="黑体"/>
              </w:rPr>
            </w:pPr>
            <w:r>
              <w:rPr>
                <w:rFonts w:ascii="黑体" w:hAnsi="黑体" w:eastAsia="黑体"/>
                <w:kern w:val="0"/>
                <w:sz w:val="20"/>
                <w:szCs w:val="20"/>
              </w:rPr>
              <w:t>总计</w:t>
            </w:r>
          </w:p>
        </w:tc>
      </w:tr>
      <w:tr w14:paraId="05CB2B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04" w:type="dxa"/>
            <w:tcBorders>
              <w:top w:val="nil"/>
              <w:left w:val="single" w:color="auto" w:sz="8" w:space="0"/>
              <w:bottom w:val="single" w:color="auto" w:sz="4" w:space="0"/>
              <w:right w:val="single" w:color="auto" w:sz="8" w:space="0"/>
            </w:tcBorders>
            <w:noWrap w:val="0"/>
            <w:tcMar>
              <w:left w:w="108" w:type="dxa"/>
              <w:right w:w="108" w:type="dxa"/>
            </w:tcMar>
            <w:vAlign w:val="center"/>
          </w:tcPr>
          <w:p w14:paraId="2F9F6A0B">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4" w:space="0"/>
              <w:right w:val="single" w:color="auto" w:sz="8" w:space="0"/>
            </w:tcBorders>
            <w:noWrap w:val="0"/>
            <w:tcMar>
              <w:left w:w="108" w:type="dxa"/>
              <w:right w:w="108" w:type="dxa"/>
            </w:tcMar>
            <w:vAlign w:val="center"/>
          </w:tcPr>
          <w:p w14:paraId="6BD360AC">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4" w:space="0"/>
              <w:right w:val="single" w:color="auto" w:sz="8" w:space="0"/>
            </w:tcBorders>
            <w:noWrap w:val="0"/>
            <w:tcMar>
              <w:left w:w="108" w:type="dxa"/>
              <w:right w:w="108" w:type="dxa"/>
            </w:tcMar>
            <w:vAlign w:val="center"/>
          </w:tcPr>
          <w:p w14:paraId="798455E1">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4" w:space="0"/>
              <w:right w:val="single" w:color="auto" w:sz="8" w:space="0"/>
            </w:tcBorders>
            <w:noWrap w:val="0"/>
            <w:tcMar>
              <w:left w:w="108" w:type="dxa"/>
              <w:right w:w="108" w:type="dxa"/>
            </w:tcMar>
            <w:vAlign w:val="center"/>
          </w:tcPr>
          <w:p w14:paraId="578D5373">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4" w:space="0"/>
              <w:right w:val="single" w:color="auto" w:sz="8" w:space="0"/>
            </w:tcBorders>
            <w:noWrap w:val="0"/>
            <w:tcMar>
              <w:left w:w="108" w:type="dxa"/>
              <w:right w:w="108" w:type="dxa"/>
            </w:tcMar>
            <w:vAlign w:val="center"/>
          </w:tcPr>
          <w:p w14:paraId="7D008BE5">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4" w:space="0"/>
              <w:right w:val="single" w:color="auto" w:sz="8" w:space="0"/>
            </w:tcBorders>
            <w:noWrap w:val="0"/>
            <w:tcMar>
              <w:left w:w="108" w:type="dxa"/>
              <w:right w:w="108" w:type="dxa"/>
            </w:tcMar>
            <w:vAlign w:val="center"/>
          </w:tcPr>
          <w:p w14:paraId="0A41E67C">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4" w:space="0"/>
              <w:right w:val="single" w:color="auto" w:sz="8" w:space="0"/>
            </w:tcBorders>
            <w:noWrap w:val="0"/>
            <w:tcMar>
              <w:left w:w="108" w:type="dxa"/>
              <w:right w:w="108" w:type="dxa"/>
            </w:tcMar>
            <w:vAlign w:val="center"/>
          </w:tcPr>
          <w:p w14:paraId="22951341">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4" w:space="0"/>
              <w:right w:val="single" w:color="auto" w:sz="8" w:space="0"/>
            </w:tcBorders>
            <w:noWrap w:val="0"/>
            <w:tcMar>
              <w:left w:w="108" w:type="dxa"/>
              <w:right w:w="108" w:type="dxa"/>
            </w:tcMar>
            <w:vAlign w:val="center"/>
          </w:tcPr>
          <w:p w14:paraId="6B76B5E4">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4" w:space="0"/>
              <w:right w:val="single" w:color="auto" w:sz="8" w:space="0"/>
            </w:tcBorders>
            <w:noWrap w:val="0"/>
            <w:tcMar>
              <w:left w:w="108" w:type="dxa"/>
              <w:right w:w="108" w:type="dxa"/>
            </w:tcMar>
            <w:vAlign w:val="center"/>
          </w:tcPr>
          <w:p w14:paraId="7BBB8270">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4" w:space="0"/>
              <w:right w:val="single" w:color="auto" w:sz="8" w:space="0"/>
            </w:tcBorders>
            <w:noWrap w:val="0"/>
            <w:tcMar>
              <w:left w:w="108" w:type="dxa"/>
              <w:right w:w="108" w:type="dxa"/>
            </w:tcMar>
            <w:vAlign w:val="center"/>
          </w:tcPr>
          <w:p w14:paraId="025E16BE">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4" w:space="0"/>
              <w:right w:val="single" w:color="auto" w:sz="8" w:space="0"/>
            </w:tcBorders>
            <w:noWrap w:val="0"/>
            <w:tcMar>
              <w:left w:w="108" w:type="dxa"/>
              <w:right w:w="108" w:type="dxa"/>
            </w:tcMar>
            <w:vAlign w:val="center"/>
          </w:tcPr>
          <w:p w14:paraId="18992C38">
            <w:pPr>
              <w:widowControl/>
              <w:spacing w:after="180"/>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4" w:space="0"/>
              <w:right w:val="single" w:color="auto" w:sz="8" w:space="0"/>
            </w:tcBorders>
            <w:noWrap w:val="0"/>
            <w:tcMar>
              <w:left w:w="108" w:type="dxa"/>
              <w:right w:w="108" w:type="dxa"/>
            </w:tcMar>
            <w:vAlign w:val="center"/>
          </w:tcPr>
          <w:p w14:paraId="5D0A4A25">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4" w:space="0"/>
              <w:right w:val="single" w:color="auto" w:sz="8" w:space="0"/>
            </w:tcBorders>
            <w:noWrap w:val="0"/>
            <w:tcMar>
              <w:left w:w="108" w:type="dxa"/>
              <w:right w:w="108" w:type="dxa"/>
            </w:tcMar>
            <w:vAlign w:val="center"/>
          </w:tcPr>
          <w:p w14:paraId="6FCB7C59">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4" w:space="0"/>
              <w:right w:val="single" w:color="auto" w:sz="8" w:space="0"/>
            </w:tcBorders>
            <w:noWrap w:val="0"/>
            <w:tcMar>
              <w:left w:w="108" w:type="dxa"/>
              <w:right w:w="108" w:type="dxa"/>
            </w:tcMar>
            <w:vAlign w:val="center"/>
          </w:tcPr>
          <w:p w14:paraId="50712C82">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4" w:space="0"/>
              <w:right w:val="single" w:color="auto" w:sz="8" w:space="0"/>
            </w:tcBorders>
            <w:noWrap w:val="0"/>
            <w:tcMar>
              <w:left w:w="108" w:type="dxa"/>
              <w:right w:w="108" w:type="dxa"/>
            </w:tcMar>
            <w:vAlign w:val="center"/>
          </w:tcPr>
          <w:p w14:paraId="30F1EEE8">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14:paraId="18669535">
      <w:pPr>
        <w:keepNext w:val="0"/>
        <w:keepLines w:val="0"/>
        <w:pageBreakBefore w:val="0"/>
        <w:widowControl w:val="0"/>
        <w:kinsoku/>
        <w:wordWrap/>
        <w:overflowPunct/>
        <w:topLinePunct w:val="0"/>
        <w:autoSpaceDE/>
        <w:autoSpaceDN/>
        <w:bidi w:val="0"/>
        <w:adjustRightInd/>
        <w:snapToGrid/>
        <w:spacing w:before="380" w:after="140" w:line="560" w:lineRule="exact"/>
        <w:ind w:firstLine="640" w:firstLineChars="200"/>
        <w:jc w:val="left"/>
        <w:textAlignment w:val="auto"/>
        <w:outlineLvl w:val="0"/>
        <w:rPr>
          <w:rFonts w:hint="eastAsia" w:ascii="黑体" w:hAnsi="黑体" w:eastAsia="黑体" w:cs="黑体"/>
          <w:b w:val="0"/>
          <w:bCs/>
          <w:sz w:val="32"/>
          <w:szCs w:val="32"/>
        </w:rPr>
      </w:pPr>
      <w:bookmarkStart w:id="19" w:name="heading_9"/>
      <w:r>
        <w:rPr>
          <w:rFonts w:hint="eastAsia" w:ascii="黑体" w:hAnsi="黑体" w:eastAsia="黑体" w:cs="黑体"/>
          <w:b w:val="0"/>
          <w:bCs/>
          <w:sz w:val="32"/>
          <w:szCs w:val="32"/>
        </w:rPr>
        <w:t>五、存在的主要问题及改进情况</w:t>
      </w:r>
      <w:bookmarkEnd w:id="19"/>
    </w:p>
    <w:p w14:paraId="428BF64D">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区司法局在政府信息公开工作方面，按照上级的部署和要求，持续稳步推进，但仍存在一些不足之处。主要问题集中在两个方面：一是公开内容与群众需求的精准匹配度有待提升，针对企业法治需求、公共法律服务等领域的信息公开深度不足；二是新媒体平台政务公开功能发挥不充分，互动回应的及时性和针对性需进一步加强。</w:t>
      </w:r>
    </w:p>
    <w:p w14:paraId="7D79EA1F">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为了改进这些问题，2025年区司法局积极组织召开政务公开工作业务培训会，认真对照并贯彻落实上级关于政务公开工作的最新要求。我们致力于在以下几个方面取得进展：</w:t>
      </w:r>
    </w:p>
    <w:p w14:paraId="459456DC">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强化精准公开导向。聚焦企业和群众关切，围绕“法语春风”护企发展、公共法律服务便民举措等重点工作，梳理公开清单，深入挖掘信息内涵，提升公开内容的实用性和针对性，确保公开信息与群众需求同频共振。</w:t>
      </w:r>
    </w:p>
    <w:p w14:paraId="091DD228">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提升平台互动效能。优化新媒体平台运营管理，建立互动回应台账，对群众咨询、留言实行限时答复机制；结合法治宣传“七进”活动，增设线下政务公开互动环节，收集群众意见建议，及时调整公开内容和形式，增强政民互动的有效性。</w:t>
      </w:r>
    </w:p>
    <w:p w14:paraId="7B5EA7BE">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通过这些努力，我们期望能够进一步提升区司法局的政府信息公开工作水平，更好地服务于公众，增强政府的透明度和公信力。</w:t>
      </w:r>
    </w:p>
    <w:p w14:paraId="6B23A0EC">
      <w:pPr>
        <w:keepNext w:val="0"/>
        <w:keepLines w:val="0"/>
        <w:pageBreakBefore w:val="0"/>
        <w:widowControl w:val="0"/>
        <w:kinsoku/>
        <w:wordWrap/>
        <w:overflowPunct/>
        <w:topLinePunct w:val="0"/>
        <w:autoSpaceDE/>
        <w:autoSpaceDN/>
        <w:bidi w:val="0"/>
        <w:adjustRightInd/>
        <w:snapToGrid/>
        <w:spacing w:before="380" w:after="140" w:line="560" w:lineRule="exact"/>
        <w:ind w:left="0" w:firstLine="640" w:firstLineChars="200"/>
        <w:jc w:val="left"/>
        <w:textAlignment w:val="auto"/>
        <w:outlineLvl w:val="0"/>
        <w:rPr>
          <w:rFonts w:hint="eastAsia" w:ascii="黑体" w:hAnsi="黑体" w:eastAsia="黑体" w:cs="黑体"/>
          <w:b w:val="0"/>
          <w:bCs/>
          <w:sz w:val="32"/>
          <w:szCs w:val="32"/>
        </w:rPr>
      </w:pPr>
      <w:bookmarkStart w:id="20" w:name="heading_10"/>
      <w:r>
        <w:rPr>
          <w:rFonts w:hint="eastAsia" w:ascii="黑体" w:hAnsi="黑体" w:eastAsia="黑体" w:cs="黑体"/>
          <w:b w:val="0"/>
          <w:bCs/>
          <w:sz w:val="32"/>
          <w:szCs w:val="32"/>
        </w:rPr>
        <w:t>六、其他需要报告的事项</w:t>
      </w:r>
      <w:bookmarkEnd w:id="20"/>
    </w:p>
    <w:p w14:paraId="23209652">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收取信息处理费情况。</w:t>
      </w:r>
      <w:r>
        <w:rPr>
          <w:rFonts w:hint="eastAsia" w:ascii="仿宋_GB2312" w:hAnsi="仿宋_GB2312" w:eastAsia="仿宋_GB2312" w:cs="仿宋_GB2312"/>
          <w:sz w:val="32"/>
          <w:szCs w:val="32"/>
        </w:rPr>
        <w:t>依据《国务院办公厅关于印发〈政府信息公开信息处理费管理办法〉的通知》（国办函〔2020〕109号）和《山东省人民政府办公厅关于做好政府信息公开信息处理费管理工作有关事项的通知》（鲁政办字〔2020〕179号）收取信息处理费。2025年区司法局未收取任何费用。</w:t>
      </w:r>
    </w:p>
    <w:p w14:paraId="657C5231">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二）</w:t>
      </w:r>
      <w:r>
        <w:rPr>
          <w:rFonts w:hint="eastAsia" w:ascii="楷体_GB2312" w:hAnsi="楷体_GB2312" w:eastAsia="楷体_GB2312" w:cs="楷体_GB2312"/>
          <w:b w:val="0"/>
          <w:bCs/>
          <w:sz w:val="32"/>
          <w:szCs w:val="32"/>
          <w:lang w:eastAsia="zh-CN"/>
        </w:rPr>
        <w:t>人大建议、政协提案办理情况。</w:t>
      </w:r>
      <w:r>
        <w:rPr>
          <w:rFonts w:hint="eastAsia" w:ascii="仿宋_GB2312" w:hAnsi="仿宋_GB2312" w:eastAsia="仿宋_GB2312" w:cs="仿宋_GB2312"/>
          <w:color w:val="auto"/>
          <w:sz w:val="32"/>
          <w:szCs w:val="32"/>
        </w:rPr>
        <w:t>临淄区司法局2025年收到临淄</w:t>
      </w:r>
      <w:r>
        <w:rPr>
          <w:rFonts w:hint="eastAsia" w:ascii="仿宋_GB2312" w:hAnsi="仿宋_GB2312" w:eastAsia="仿宋_GB2312" w:cs="仿宋_GB2312"/>
          <w:color w:val="auto"/>
          <w:sz w:val="32"/>
          <w:szCs w:val="32"/>
          <w:lang w:val="en-US" w:eastAsia="zh-CN"/>
        </w:rPr>
        <w:t>区十九届人大四次会议</w:t>
      </w:r>
      <w:r>
        <w:rPr>
          <w:rFonts w:hint="eastAsia" w:ascii="仿宋_GB2312" w:hAnsi="仿宋_GB2312" w:eastAsia="仿宋_GB2312" w:cs="仿宋_GB2312"/>
          <w:color w:val="auto"/>
          <w:sz w:val="32"/>
          <w:szCs w:val="32"/>
        </w:rPr>
        <w:t>建议2件、临淄区政协十</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届四次会议提案</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件，均已全部办理完成，办结率、满意率均为100%。</w:t>
      </w:r>
      <w:r>
        <w:rPr>
          <w:rFonts w:hint="eastAsia" w:ascii="仿宋_GB2312" w:hAnsi="仿宋_GB2312" w:eastAsia="仿宋_GB2312" w:cs="仿宋_GB2312"/>
          <w:sz w:val="32"/>
          <w:szCs w:val="32"/>
        </w:rPr>
        <w:t>区司法局认真落实人大代表建议及政协提案办理结果公开的相关规定，健全完善办理结果公开机制，广泛接受监督。严格按照办理时限要求，分阶段及时反馈，并根据办理工作进展情况，开展督促检查。对于所有建议、提案，均以正式文件书面答复代表、委员；对于协办的建议、提案，均以正式文件书面反馈主办单位。</w:t>
      </w:r>
    </w:p>
    <w:p w14:paraId="05A94DF7">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lang w:eastAsia="zh-CN"/>
        </w:rPr>
        <w:t>政务公开工作创新情况。</w:t>
      </w:r>
      <w:r>
        <w:rPr>
          <w:rFonts w:hint="eastAsia" w:ascii="仿宋_GB2312" w:hAnsi="仿宋_GB2312" w:eastAsia="仿宋_GB2312" w:cs="仿宋_GB2312"/>
          <w:sz w:val="32"/>
          <w:szCs w:val="32"/>
        </w:rPr>
        <w:t>深化新媒体矩阵建设，打造“线上+线下”融合公开模式，线上通过政务新媒体开设“法治微课堂”“便民服务指南”专栏，全年发布系列解读视频35个；线下在区公共法律服务中心设置政务公开体验区，配备专人引导群众查询信息，发放各类普法及政务公开宣传材料6000余份，解答群众法律咨询2600余人次。积极推动与主流新闻媒体、重点新闻网站的协同联动，形成矩阵式交互传播，充分发挥集群效应。</w:t>
      </w:r>
    </w:p>
    <w:p w14:paraId="4CB5C5F5">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四）</w:t>
      </w:r>
      <w:r>
        <w:rPr>
          <w:rFonts w:hint="eastAsia" w:ascii="楷体_GB2312" w:hAnsi="楷体_GB2312" w:eastAsia="楷体_GB2312" w:cs="楷体_GB2312"/>
          <w:sz w:val="32"/>
          <w:szCs w:val="32"/>
        </w:rPr>
        <w:t>《2025年临淄区政务公开工作方案》落实情况。</w:t>
      </w:r>
      <w:r>
        <w:rPr>
          <w:rFonts w:hint="eastAsia" w:ascii="仿宋_GB2312" w:hAnsi="仿宋_GB2312" w:eastAsia="仿宋_GB2312" w:cs="仿宋_GB2312"/>
          <w:sz w:val="32"/>
          <w:szCs w:val="32"/>
        </w:rPr>
        <w:t>区司法局深入开展政务公开工作，梳理形成《临淄区司法局政务公开工作任务台账》，明确5大类23项具体任务，推进更高水平政务公开。主动公开政府信息，不断提高信息公开意识和服务意识，结合“一把手”跟执法活动，公开涉企执法服务相关信息，做到主动公开、及时公开、全面公开。</w:t>
      </w:r>
    </w:p>
    <w:p w14:paraId="334DAE99">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rPr>
      </w:pPr>
    </w:p>
    <w:p w14:paraId="7DE751B6">
      <w:pPr>
        <w:spacing w:before="120" w:after="120" w:line="288" w:lineRule="auto"/>
        <w:ind w:left="0"/>
        <w:jc w:val="left"/>
      </w:pPr>
      <w:bookmarkStart w:id="21" w:name="_GoBack"/>
      <w:bookmarkEnd w:id="21"/>
    </w:p>
    <w:sectPr>
      <w:headerReference r:id="rId3" w:type="default"/>
      <w:footerReference r:id="rId4" w:type="default"/>
      <w:pgSz w:w="11905" w:h="16840"/>
      <w:pgMar w:top="2098" w:right="1587" w:bottom="1701"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A76C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28A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C06D5"/>
    <w:rsid w:val="0BBA57B3"/>
    <w:rsid w:val="12786B63"/>
    <w:rsid w:val="18222F3C"/>
    <w:rsid w:val="1F9574E3"/>
    <w:rsid w:val="2381420E"/>
    <w:rsid w:val="254E4396"/>
    <w:rsid w:val="29D62BAC"/>
    <w:rsid w:val="2EBA3D12"/>
    <w:rsid w:val="31724F56"/>
    <w:rsid w:val="3BB857C2"/>
    <w:rsid w:val="430976F7"/>
    <w:rsid w:val="46360058"/>
    <w:rsid w:val="5293012E"/>
    <w:rsid w:val="648F3AA8"/>
    <w:rsid w:val="66D97722"/>
    <w:rsid w:val="6B894F68"/>
    <w:rsid w:val="6F743611"/>
    <w:rsid w:val="73617E8D"/>
    <w:rsid w:val="7C7962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3061</Words>
  <Characters>3198</Characters>
  <TotalTime>2</TotalTime>
  <ScaleCrop>false</ScaleCrop>
  <LinksUpToDate>false</LinksUpToDate>
  <CharactersWithSpaces>3237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2026-01-09T06:38:00Z</dcterms:created>
  <dc:creator>Apache POI</dc:creator>
  <cp:lastModifiedBy>糖芯</cp:lastModifiedBy>
  <dcterms:modified xsi:type="dcterms:W3CDTF">2026-01-28T03:09:23Z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eyJoZGlkIjoiZjQ5YmNjNGRiYmMyM2VhZTljMjQ3YTY0Nzk4MjJmOTMiLCJ1c2VySWQiOiI1MTg0NDc3MzkifQ==</vt:lpwstr>
  </property>
  <property fmtid="{D5CDD505-2E9C-101B-9397-08002B2CF9AE}" pid="3" name="KSOProductBuildVer">
    <vt:lpwstr>2052-12.1.0.24034</vt:lpwstr>
  </property>
  <property fmtid="{D5CDD505-2E9C-101B-9397-08002B2CF9AE}" pid="4" name="ICV">
    <vt:lpwstr>DB098D56EB54470786B4A5D65CA5C92B_13</vt:lpwstr>
  </property>
</Properties>
</file>