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行政复议证据材料清单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38"/>
        <w:gridCol w:w="1575"/>
        <w:gridCol w:w="246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证据名称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证据来源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对象或内容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61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提交时间：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《行政复议证据材料清单》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使用指南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楷体" w:hAnsi="楷体" w:eastAsia="楷体" w:cs="楷体"/>
          <w:b/>
          <w:bCs/>
          <w:sz w:val="18"/>
          <w:szCs w:val="1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行政复议原则上由被申请人负举证责任，但在特殊情况下，行政复议申请人也要承担一定的举证义务。《中华人民共和国行政复议法实施条例》第 21条规定，有下列情形之一的，申请人应当提供证明材料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一）认为被申请人不履行法定职责的，提供曾经要求被申请人履行法定职责而被申请人未履行的证明材料;（二）申请行政复议时一并提出行政赔偿请求的，提供受具体行政行为侵害而造成损害的证明材料;（三）法律、法规规定需要申请人提供证据材料的其他情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574B"/>
    <w:rsid w:val="0324574B"/>
    <w:rsid w:val="03875E37"/>
    <w:rsid w:val="06BC6866"/>
    <w:rsid w:val="0CBF6689"/>
    <w:rsid w:val="0D412689"/>
    <w:rsid w:val="12FD4781"/>
    <w:rsid w:val="1A57240E"/>
    <w:rsid w:val="1BEE5ACB"/>
    <w:rsid w:val="2A4C1156"/>
    <w:rsid w:val="352A39D9"/>
    <w:rsid w:val="3F0046D8"/>
    <w:rsid w:val="4B627F89"/>
    <w:rsid w:val="4B815943"/>
    <w:rsid w:val="55C31F93"/>
    <w:rsid w:val="57266E5D"/>
    <w:rsid w:val="647D285C"/>
    <w:rsid w:val="649B6372"/>
    <w:rsid w:val="75A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3485</Words>
  <Characters>3517</Characters>
  <Lines>0</Lines>
  <Paragraphs>0</Paragraphs>
  <TotalTime>17</TotalTime>
  <ScaleCrop>false</ScaleCrop>
  <LinksUpToDate>false</LinksUpToDate>
  <CharactersWithSpaces>7292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2021-11-11T10:02:00Z</dcterms:created>
  <dc:creator>风 顺</dc:creator>
  <cp:lastModifiedBy>风 顺</cp:lastModifiedBy>
  <dcterms:modified xsi:type="dcterms:W3CDTF">2021-11-12T03:37:11Z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4A69042AECA3416C8BDE051D3AC9CBC0</vt:lpwstr>
  </property>
</Properties>
</file>