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64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临淄区司法局20</w:t>
      </w:r>
      <w:r>
        <w:rPr>
          <w:rFonts w:ascii="方正小标宋简体" w:hAnsi="黑体" w:eastAsia="方正小标宋简体"/>
          <w:sz w:val="44"/>
          <w:szCs w:val="44"/>
        </w:rPr>
        <w:t>2</w:t>
      </w:r>
      <w:r>
        <w:rPr>
          <w:rFonts w:hint="eastAsia" w:ascii="方正小标宋简体" w:hAnsi="黑体" w:eastAsia="方正小标宋简体"/>
          <w:sz w:val="44"/>
          <w:szCs w:val="44"/>
          <w:lang w:val="en-US" w:eastAsia="zh-CN"/>
        </w:rPr>
        <w:t>3</w:t>
      </w:r>
      <w:r>
        <w:rPr>
          <w:rFonts w:hint="eastAsia" w:ascii="方正小标宋简体" w:hAnsi="黑体" w:eastAsia="方正小标宋简体"/>
          <w:sz w:val="44"/>
          <w:szCs w:val="44"/>
        </w:rPr>
        <w:t>年政府信息公开工作</w:t>
      </w:r>
    </w:p>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年度报告</w:t>
      </w:r>
    </w:p>
    <w:p>
      <w:pPr>
        <w:spacing w:line="640" w:lineRule="exact"/>
        <w:jc w:val="center"/>
        <w:rPr>
          <w:rFonts w:ascii="方正小标宋简体" w:hAnsi="黑体" w:eastAsia="方正小标宋简体"/>
          <w:sz w:val="44"/>
          <w:szCs w:val="44"/>
        </w:rPr>
      </w:pPr>
    </w:p>
    <w:p>
      <w:pPr>
        <w:spacing w:line="560" w:lineRule="exact"/>
        <w:ind w:firstLine="640" w:firstLineChars="200"/>
        <w:rPr>
          <w:rFonts w:hint="eastAsia" w:ascii="仿宋" w:hAnsi="仿宋" w:eastAsia="仿宋"/>
          <w:color w:val="000000"/>
          <w:sz w:val="32"/>
          <w:szCs w:val="32"/>
        </w:rPr>
      </w:pPr>
      <w:r>
        <w:rPr>
          <w:rFonts w:ascii="仿宋" w:hAnsi="仿宋" w:eastAsia="仿宋" w:cs="仿宋"/>
          <w:i w:val="0"/>
          <w:iCs w:val="0"/>
          <w:caps w:val="0"/>
          <w:color w:val="000000"/>
          <w:spacing w:val="0"/>
          <w:sz w:val="32"/>
          <w:szCs w:val="32"/>
          <w:shd w:val="clear" w:fill="FFFFFF"/>
        </w:rPr>
        <w:t>本报告按照《国务院办公厅政府信息与政务公开办公室关于印发</w:t>
      </w:r>
      <w:r>
        <w:rPr>
          <w:rFonts w:hint="eastAsia" w:ascii="仿宋" w:hAnsi="仿宋" w:eastAsia="仿宋" w:cs="仿宋"/>
          <w:i w:val="0"/>
          <w:iCs w:val="0"/>
          <w:caps w:val="0"/>
          <w:color w:val="000000"/>
          <w:spacing w:val="0"/>
          <w:sz w:val="32"/>
          <w:szCs w:val="32"/>
          <w:shd w:val="clear" w:fill="FFFFFF"/>
          <w:lang w:val="en-US"/>
        </w:rPr>
        <w:t>&lt;</w:t>
      </w:r>
      <w:r>
        <w:rPr>
          <w:rFonts w:hint="eastAsia" w:ascii="仿宋" w:hAnsi="仿宋" w:eastAsia="仿宋" w:cs="仿宋"/>
          <w:i w:val="0"/>
          <w:iCs w:val="0"/>
          <w:caps w:val="0"/>
          <w:color w:val="000000"/>
          <w:spacing w:val="0"/>
          <w:sz w:val="32"/>
          <w:szCs w:val="32"/>
          <w:shd w:val="clear" w:fill="FFFFFF"/>
        </w:rPr>
        <w:t>中华人民共和国政府信息公开工作年度报告格式</w:t>
      </w:r>
      <w:r>
        <w:rPr>
          <w:rFonts w:hint="eastAsia" w:ascii="仿宋" w:hAnsi="仿宋" w:eastAsia="仿宋" w:cs="仿宋"/>
          <w:i w:val="0"/>
          <w:iCs w:val="0"/>
          <w:caps w:val="0"/>
          <w:color w:val="000000"/>
          <w:spacing w:val="0"/>
          <w:sz w:val="32"/>
          <w:szCs w:val="32"/>
          <w:shd w:val="clear" w:fill="FFFFFF"/>
          <w:lang w:val="en-US"/>
        </w:rPr>
        <w:t>&gt;</w:t>
      </w:r>
      <w:r>
        <w:rPr>
          <w:rFonts w:hint="eastAsia" w:ascii="仿宋" w:hAnsi="仿宋" w:eastAsia="仿宋" w:cs="仿宋"/>
          <w:i w:val="0"/>
          <w:iCs w:val="0"/>
          <w:caps w:val="0"/>
          <w:color w:val="000000"/>
          <w:spacing w:val="0"/>
          <w:sz w:val="32"/>
          <w:szCs w:val="32"/>
          <w:shd w:val="clear" w:fill="FFFFFF"/>
        </w:rPr>
        <w:t>的通知》</w:t>
      </w:r>
      <w:r>
        <w:rPr>
          <w:rFonts w:hint="eastAsia" w:ascii="仿宋" w:hAnsi="仿宋" w:eastAsia="仿宋" w:cs="仿宋"/>
          <w:i w:val="0"/>
          <w:iCs w:val="0"/>
          <w:caps w:val="0"/>
          <w:color w:val="000000"/>
          <w:spacing w:val="0"/>
          <w:sz w:val="32"/>
          <w:szCs w:val="32"/>
          <w:shd w:val="clear" w:fill="FFFFFF"/>
          <w:lang w:val="en-US"/>
        </w:rPr>
        <w:t>(</w:t>
      </w:r>
      <w:r>
        <w:rPr>
          <w:rFonts w:hint="eastAsia" w:ascii="仿宋" w:hAnsi="仿宋" w:eastAsia="仿宋" w:cs="仿宋"/>
          <w:i w:val="0"/>
          <w:iCs w:val="0"/>
          <w:caps w:val="0"/>
          <w:color w:val="000000"/>
          <w:spacing w:val="0"/>
          <w:sz w:val="32"/>
          <w:szCs w:val="32"/>
          <w:shd w:val="clear" w:fill="FFFFFF"/>
        </w:rPr>
        <w:t>国办公开办函〔</w:t>
      </w:r>
      <w:r>
        <w:rPr>
          <w:rFonts w:hint="eastAsia" w:ascii="仿宋" w:hAnsi="仿宋" w:eastAsia="仿宋" w:cs="仿宋"/>
          <w:i w:val="0"/>
          <w:iCs w:val="0"/>
          <w:caps w:val="0"/>
          <w:color w:val="000000"/>
          <w:spacing w:val="0"/>
          <w:sz w:val="32"/>
          <w:szCs w:val="32"/>
          <w:shd w:val="clear" w:fill="FFFFFF"/>
          <w:lang w:val="en-US"/>
        </w:rPr>
        <w:t>2021</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rPr>
        <w:t>30</w:t>
      </w:r>
      <w:r>
        <w:rPr>
          <w:rFonts w:hint="eastAsia" w:ascii="仿宋" w:hAnsi="仿宋" w:eastAsia="仿宋" w:cs="仿宋"/>
          <w:i w:val="0"/>
          <w:iCs w:val="0"/>
          <w:caps w:val="0"/>
          <w:color w:val="000000"/>
          <w:spacing w:val="0"/>
          <w:sz w:val="32"/>
          <w:szCs w:val="32"/>
          <w:shd w:val="clear" w:fill="FFFFFF"/>
        </w:rPr>
        <w:t>号</w:t>
      </w:r>
      <w:r>
        <w:rPr>
          <w:rFonts w:hint="eastAsia" w:ascii="仿宋" w:hAnsi="仿宋" w:eastAsia="仿宋" w:cs="仿宋"/>
          <w:i w:val="0"/>
          <w:iCs w:val="0"/>
          <w:caps w:val="0"/>
          <w:color w:val="000000"/>
          <w:spacing w:val="0"/>
          <w:sz w:val="32"/>
          <w:szCs w:val="32"/>
          <w:shd w:val="clear" w:fill="FFFFFF"/>
          <w:lang w:val="en-US"/>
        </w:rPr>
        <w:t>)</w:t>
      </w:r>
      <w:r>
        <w:rPr>
          <w:rFonts w:hint="eastAsia" w:ascii="仿宋" w:hAnsi="仿宋" w:eastAsia="仿宋" w:cs="仿宋"/>
          <w:i w:val="0"/>
          <w:iCs w:val="0"/>
          <w:caps w:val="0"/>
          <w:color w:val="000000"/>
          <w:spacing w:val="0"/>
          <w:sz w:val="32"/>
          <w:szCs w:val="32"/>
          <w:shd w:val="clear" w:fill="FFFFFF"/>
        </w:rPr>
        <w:t>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w:t>
      </w:r>
      <w:r>
        <w:rPr>
          <w:rFonts w:hint="eastAsia" w:ascii="仿宋" w:hAnsi="仿宋" w:eastAsia="仿宋"/>
          <w:color w:val="000000"/>
          <w:sz w:val="32"/>
          <w:szCs w:val="32"/>
        </w:rPr>
        <w:t>本年度报告中所列数据统计期限从202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年1月1日到12月31日止。如对报告内容有疑问，请与临淄区司法局联系（地址：临淄区牛山路9号；邮编：255400；电话：0533-7220377；邮箱：lzqsfj@zb.shandong.cn）。</w:t>
      </w:r>
    </w:p>
    <w:p>
      <w:pPr>
        <w:ind w:firstLine="640" w:firstLineChars="200"/>
        <w:rPr>
          <w:rFonts w:ascii="仿宋" w:hAnsi="仿宋" w:eastAsia="仿宋"/>
          <w:color w:val="000000"/>
          <w:sz w:val="32"/>
          <w:szCs w:val="32"/>
        </w:rPr>
      </w:pPr>
      <w:r>
        <w:rPr>
          <w:rFonts w:hint="eastAsia" w:ascii="黑体" w:hAnsi="黑体" w:eastAsia="黑体"/>
          <w:sz w:val="32"/>
          <w:szCs w:val="32"/>
        </w:rPr>
        <w:t>一、总体情况</w:t>
      </w:r>
    </w:p>
    <w:p>
      <w:pPr>
        <w:spacing w:line="560" w:lineRule="exact"/>
        <w:ind w:firstLine="640" w:firstLineChars="200"/>
        <w:rPr>
          <w:rFonts w:hint="eastAsia" w:ascii="仿宋" w:hAnsi="仿宋" w:eastAsia="仿宋"/>
          <w:color w:val="FF0000"/>
          <w:sz w:val="32"/>
          <w:szCs w:val="32"/>
        </w:rPr>
      </w:pPr>
      <w:r>
        <w:rPr>
          <w:rFonts w:hint="eastAsia" w:ascii="仿宋" w:hAnsi="仿宋" w:eastAsia="仿宋"/>
          <w:color w:val="000000"/>
          <w:sz w:val="32"/>
          <w:szCs w:val="32"/>
        </w:rPr>
        <w:t>2</w:t>
      </w:r>
      <w:r>
        <w:rPr>
          <w:rFonts w:ascii="仿宋" w:hAnsi="仿宋" w:eastAsia="仿宋"/>
          <w:color w:val="000000"/>
          <w:sz w:val="32"/>
          <w:szCs w:val="32"/>
        </w:rPr>
        <w:t>02</w:t>
      </w:r>
      <w:r>
        <w:rPr>
          <w:rFonts w:hint="eastAsia" w:ascii="仿宋" w:hAnsi="仿宋" w:eastAsia="仿宋"/>
          <w:color w:val="000000"/>
          <w:sz w:val="32"/>
          <w:szCs w:val="32"/>
          <w:lang w:val="en-US" w:eastAsia="zh-CN"/>
        </w:rPr>
        <w:t>3</w:t>
      </w:r>
      <w:r>
        <w:rPr>
          <w:rFonts w:ascii="仿宋" w:hAnsi="仿宋" w:eastAsia="仿宋"/>
          <w:color w:val="000000"/>
          <w:sz w:val="32"/>
          <w:szCs w:val="32"/>
        </w:rPr>
        <w:t>年</w:t>
      </w:r>
      <w:r>
        <w:rPr>
          <w:rFonts w:hint="eastAsia" w:ascii="仿宋" w:hAnsi="仿宋" w:eastAsia="仿宋"/>
          <w:color w:val="000000"/>
          <w:sz w:val="32"/>
          <w:szCs w:val="32"/>
        </w:rPr>
        <w:t>，</w:t>
      </w:r>
      <w:r>
        <w:rPr>
          <w:rFonts w:ascii="仿宋" w:hAnsi="仿宋" w:eastAsia="仿宋"/>
          <w:color w:val="000000"/>
          <w:sz w:val="32"/>
          <w:szCs w:val="32"/>
        </w:rPr>
        <w:t>区司法局</w:t>
      </w:r>
      <w:r>
        <w:rPr>
          <w:rFonts w:hint="eastAsia" w:ascii="仿宋" w:hAnsi="仿宋" w:eastAsia="仿宋"/>
          <w:color w:val="000000"/>
          <w:sz w:val="32"/>
          <w:szCs w:val="32"/>
        </w:rPr>
        <w:t>根据《中华人民共和国政府信息公开条例》《山东省政府信息公开办法》及区政府办公室有关工作部署要求，</w:t>
      </w:r>
      <w:r>
        <w:rPr>
          <w:rFonts w:hint="eastAsia" w:ascii="仿宋" w:hAnsi="仿宋" w:eastAsia="仿宋"/>
          <w:color w:val="000000"/>
          <w:sz w:val="32"/>
          <w:szCs w:val="32"/>
          <w:lang w:eastAsia="zh-CN"/>
        </w:rPr>
        <w:t>聚焦</w:t>
      </w:r>
      <w:r>
        <w:rPr>
          <w:rFonts w:hint="eastAsia" w:ascii="仿宋" w:hAnsi="仿宋" w:eastAsia="仿宋"/>
          <w:color w:val="000000"/>
          <w:sz w:val="32"/>
          <w:szCs w:val="32"/>
        </w:rPr>
        <w:t>法治建设、公共法律服务</w:t>
      </w:r>
      <w:r>
        <w:rPr>
          <w:rFonts w:hint="eastAsia" w:ascii="仿宋" w:hAnsi="仿宋" w:eastAsia="仿宋"/>
          <w:color w:val="auto"/>
          <w:sz w:val="32"/>
          <w:szCs w:val="32"/>
          <w:highlight w:val="none"/>
        </w:rPr>
        <w:t>建设</w:t>
      </w:r>
      <w:r>
        <w:rPr>
          <w:rFonts w:hint="eastAsia" w:ascii="仿宋" w:hAnsi="仿宋" w:eastAsia="仿宋"/>
          <w:color w:val="auto"/>
          <w:sz w:val="32"/>
          <w:szCs w:val="32"/>
          <w:highlight w:val="none"/>
          <w:lang w:eastAsia="zh-CN"/>
        </w:rPr>
        <w:t>，</w:t>
      </w:r>
      <w:r>
        <w:rPr>
          <w:rFonts w:hint="eastAsia" w:ascii="仿宋" w:hAnsi="仿宋" w:eastAsia="仿宋"/>
          <w:color w:val="000000"/>
          <w:sz w:val="32"/>
          <w:szCs w:val="32"/>
        </w:rPr>
        <w:t>认真做好政府信息公开工作</w:t>
      </w:r>
      <w:r>
        <w:rPr>
          <w:rFonts w:hint="eastAsia" w:ascii="仿宋" w:hAnsi="仿宋" w:eastAsia="仿宋"/>
          <w:color w:val="000000"/>
          <w:sz w:val="32"/>
          <w:szCs w:val="32"/>
          <w:lang w:eastAsia="zh-CN"/>
        </w:rPr>
        <w:t>，不断规范政务信息公开内容，创新政务公开信息形式，提高政务信息公开水平，推动司法行政工作更加高效化、规范化、公开化</w:t>
      </w:r>
      <w:r>
        <w:rPr>
          <w:rFonts w:hint="eastAsia" w:ascii="仿宋" w:hAnsi="仿宋" w:eastAsia="仿宋"/>
          <w:color w:val="000000"/>
          <w:sz w:val="32"/>
          <w:szCs w:val="32"/>
        </w:rPr>
        <w:t>。</w:t>
      </w:r>
    </w:p>
    <w:p>
      <w:pPr>
        <w:spacing w:line="560" w:lineRule="exact"/>
        <w:ind w:firstLine="640" w:firstLineChars="200"/>
        <w:rPr>
          <w:rFonts w:hint="default" w:ascii="仿宋" w:hAnsi="仿宋" w:eastAsia="仿宋"/>
          <w:color w:val="000000"/>
          <w:sz w:val="32"/>
          <w:szCs w:val="32"/>
          <w:lang w:val="en-US" w:eastAsia="zh-CN"/>
        </w:rPr>
      </w:pPr>
      <w:r>
        <w:rPr>
          <w:rFonts w:hint="eastAsia" w:ascii="楷体" w:hAnsi="楷体" w:eastAsia="楷体"/>
          <w:color w:val="000000"/>
          <w:sz w:val="32"/>
          <w:szCs w:val="32"/>
        </w:rPr>
        <w:t>（一）主动公开</w:t>
      </w:r>
      <w:r>
        <w:rPr>
          <w:rFonts w:hint="eastAsia" w:ascii="楷体" w:hAnsi="楷体" w:eastAsia="楷体"/>
          <w:color w:val="000000"/>
          <w:sz w:val="32"/>
          <w:szCs w:val="32"/>
          <w:lang w:val="en-US" w:eastAsia="zh-CN"/>
        </w:rPr>
        <w:t>信息</w:t>
      </w:r>
      <w:r>
        <w:rPr>
          <w:rFonts w:hint="eastAsia" w:ascii="楷体" w:hAnsi="楷体" w:eastAsia="楷体"/>
          <w:color w:val="000000"/>
          <w:sz w:val="32"/>
          <w:szCs w:val="32"/>
        </w:rPr>
        <w:t>情况</w:t>
      </w:r>
      <w:r>
        <w:rPr>
          <w:rFonts w:hint="eastAsia" w:ascii="楷体" w:hAnsi="楷体" w:eastAsia="楷体"/>
          <w:color w:val="000000"/>
          <w:sz w:val="32"/>
          <w:szCs w:val="32"/>
          <w:lang w:eastAsia="zh-CN"/>
        </w:rPr>
        <w:t>。</w:t>
      </w:r>
      <w:r>
        <w:rPr>
          <w:rFonts w:ascii="仿宋" w:hAnsi="仿宋" w:eastAsia="仿宋"/>
          <w:color w:val="000000"/>
          <w:sz w:val="32"/>
          <w:szCs w:val="32"/>
        </w:rPr>
        <w:t>根据年度工作安排</w:t>
      </w:r>
      <w:r>
        <w:rPr>
          <w:rFonts w:hint="eastAsia" w:ascii="仿宋" w:hAnsi="仿宋" w:eastAsia="仿宋"/>
          <w:color w:val="000000"/>
          <w:sz w:val="32"/>
          <w:szCs w:val="32"/>
        </w:rPr>
        <w:t>，围绕法治政府建设、公共法律服务、法治乡村建设、法治社会和法治临淄建设等，加强信息主动公开，</w:t>
      </w:r>
      <w:r>
        <w:rPr>
          <w:rFonts w:ascii="仿宋" w:hAnsi="仿宋" w:eastAsia="仿宋"/>
          <w:color w:val="000000"/>
          <w:sz w:val="32"/>
          <w:szCs w:val="32"/>
        </w:rPr>
        <w:t>截止</w:t>
      </w:r>
      <w:r>
        <w:rPr>
          <w:rFonts w:hint="eastAsia" w:ascii="仿宋" w:hAnsi="仿宋" w:eastAsia="仿宋"/>
          <w:color w:val="000000"/>
          <w:sz w:val="32"/>
          <w:szCs w:val="32"/>
        </w:rPr>
        <w:t>2</w:t>
      </w:r>
      <w:r>
        <w:rPr>
          <w:rFonts w:ascii="仿宋" w:hAnsi="仿宋" w:eastAsia="仿宋"/>
          <w:color w:val="000000"/>
          <w:sz w:val="32"/>
          <w:szCs w:val="32"/>
        </w:rPr>
        <w:t>02</w:t>
      </w:r>
      <w:r>
        <w:rPr>
          <w:rFonts w:hint="eastAsia" w:ascii="仿宋" w:hAnsi="仿宋" w:eastAsia="仿宋"/>
          <w:color w:val="000000"/>
          <w:sz w:val="32"/>
          <w:szCs w:val="32"/>
          <w:lang w:val="en-US" w:eastAsia="zh-CN"/>
        </w:rPr>
        <w:t>3</w:t>
      </w:r>
      <w:r>
        <w:rPr>
          <w:rFonts w:ascii="仿宋" w:hAnsi="仿宋" w:eastAsia="仿宋"/>
          <w:color w:val="000000"/>
          <w:sz w:val="32"/>
          <w:szCs w:val="32"/>
        </w:rPr>
        <w:t>年</w:t>
      </w:r>
      <w:r>
        <w:rPr>
          <w:rFonts w:hint="eastAsia" w:ascii="仿宋" w:hAnsi="仿宋" w:eastAsia="仿宋"/>
          <w:color w:val="000000"/>
          <w:sz w:val="32"/>
          <w:szCs w:val="32"/>
        </w:rPr>
        <w:t>1</w:t>
      </w:r>
      <w:r>
        <w:rPr>
          <w:rFonts w:ascii="仿宋" w:hAnsi="仿宋" w:eastAsia="仿宋"/>
          <w:color w:val="000000"/>
          <w:sz w:val="32"/>
          <w:szCs w:val="32"/>
        </w:rPr>
        <w:t>2月</w:t>
      </w:r>
      <w:r>
        <w:rPr>
          <w:rFonts w:hint="eastAsia" w:ascii="仿宋" w:hAnsi="仿宋" w:eastAsia="仿宋"/>
          <w:color w:val="000000"/>
          <w:sz w:val="32"/>
          <w:szCs w:val="32"/>
        </w:rPr>
        <w:t>3</w:t>
      </w:r>
      <w:r>
        <w:rPr>
          <w:rFonts w:ascii="仿宋" w:hAnsi="仿宋" w:eastAsia="仿宋"/>
          <w:color w:val="000000"/>
          <w:sz w:val="32"/>
          <w:szCs w:val="32"/>
        </w:rPr>
        <w:t>1日</w:t>
      </w:r>
      <w:r>
        <w:rPr>
          <w:rFonts w:hint="eastAsia" w:ascii="仿宋" w:hAnsi="仿宋" w:eastAsia="仿宋"/>
          <w:color w:val="000000"/>
          <w:sz w:val="32"/>
          <w:szCs w:val="32"/>
        </w:rPr>
        <w:t>，</w:t>
      </w:r>
      <w:r>
        <w:rPr>
          <w:rFonts w:ascii="仿宋" w:hAnsi="仿宋" w:eastAsia="仿宋"/>
          <w:color w:val="000000"/>
          <w:sz w:val="32"/>
          <w:szCs w:val="32"/>
        </w:rPr>
        <w:t>主动公开政府信息</w:t>
      </w:r>
      <w:r>
        <w:rPr>
          <w:rFonts w:hint="eastAsia" w:ascii="仿宋" w:hAnsi="仿宋" w:eastAsia="仿宋"/>
          <w:color w:val="auto"/>
          <w:sz w:val="32"/>
          <w:szCs w:val="32"/>
          <w:lang w:val="en-US" w:eastAsia="zh-CN"/>
        </w:rPr>
        <w:t>92</w:t>
      </w:r>
      <w:r>
        <w:rPr>
          <w:rFonts w:ascii="仿宋" w:hAnsi="仿宋" w:eastAsia="仿宋"/>
          <w:color w:val="auto"/>
          <w:sz w:val="32"/>
          <w:szCs w:val="32"/>
        </w:rPr>
        <w:t>条</w:t>
      </w:r>
      <w:r>
        <w:rPr>
          <w:rFonts w:hint="eastAsia" w:ascii="仿宋" w:hAnsi="仿宋" w:eastAsia="仿宋"/>
          <w:color w:val="auto"/>
          <w:sz w:val="32"/>
          <w:szCs w:val="32"/>
          <w:lang w:eastAsia="zh-CN"/>
        </w:rPr>
        <w:t>。</w:t>
      </w:r>
      <w:r>
        <w:rPr>
          <w:rFonts w:hint="eastAsia" w:ascii="仿宋" w:hAnsi="仿宋" w:eastAsia="仿宋"/>
          <w:color w:val="000000"/>
          <w:sz w:val="32"/>
          <w:szCs w:val="32"/>
        </w:rPr>
        <w:t>其中，</w:t>
      </w:r>
      <w:r>
        <w:rPr>
          <w:rFonts w:hint="eastAsia" w:ascii="仿宋" w:hAnsi="仿宋" w:eastAsia="仿宋"/>
          <w:color w:val="auto"/>
          <w:sz w:val="32"/>
          <w:szCs w:val="32"/>
        </w:rPr>
        <w:t>机构职能类</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条，法规公文类</w:t>
      </w:r>
      <w:r>
        <w:rPr>
          <w:rFonts w:hint="eastAsia" w:ascii="仿宋" w:hAnsi="仿宋" w:eastAsia="仿宋"/>
          <w:color w:val="auto"/>
          <w:sz w:val="32"/>
          <w:szCs w:val="32"/>
          <w:lang w:val="en-US" w:eastAsia="zh-CN"/>
        </w:rPr>
        <w:t>11</w:t>
      </w:r>
      <w:r>
        <w:rPr>
          <w:rFonts w:ascii="仿宋" w:hAnsi="仿宋" w:eastAsia="仿宋"/>
          <w:color w:val="auto"/>
          <w:sz w:val="32"/>
          <w:szCs w:val="32"/>
        </w:rPr>
        <w:t>条</w:t>
      </w:r>
      <w:r>
        <w:rPr>
          <w:rFonts w:hint="eastAsia" w:ascii="仿宋" w:hAnsi="仿宋" w:eastAsia="仿宋"/>
          <w:color w:val="auto"/>
          <w:sz w:val="32"/>
          <w:szCs w:val="32"/>
        </w:rPr>
        <w:t>，重大行政决策类</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条，规划计划类1条，</w:t>
      </w:r>
      <w:r>
        <w:rPr>
          <w:rFonts w:hint="eastAsia" w:ascii="仿宋" w:hAnsi="仿宋" w:eastAsia="仿宋"/>
          <w:color w:val="auto"/>
          <w:sz w:val="32"/>
          <w:szCs w:val="32"/>
          <w:lang w:eastAsia="zh-CN"/>
        </w:rPr>
        <w:t>财政信息类</w:t>
      </w:r>
      <w:r>
        <w:rPr>
          <w:rFonts w:hint="eastAsia" w:ascii="仿宋" w:hAnsi="仿宋" w:eastAsia="仿宋"/>
          <w:color w:val="auto"/>
          <w:sz w:val="32"/>
          <w:szCs w:val="32"/>
          <w:lang w:val="en-US" w:eastAsia="zh-CN"/>
        </w:rPr>
        <w:t>4条，</w:t>
      </w:r>
      <w:r>
        <w:rPr>
          <w:rFonts w:hint="eastAsia" w:ascii="仿宋" w:hAnsi="仿宋" w:eastAsia="仿宋"/>
          <w:color w:val="auto"/>
          <w:sz w:val="32"/>
          <w:szCs w:val="32"/>
          <w:lang w:eastAsia="zh-CN"/>
        </w:rPr>
        <w:t>管理和服务公开类</w:t>
      </w:r>
      <w:r>
        <w:rPr>
          <w:rFonts w:hint="eastAsia" w:ascii="仿宋" w:hAnsi="仿宋" w:eastAsia="仿宋"/>
          <w:color w:val="auto"/>
          <w:sz w:val="32"/>
          <w:szCs w:val="32"/>
        </w:rPr>
        <w:t>1</w:t>
      </w:r>
      <w:r>
        <w:rPr>
          <w:rFonts w:hint="eastAsia" w:ascii="仿宋" w:hAnsi="仿宋" w:eastAsia="仿宋"/>
          <w:color w:val="auto"/>
          <w:sz w:val="32"/>
          <w:szCs w:val="32"/>
          <w:lang w:val="en-US" w:eastAsia="zh-CN"/>
        </w:rPr>
        <w:t>8</w:t>
      </w:r>
      <w:r>
        <w:rPr>
          <w:rFonts w:ascii="仿宋" w:hAnsi="仿宋" w:eastAsia="仿宋"/>
          <w:color w:val="auto"/>
          <w:sz w:val="32"/>
          <w:szCs w:val="32"/>
        </w:rPr>
        <w:t>条</w:t>
      </w:r>
      <w:r>
        <w:rPr>
          <w:rFonts w:hint="eastAsia" w:ascii="仿宋" w:hAnsi="仿宋" w:eastAsia="仿宋"/>
          <w:color w:val="auto"/>
          <w:sz w:val="32"/>
          <w:szCs w:val="32"/>
        </w:rPr>
        <w:t>，</w:t>
      </w:r>
      <w:r>
        <w:rPr>
          <w:rFonts w:ascii="仿宋" w:hAnsi="仿宋" w:eastAsia="仿宋"/>
          <w:color w:val="auto"/>
          <w:sz w:val="32"/>
          <w:szCs w:val="32"/>
        </w:rPr>
        <w:t>法治政府建设及业务工作类</w:t>
      </w:r>
      <w:r>
        <w:rPr>
          <w:rFonts w:hint="eastAsia" w:ascii="仿宋" w:hAnsi="仿宋" w:eastAsia="仿宋"/>
          <w:color w:val="auto"/>
          <w:sz w:val="32"/>
          <w:szCs w:val="32"/>
          <w:lang w:val="en-US" w:eastAsia="zh-CN"/>
        </w:rPr>
        <w:t>31</w:t>
      </w:r>
      <w:r>
        <w:rPr>
          <w:rFonts w:ascii="仿宋" w:hAnsi="仿宋" w:eastAsia="仿宋"/>
          <w:color w:val="auto"/>
          <w:sz w:val="32"/>
          <w:szCs w:val="32"/>
        </w:rPr>
        <w:t>条</w:t>
      </w:r>
      <w:r>
        <w:rPr>
          <w:rFonts w:hint="eastAsia" w:ascii="仿宋" w:hAnsi="仿宋" w:eastAsia="仿宋"/>
          <w:color w:val="auto"/>
          <w:sz w:val="32"/>
          <w:szCs w:val="32"/>
          <w:lang w:eastAsia="zh-CN"/>
        </w:rPr>
        <w:t>，其他各类</w:t>
      </w:r>
      <w:r>
        <w:rPr>
          <w:rFonts w:hint="eastAsia" w:ascii="仿宋" w:hAnsi="仿宋" w:eastAsia="仿宋"/>
          <w:color w:val="auto"/>
          <w:sz w:val="32"/>
          <w:szCs w:val="32"/>
          <w:lang w:val="en-US" w:eastAsia="zh-CN"/>
        </w:rPr>
        <w:t>23条。</w:t>
      </w:r>
    </w:p>
    <w:p>
      <w:pPr>
        <w:numPr>
          <w:ilvl w:val="0"/>
          <w:numId w:val="0"/>
        </w:num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及时公开行政法规、规章和规范性文件。根据《政府信息公开条例》第二十条第（一）款要求，每季度公开了临淄区政府及政府办、政府工作部门行政规范性文件备案目录。</w:t>
      </w:r>
    </w:p>
    <w:p>
      <w:pPr>
        <w:numPr>
          <w:ilvl w:val="0"/>
          <w:numId w:val="0"/>
        </w:numPr>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及时公开行政执法信息。根据《政府信息公开条例》第二十条第（六）款要求，</w:t>
      </w: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年我局对辖区内律师事务所、律师、律师协会、</w:t>
      </w:r>
      <w:r>
        <w:rPr>
          <w:rFonts w:hint="eastAsia" w:ascii="仿宋" w:hAnsi="仿宋" w:eastAsia="仿宋"/>
          <w:color w:val="000000"/>
          <w:sz w:val="32"/>
          <w:szCs w:val="32"/>
          <w:lang w:eastAsia="zh-CN"/>
        </w:rPr>
        <w:t>基层法律服务所及基层法律服务工作者</w:t>
      </w:r>
      <w:r>
        <w:rPr>
          <w:rFonts w:hint="eastAsia" w:ascii="仿宋" w:hAnsi="仿宋" w:eastAsia="仿宋"/>
          <w:color w:val="000000"/>
          <w:sz w:val="32"/>
          <w:szCs w:val="32"/>
        </w:rPr>
        <w:t>进行了随机抽查。</w:t>
      </w:r>
      <w:r>
        <w:rPr>
          <w:rFonts w:hint="eastAsia" w:ascii="仿宋" w:hAnsi="仿宋" w:eastAsia="仿宋"/>
          <w:color w:val="auto"/>
          <w:sz w:val="32"/>
          <w:szCs w:val="32"/>
        </w:rPr>
        <w:t>共计抽查了</w:t>
      </w:r>
      <w:r>
        <w:rPr>
          <w:rFonts w:hint="eastAsia" w:ascii="仿宋" w:hAnsi="仿宋" w:eastAsia="仿宋"/>
          <w:color w:val="auto"/>
          <w:sz w:val="32"/>
          <w:szCs w:val="32"/>
          <w:lang w:val="en-US" w:eastAsia="zh-CN"/>
        </w:rPr>
        <w:t>2</w:t>
      </w:r>
      <w:r>
        <w:rPr>
          <w:rFonts w:hint="eastAsia" w:ascii="仿宋" w:hAnsi="仿宋" w:eastAsia="仿宋"/>
          <w:color w:val="auto"/>
          <w:sz w:val="32"/>
          <w:szCs w:val="32"/>
          <w:lang w:eastAsia="zh-CN"/>
        </w:rPr>
        <w:t>名律师</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个基层法律服务所、</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名基层法律服务工作者。按月度公布了</w:t>
      </w:r>
      <w:r>
        <w:rPr>
          <w:rFonts w:hint="eastAsia" w:ascii="仿宋" w:hAnsi="仿宋" w:eastAsia="仿宋"/>
          <w:color w:val="000000"/>
          <w:sz w:val="32"/>
          <w:szCs w:val="32"/>
        </w:rPr>
        <w:t>涉企行政执法检查计划。无行政处罚案件</w:t>
      </w:r>
      <w:r>
        <w:rPr>
          <w:rFonts w:hint="eastAsia" w:ascii="仿宋" w:hAnsi="仿宋" w:eastAsia="仿宋"/>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推进重点领域信息公开。</w:t>
      </w:r>
      <w:r>
        <w:rPr>
          <w:rFonts w:hint="eastAsia" w:ascii="仿宋" w:hAnsi="仿宋" w:eastAsia="仿宋"/>
          <w:color w:val="000000"/>
          <w:sz w:val="32"/>
          <w:szCs w:val="32"/>
          <w:lang w:eastAsia="zh-CN"/>
        </w:rPr>
        <w:t>重点打造</w:t>
      </w:r>
      <w:r>
        <w:rPr>
          <w:rFonts w:hint="eastAsia" w:ascii="仿宋" w:hAnsi="仿宋" w:eastAsia="仿宋"/>
          <w:color w:val="000000"/>
          <w:sz w:val="32"/>
          <w:szCs w:val="32"/>
        </w:rPr>
        <w:t>法治建设专栏，公开</w:t>
      </w:r>
      <w:r>
        <w:rPr>
          <w:rFonts w:hint="eastAsia" w:ascii="仿宋" w:hAnsi="仿宋" w:eastAsia="仿宋"/>
          <w:color w:val="000000"/>
          <w:sz w:val="32"/>
          <w:szCs w:val="32"/>
          <w:lang w:eastAsia="zh-CN"/>
        </w:rPr>
        <w:t>了《</w:t>
      </w: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年度法治政府建设工作报告</w:t>
      </w:r>
      <w:r>
        <w:rPr>
          <w:rFonts w:hint="eastAsia" w:ascii="仿宋" w:hAnsi="仿宋" w:eastAsia="仿宋"/>
          <w:color w:val="000000"/>
          <w:sz w:val="32"/>
          <w:szCs w:val="32"/>
          <w:lang w:eastAsia="zh-CN"/>
        </w:rPr>
        <w:t>》，同时公示了《关于公示2024年临淄区党政一体法律顾问团和法律顾问专家库换届拟入选人员的公告》</w:t>
      </w:r>
      <w:r>
        <w:rPr>
          <w:rFonts w:hint="eastAsia" w:ascii="仿宋" w:hAnsi="仿宋" w:eastAsia="仿宋"/>
          <w:color w:val="000000"/>
          <w:sz w:val="32"/>
          <w:szCs w:val="32"/>
        </w:rPr>
        <w:t>等重要信息，方便群众查询、了解法治政府建设、营商环境优化政策等信息。</w:t>
      </w:r>
    </w:p>
    <w:p>
      <w:pPr>
        <w:spacing w:line="560" w:lineRule="exact"/>
        <w:ind w:firstLine="640" w:firstLineChars="200"/>
        <w:rPr>
          <w:rFonts w:ascii="仿宋" w:hAnsi="仿宋" w:eastAsia="仿宋"/>
          <w:color w:val="000000"/>
          <w:sz w:val="32"/>
          <w:szCs w:val="32"/>
        </w:rPr>
      </w:pPr>
      <w:r>
        <w:rPr>
          <w:rFonts w:hint="eastAsia" w:ascii="楷体" w:hAnsi="楷体" w:eastAsia="楷体"/>
          <w:color w:val="000000"/>
          <w:sz w:val="32"/>
          <w:szCs w:val="32"/>
        </w:rPr>
        <w:t>（二）依申请公开</w:t>
      </w:r>
      <w:r>
        <w:rPr>
          <w:rFonts w:hint="eastAsia" w:ascii="楷体" w:hAnsi="楷体" w:eastAsia="楷体"/>
          <w:color w:val="000000"/>
          <w:sz w:val="32"/>
          <w:szCs w:val="32"/>
          <w:lang w:val="en-US" w:eastAsia="zh-CN"/>
        </w:rPr>
        <w:t>工作</w:t>
      </w:r>
      <w:r>
        <w:rPr>
          <w:rFonts w:hint="eastAsia" w:ascii="楷体" w:hAnsi="楷体" w:eastAsia="楷体"/>
          <w:color w:val="000000"/>
          <w:sz w:val="32"/>
          <w:szCs w:val="32"/>
        </w:rPr>
        <w:t>情况</w:t>
      </w:r>
      <w:r>
        <w:rPr>
          <w:rFonts w:hint="eastAsia" w:ascii="楷体" w:hAnsi="楷体" w:eastAsia="楷体"/>
          <w:color w:val="000000"/>
          <w:sz w:val="32"/>
          <w:szCs w:val="32"/>
          <w:lang w:eastAsia="zh-CN"/>
        </w:rPr>
        <w:t>。</w:t>
      </w:r>
      <w:r>
        <w:rPr>
          <w:rFonts w:hint="eastAsia" w:ascii="仿宋" w:hAnsi="仿宋" w:eastAsia="仿宋"/>
          <w:color w:val="000000"/>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3</w:t>
      </w:r>
      <w:r>
        <w:rPr>
          <w:rFonts w:hint="eastAsia" w:ascii="仿宋" w:hAnsi="仿宋" w:eastAsia="仿宋"/>
          <w:color w:val="000000"/>
          <w:sz w:val="32"/>
          <w:szCs w:val="32"/>
        </w:rPr>
        <w:t>年，本单位共接收办理政府信息公开申请</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件。</w:t>
      </w:r>
    </w:p>
    <w:p>
      <w:pPr>
        <w:spacing w:line="560" w:lineRule="exact"/>
        <w:ind w:firstLine="640" w:firstLineChars="200"/>
        <w:rPr>
          <w:rFonts w:hint="eastAsia" w:ascii="仿宋" w:hAnsi="仿宋" w:eastAsia="仿宋"/>
          <w:color w:val="auto"/>
          <w:sz w:val="32"/>
          <w:szCs w:val="32"/>
        </w:rPr>
      </w:pPr>
      <w:r>
        <w:rPr>
          <w:rFonts w:hint="eastAsia" w:ascii="楷体" w:hAnsi="楷体" w:eastAsia="楷体"/>
          <w:color w:val="000000"/>
          <w:sz w:val="32"/>
          <w:szCs w:val="32"/>
        </w:rPr>
        <w:t>（三）政府信息管理</w:t>
      </w:r>
      <w:r>
        <w:rPr>
          <w:rFonts w:hint="eastAsia" w:ascii="楷体" w:hAnsi="楷体" w:eastAsia="楷体"/>
          <w:color w:val="000000"/>
          <w:sz w:val="32"/>
          <w:szCs w:val="32"/>
          <w:lang w:val="en-US" w:eastAsia="zh-CN"/>
        </w:rPr>
        <w:t>情况。</w:t>
      </w:r>
      <w:r>
        <w:rPr>
          <w:rFonts w:hint="eastAsia" w:ascii="仿宋" w:hAnsi="仿宋" w:eastAsia="仿宋"/>
          <w:color w:val="auto"/>
          <w:sz w:val="32"/>
          <w:szCs w:val="32"/>
        </w:rPr>
        <w:t>1.</w:t>
      </w:r>
      <w:r>
        <w:rPr>
          <w:rFonts w:hint="eastAsia" w:ascii="仿宋" w:hAnsi="仿宋" w:eastAsia="仿宋"/>
          <w:color w:val="auto"/>
          <w:sz w:val="32"/>
          <w:szCs w:val="32"/>
          <w:lang w:eastAsia="zh-CN"/>
        </w:rPr>
        <w:t>定期检查更新过时淘汰的政务信息，确保政府信息公开的时效性、准确性</w:t>
      </w:r>
      <w:r>
        <w:rPr>
          <w:rFonts w:hint="eastAsia" w:ascii="仿宋" w:hAnsi="仿宋" w:eastAsia="仿宋"/>
          <w:color w:val="auto"/>
          <w:sz w:val="32"/>
          <w:szCs w:val="32"/>
        </w:rPr>
        <w:t>。2.严格</w:t>
      </w:r>
      <w:r>
        <w:rPr>
          <w:rFonts w:hint="eastAsia" w:ascii="仿宋" w:hAnsi="仿宋" w:eastAsia="仿宋"/>
          <w:color w:val="auto"/>
          <w:sz w:val="32"/>
          <w:szCs w:val="32"/>
          <w:lang w:eastAsia="zh-CN"/>
        </w:rPr>
        <w:t>贯彻</w:t>
      </w:r>
      <w:r>
        <w:rPr>
          <w:rFonts w:hint="eastAsia" w:ascii="仿宋" w:hAnsi="仿宋" w:eastAsia="仿宋"/>
          <w:color w:val="auto"/>
          <w:sz w:val="32"/>
          <w:szCs w:val="32"/>
        </w:rPr>
        <w:t>落实政府信息公开保密审查制度。规范审查流程，确保公开信息无遗漏、无涉密</w:t>
      </w:r>
      <w:r>
        <w:rPr>
          <w:rFonts w:hint="eastAsia" w:ascii="仿宋" w:hAnsi="仿宋" w:eastAsia="仿宋"/>
          <w:color w:val="auto"/>
          <w:sz w:val="32"/>
          <w:szCs w:val="32"/>
          <w:lang w:eastAsia="zh-CN"/>
        </w:rPr>
        <w:t>情况发生</w:t>
      </w:r>
      <w:r>
        <w:rPr>
          <w:rFonts w:hint="eastAsia" w:ascii="仿宋" w:hAnsi="仿宋" w:eastAsia="仿宋"/>
          <w:color w:val="auto"/>
          <w:sz w:val="32"/>
          <w:szCs w:val="32"/>
        </w:rPr>
        <w:t>。</w:t>
      </w:r>
    </w:p>
    <w:p>
      <w:pPr>
        <w:spacing w:line="560" w:lineRule="exact"/>
        <w:ind w:firstLine="640" w:firstLineChars="200"/>
        <w:rPr>
          <w:rFonts w:hint="eastAsia" w:ascii="仿宋" w:hAnsi="仿宋" w:eastAsia="仿宋"/>
          <w:color w:val="auto"/>
          <w:sz w:val="32"/>
          <w:szCs w:val="32"/>
        </w:rPr>
      </w:pPr>
      <w:r>
        <w:rPr>
          <w:rFonts w:hint="eastAsia" w:ascii="楷体" w:hAnsi="楷体" w:eastAsia="楷体"/>
          <w:color w:val="000000"/>
          <w:sz w:val="32"/>
          <w:szCs w:val="32"/>
        </w:rPr>
        <w:t>（四）政府信息公开平台建设</w:t>
      </w:r>
      <w:r>
        <w:rPr>
          <w:rFonts w:hint="eastAsia" w:ascii="楷体" w:hAnsi="楷体" w:eastAsia="楷体"/>
          <w:color w:val="000000"/>
          <w:sz w:val="32"/>
          <w:szCs w:val="32"/>
          <w:lang w:val="en-US" w:eastAsia="zh-CN"/>
        </w:rPr>
        <w:t>情况。</w:t>
      </w:r>
      <w:r>
        <w:rPr>
          <w:rFonts w:hint="eastAsia" w:ascii="仿宋" w:hAnsi="仿宋" w:eastAsia="仿宋"/>
          <w:color w:val="auto"/>
          <w:sz w:val="32"/>
          <w:szCs w:val="32"/>
        </w:rPr>
        <w:t>1.</w:t>
      </w:r>
      <w:r>
        <w:rPr>
          <w:rFonts w:hint="eastAsia" w:ascii="仿宋" w:hAnsi="仿宋" w:eastAsia="仿宋"/>
          <w:color w:val="auto"/>
          <w:sz w:val="32"/>
          <w:szCs w:val="32"/>
          <w:lang w:eastAsia="zh-CN"/>
        </w:rPr>
        <w:t>创新宣传形式</w:t>
      </w:r>
      <w:r>
        <w:rPr>
          <w:rFonts w:hint="eastAsia" w:ascii="仿宋" w:hAnsi="仿宋" w:eastAsia="仿宋"/>
          <w:color w:val="auto"/>
          <w:sz w:val="32"/>
          <w:szCs w:val="32"/>
        </w:rPr>
        <w:t>。</w:t>
      </w:r>
      <w:r>
        <w:rPr>
          <w:rFonts w:hint="eastAsia" w:ascii="仿宋" w:hAnsi="仿宋" w:eastAsia="仿宋"/>
          <w:color w:val="auto"/>
          <w:sz w:val="32"/>
          <w:szCs w:val="32"/>
          <w:lang w:eastAsia="zh-CN"/>
        </w:rPr>
        <w:t>在</w:t>
      </w:r>
      <w:r>
        <w:rPr>
          <w:rFonts w:hint="eastAsia" w:ascii="仿宋" w:hAnsi="仿宋" w:eastAsia="仿宋"/>
          <w:color w:val="auto"/>
          <w:sz w:val="32"/>
          <w:szCs w:val="32"/>
        </w:rPr>
        <w:t>传统媒体普法基础</w:t>
      </w:r>
      <w:r>
        <w:rPr>
          <w:rFonts w:hint="eastAsia" w:ascii="仿宋" w:hAnsi="仿宋" w:eastAsia="仿宋"/>
          <w:color w:val="auto"/>
          <w:sz w:val="32"/>
          <w:szCs w:val="32"/>
          <w:lang w:eastAsia="zh-CN"/>
        </w:rPr>
        <w:t>上</w:t>
      </w:r>
      <w:r>
        <w:rPr>
          <w:rFonts w:hint="eastAsia" w:ascii="仿宋" w:hAnsi="仿宋" w:eastAsia="仿宋"/>
          <w:color w:val="auto"/>
          <w:sz w:val="32"/>
          <w:szCs w:val="32"/>
        </w:rPr>
        <w:t>，</w:t>
      </w:r>
      <w:r>
        <w:rPr>
          <w:rFonts w:hint="eastAsia" w:ascii="仿宋" w:hAnsi="仿宋" w:eastAsia="仿宋"/>
          <w:color w:val="auto"/>
          <w:sz w:val="32"/>
          <w:szCs w:val="32"/>
          <w:lang w:eastAsia="zh-CN"/>
        </w:rPr>
        <w:t>通过融合</w:t>
      </w:r>
      <w:r>
        <w:rPr>
          <w:rFonts w:hint="eastAsia" w:ascii="仿宋" w:hAnsi="仿宋" w:eastAsia="仿宋"/>
          <w:color w:val="auto"/>
          <w:sz w:val="32"/>
          <w:szCs w:val="32"/>
        </w:rPr>
        <w:t>头条号、微信公众号等新媒体</w:t>
      </w:r>
      <w:r>
        <w:rPr>
          <w:rFonts w:hint="eastAsia" w:ascii="仿宋" w:hAnsi="仿宋" w:eastAsia="仿宋"/>
          <w:color w:val="auto"/>
          <w:sz w:val="32"/>
          <w:szCs w:val="32"/>
          <w:lang w:eastAsia="zh-CN"/>
        </w:rPr>
        <w:t>形式</w:t>
      </w:r>
      <w:r>
        <w:rPr>
          <w:rFonts w:hint="eastAsia" w:ascii="仿宋" w:hAnsi="仿宋" w:eastAsia="仿宋"/>
          <w:color w:val="auto"/>
          <w:sz w:val="32"/>
          <w:szCs w:val="32"/>
        </w:rPr>
        <w:t>，</w:t>
      </w:r>
      <w:r>
        <w:rPr>
          <w:rFonts w:hint="eastAsia" w:ascii="仿宋" w:hAnsi="仿宋" w:eastAsia="仿宋"/>
          <w:color w:val="auto"/>
          <w:sz w:val="32"/>
          <w:szCs w:val="32"/>
          <w:lang w:eastAsia="zh-CN"/>
        </w:rPr>
        <w:t>提升普法宣传效果，推动以案释法效果更加深入人心</w:t>
      </w:r>
      <w:r>
        <w:rPr>
          <w:rFonts w:hint="eastAsia" w:ascii="仿宋" w:hAnsi="仿宋" w:eastAsia="仿宋"/>
          <w:color w:val="auto"/>
          <w:sz w:val="32"/>
          <w:szCs w:val="32"/>
        </w:rPr>
        <w:t>。2.</w:t>
      </w:r>
      <w:r>
        <w:rPr>
          <w:rFonts w:hint="eastAsia" w:ascii="仿宋" w:hAnsi="仿宋" w:eastAsia="仿宋"/>
          <w:color w:val="auto"/>
          <w:sz w:val="32"/>
          <w:szCs w:val="32"/>
          <w:lang w:eastAsia="zh-CN"/>
        </w:rPr>
        <w:t>更新</w:t>
      </w:r>
      <w:r>
        <w:rPr>
          <w:rFonts w:hint="eastAsia" w:ascii="仿宋" w:hAnsi="仿宋" w:eastAsia="仿宋"/>
          <w:color w:val="auto"/>
          <w:sz w:val="32"/>
          <w:szCs w:val="32"/>
        </w:rPr>
        <w:t>政府信息公开平台。不断完善</w:t>
      </w:r>
      <w:r>
        <w:rPr>
          <w:rFonts w:hint="eastAsia" w:ascii="仿宋" w:hAnsi="仿宋" w:eastAsia="仿宋"/>
          <w:color w:val="auto"/>
          <w:sz w:val="32"/>
          <w:szCs w:val="32"/>
          <w:lang w:eastAsia="zh-CN"/>
        </w:rPr>
        <w:t>规范</w:t>
      </w:r>
      <w:r>
        <w:rPr>
          <w:rFonts w:hint="eastAsia" w:ascii="仿宋" w:hAnsi="仿宋" w:eastAsia="仿宋"/>
          <w:color w:val="auto"/>
          <w:sz w:val="32"/>
          <w:szCs w:val="32"/>
        </w:rPr>
        <w:t>政务公开内容</w:t>
      </w:r>
      <w:r>
        <w:rPr>
          <w:rFonts w:hint="eastAsia" w:ascii="仿宋" w:hAnsi="仿宋" w:eastAsia="仿宋"/>
          <w:color w:val="auto"/>
          <w:sz w:val="32"/>
          <w:szCs w:val="32"/>
          <w:lang w:eastAsia="zh-CN"/>
        </w:rPr>
        <w:t>和模块</w:t>
      </w:r>
      <w:r>
        <w:rPr>
          <w:rFonts w:hint="eastAsia" w:ascii="仿宋" w:hAnsi="仿宋" w:eastAsia="仿宋"/>
          <w:color w:val="auto"/>
          <w:sz w:val="32"/>
          <w:szCs w:val="32"/>
        </w:rPr>
        <w:t>，做好政府网站政务公开板块。</w:t>
      </w:r>
    </w:p>
    <w:p>
      <w:pPr>
        <w:spacing w:line="560" w:lineRule="exact"/>
        <w:ind w:firstLine="640" w:firstLineChars="200"/>
        <w:rPr>
          <w:rFonts w:ascii="仿宋" w:hAnsi="仿宋" w:eastAsia="仿宋"/>
          <w:color w:val="auto"/>
          <w:sz w:val="32"/>
          <w:szCs w:val="32"/>
        </w:rPr>
      </w:pPr>
      <w:r>
        <w:rPr>
          <w:rFonts w:hint="eastAsia" w:ascii="楷体" w:hAnsi="楷体" w:eastAsia="楷体"/>
          <w:color w:val="000000"/>
          <w:sz w:val="32"/>
          <w:szCs w:val="32"/>
        </w:rPr>
        <w:t>（五）政府信息公开监督保障</w:t>
      </w:r>
      <w:r>
        <w:rPr>
          <w:rFonts w:hint="eastAsia" w:ascii="楷体" w:hAnsi="楷体" w:eastAsia="楷体"/>
          <w:color w:val="000000"/>
          <w:sz w:val="32"/>
          <w:szCs w:val="32"/>
          <w:lang w:val="en-US" w:eastAsia="zh-CN"/>
        </w:rPr>
        <w:t>情况。</w:t>
      </w:r>
      <w:r>
        <w:rPr>
          <w:rFonts w:hint="eastAsia" w:ascii="仿宋" w:hAnsi="仿宋" w:eastAsia="仿宋"/>
          <w:color w:val="auto"/>
          <w:sz w:val="32"/>
          <w:szCs w:val="32"/>
        </w:rPr>
        <w:t>1</w:t>
      </w:r>
      <w:r>
        <w:rPr>
          <w:rFonts w:ascii="仿宋" w:hAnsi="仿宋" w:eastAsia="仿宋"/>
          <w:color w:val="auto"/>
          <w:sz w:val="32"/>
          <w:szCs w:val="32"/>
        </w:rPr>
        <w:t>.</w:t>
      </w:r>
      <w:r>
        <w:rPr>
          <w:rFonts w:hint="eastAsia" w:ascii="仿宋" w:hAnsi="仿宋" w:eastAsia="仿宋"/>
          <w:color w:val="auto"/>
          <w:sz w:val="32"/>
          <w:szCs w:val="32"/>
          <w:lang w:eastAsia="zh-CN"/>
        </w:rPr>
        <w:t>建立</w:t>
      </w:r>
      <w:r>
        <w:rPr>
          <w:rFonts w:hint="eastAsia" w:ascii="仿宋" w:hAnsi="仿宋" w:eastAsia="仿宋"/>
          <w:color w:val="auto"/>
          <w:sz w:val="32"/>
          <w:szCs w:val="32"/>
        </w:rPr>
        <w:t>政府公开工作领导小组</w:t>
      </w:r>
      <w:r>
        <w:rPr>
          <w:rFonts w:hint="eastAsia" w:ascii="仿宋" w:hAnsi="仿宋" w:eastAsia="仿宋"/>
          <w:color w:val="auto"/>
          <w:sz w:val="32"/>
          <w:szCs w:val="32"/>
          <w:lang w:eastAsia="zh-CN"/>
        </w:rPr>
        <w:t>，明确人员</w:t>
      </w:r>
      <w:r>
        <w:rPr>
          <w:rFonts w:hint="eastAsia" w:ascii="仿宋" w:hAnsi="仿宋" w:eastAsia="仿宋"/>
          <w:color w:val="auto"/>
          <w:sz w:val="32"/>
          <w:szCs w:val="32"/>
        </w:rPr>
        <w:t>组成与职责，</w:t>
      </w:r>
      <w:r>
        <w:rPr>
          <w:rFonts w:hint="eastAsia" w:ascii="仿宋" w:hAnsi="仿宋" w:eastAsia="仿宋"/>
          <w:color w:val="auto"/>
          <w:sz w:val="32"/>
          <w:szCs w:val="32"/>
          <w:lang w:eastAsia="zh-CN"/>
        </w:rPr>
        <w:t>监督保障全局政府信息公开工作规范开展</w:t>
      </w:r>
      <w:r>
        <w:rPr>
          <w:rFonts w:hint="eastAsia" w:ascii="仿宋" w:hAnsi="仿宋" w:eastAsia="仿宋"/>
          <w:color w:val="auto"/>
          <w:sz w:val="32"/>
          <w:szCs w:val="32"/>
        </w:rPr>
        <w:t>。</w:t>
      </w:r>
    </w:p>
    <w:p>
      <w:pPr>
        <w:spacing w:line="560" w:lineRule="exact"/>
        <w:ind w:firstLine="640" w:firstLineChars="200"/>
        <w:rPr>
          <w:rFonts w:hint="eastAsia" w:ascii="仿宋" w:hAnsi="仿宋" w:eastAsia="仿宋"/>
          <w:color w:val="auto"/>
          <w:sz w:val="32"/>
          <w:szCs w:val="32"/>
          <w:lang w:eastAsia="zh-CN"/>
        </w:rPr>
      </w:pPr>
      <w:r>
        <w:rPr>
          <w:rFonts w:ascii="仿宋" w:hAnsi="仿宋" w:eastAsia="仿宋"/>
          <w:color w:val="auto"/>
          <w:sz w:val="32"/>
          <w:szCs w:val="32"/>
        </w:rPr>
        <w:t>2.</w:t>
      </w:r>
      <w:r>
        <w:rPr>
          <w:rFonts w:hint="eastAsia" w:ascii="仿宋" w:hAnsi="仿宋" w:eastAsia="仿宋"/>
          <w:color w:val="auto"/>
          <w:sz w:val="32"/>
          <w:szCs w:val="32"/>
          <w:lang w:eastAsia="zh-CN"/>
        </w:rPr>
        <w:t>每年制定</w:t>
      </w:r>
      <w:r>
        <w:rPr>
          <w:rFonts w:hint="eastAsia" w:ascii="仿宋" w:hAnsi="仿宋" w:eastAsia="仿宋"/>
          <w:color w:val="auto"/>
          <w:sz w:val="32"/>
          <w:szCs w:val="32"/>
        </w:rPr>
        <w:t>政务公开培训计划</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2023年</w:t>
      </w:r>
      <w:r>
        <w:rPr>
          <w:rFonts w:hint="eastAsia" w:ascii="仿宋" w:hAnsi="仿宋" w:eastAsia="仿宋"/>
          <w:color w:val="auto"/>
          <w:sz w:val="32"/>
          <w:szCs w:val="32"/>
          <w:lang w:eastAsia="zh-CN"/>
        </w:rPr>
        <w:t>组织</w:t>
      </w:r>
      <w:r>
        <w:rPr>
          <w:rFonts w:hint="eastAsia" w:ascii="仿宋" w:hAnsi="仿宋" w:eastAsia="仿宋"/>
          <w:color w:val="auto"/>
          <w:sz w:val="32"/>
          <w:szCs w:val="32"/>
          <w:lang w:val="en-US" w:eastAsia="zh-CN"/>
        </w:rPr>
        <w:t>政务公开培训1次，</w:t>
      </w:r>
      <w:r>
        <w:rPr>
          <w:rFonts w:hint="eastAsia" w:ascii="仿宋" w:hAnsi="仿宋" w:eastAsia="仿宋"/>
          <w:color w:val="auto"/>
          <w:sz w:val="32"/>
          <w:szCs w:val="32"/>
        </w:rPr>
        <w:t>组织召开政务公开工作推进会</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次</w:t>
      </w:r>
      <w:r>
        <w:rPr>
          <w:rFonts w:hint="eastAsia" w:ascii="仿宋" w:hAnsi="仿宋" w:eastAsia="仿宋"/>
          <w:color w:val="auto"/>
          <w:sz w:val="32"/>
          <w:szCs w:val="32"/>
          <w:lang w:eastAsia="zh-CN"/>
        </w:rPr>
        <w:t>。</w:t>
      </w:r>
    </w:p>
    <w:p>
      <w:pPr>
        <w:ind w:firstLine="648"/>
        <w:rPr>
          <w:rFonts w:ascii="黑体" w:hAnsi="黑体" w:eastAsia="黑体"/>
          <w:sz w:val="32"/>
          <w:szCs w:val="32"/>
        </w:rPr>
      </w:pPr>
      <w:r>
        <w:rPr>
          <w:rFonts w:hint="eastAsia" w:ascii="黑体" w:hAnsi="黑体" w:eastAsia="黑体"/>
          <w:sz w:val="32"/>
          <w:szCs w:val="32"/>
        </w:rPr>
        <w:t>二、主动公开政府信息情况</w:t>
      </w:r>
    </w:p>
    <w:p>
      <w:pPr>
        <w:spacing w:before="9"/>
        <w:jc w:val="left"/>
        <w:rPr>
          <w:rFonts w:ascii="宋体" w:hAnsi="宋体" w:eastAsia="宋体" w:cs="宋体"/>
          <w:kern w:val="0"/>
          <w:szCs w:val="21"/>
        </w:rPr>
      </w:pPr>
    </w:p>
    <w:tbl>
      <w:tblPr>
        <w:tblStyle w:val="11"/>
        <w:tblW w:w="8124" w:type="dxa"/>
        <w:jc w:val="center"/>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621" w:hRule="exact"/>
          <w:jc w:val="center"/>
        </w:trPr>
        <w:tc>
          <w:tcPr>
            <w:tcW w:w="8124" w:type="dxa"/>
            <w:gridSpan w:val="4"/>
            <w:tcBorders>
              <w:top w:val="single" w:color="2B283F" w:sz="8" w:space="0"/>
              <w:left w:val="single" w:color="3B3B44" w:sz="6" w:space="0"/>
              <w:bottom w:val="single" w:color="64647C" w:sz="4" w:space="0"/>
              <w:right w:val="single" w:color="3B3B44" w:sz="8" w:space="0"/>
            </w:tcBorders>
            <w:vAlign w:val="center"/>
          </w:tcPr>
          <w:p>
            <w:pPr>
              <w:tabs>
                <w:tab w:val="left" w:pos="1048"/>
              </w:tabs>
              <w:spacing w:before="142"/>
              <w:ind w:left="-1" w:right="1"/>
              <w:jc w:val="center"/>
              <w:rPr>
                <w:lang w:eastAsia="zh-CN"/>
              </w:rPr>
            </w:pPr>
            <w:r>
              <w:rPr>
                <w:lang w:eastAsia="zh-CN"/>
              </w:rPr>
              <w:t>第二十条</w:t>
            </w:r>
            <w:r>
              <w:rPr>
                <w:lang w:eastAsia="zh-CN"/>
              </w:rPr>
              <w:tab/>
            </w:r>
            <w:r>
              <w:rPr>
                <w:lang w:eastAsia="zh-CN"/>
              </w:rPr>
              <w:t>第（一</w:t>
            </w:r>
            <w:r>
              <w:rPr>
                <w:rFonts w:hint="eastAsia"/>
                <w:lang w:eastAsia="zh-CN"/>
              </w:rPr>
              <w:t>）</w:t>
            </w:r>
            <w:r>
              <w:rPr>
                <w:lang w:eastAsia="zh-CN"/>
              </w:rPr>
              <w:t>项</w:t>
            </w:r>
          </w:p>
        </w:tc>
      </w:tr>
      <w:tr>
        <w:tblPrEx>
          <w:tblCellMar>
            <w:top w:w="0" w:type="dxa"/>
            <w:left w:w="0" w:type="dxa"/>
            <w:bottom w:w="0" w:type="dxa"/>
            <w:right w:w="0" w:type="dxa"/>
          </w:tblCellMar>
        </w:tblPrEx>
        <w:trPr>
          <w:trHeight w:val="616" w:hRule="exact"/>
          <w:jc w:val="center"/>
        </w:trPr>
        <w:tc>
          <w:tcPr>
            <w:tcW w:w="3284" w:type="dxa"/>
            <w:tcBorders>
              <w:top w:val="single" w:color="64647C" w:sz="4" w:space="0"/>
              <w:left w:val="single" w:color="3B3B44" w:sz="6" w:space="0"/>
              <w:bottom w:val="single" w:color="707790" w:sz="4" w:space="0"/>
              <w:right w:val="single" w:color="7C7C83" w:sz="4" w:space="0"/>
            </w:tcBorders>
            <w:vAlign w:val="center"/>
          </w:tcPr>
          <w:p>
            <w:pPr>
              <w:spacing w:before="135"/>
              <w:ind w:right="27"/>
              <w:jc w:val="center"/>
              <w:rPr>
                <w:lang w:eastAsia="zh-CN"/>
              </w:rPr>
            </w:pPr>
            <w:r>
              <w:rPr>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vAlign w:val="center"/>
          </w:tcPr>
          <w:p>
            <w:pPr>
              <w:spacing w:before="135"/>
              <w:ind w:left="216"/>
              <w:jc w:val="center"/>
              <w:rPr>
                <w:lang w:eastAsia="zh-CN"/>
              </w:rPr>
            </w:pPr>
            <w:r>
              <w:rPr>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vAlign w:val="center"/>
          </w:tcPr>
          <w:p>
            <w:pPr>
              <w:spacing w:before="135"/>
              <w:ind w:left="275"/>
              <w:jc w:val="center"/>
              <w:rPr>
                <w:lang w:eastAsia="zh-CN"/>
              </w:rPr>
            </w:pPr>
            <w:r>
              <w:rPr>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vAlign w:val="center"/>
          </w:tcPr>
          <w:p>
            <w:pPr>
              <w:spacing w:before="130"/>
              <w:jc w:val="center"/>
              <w:rPr>
                <w:lang w:eastAsia="zh-CN"/>
              </w:rPr>
            </w:pPr>
            <w:r>
              <w:rPr>
                <w:lang w:eastAsia="zh-CN"/>
              </w:rPr>
              <w:t>现行有效件数</w:t>
            </w:r>
          </w:p>
        </w:tc>
      </w:tr>
      <w:tr>
        <w:tblPrEx>
          <w:tblCellMar>
            <w:top w:w="0" w:type="dxa"/>
            <w:left w:w="0" w:type="dxa"/>
            <w:bottom w:w="0" w:type="dxa"/>
            <w:right w:w="0" w:type="dxa"/>
          </w:tblCellMar>
        </w:tblPrEx>
        <w:trPr>
          <w:trHeight w:val="628" w:hRule="exact"/>
          <w:jc w:val="center"/>
        </w:trPr>
        <w:tc>
          <w:tcPr>
            <w:tcW w:w="3284" w:type="dxa"/>
            <w:tcBorders>
              <w:top w:val="single" w:color="707790" w:sz="4" w:space="0"/>
              <w:left w:val="single" w:color="3B3B44" w:sz="6" w:space="0"/>
              <w:bottom w:val="single" w:color="747487" w:sz="4" w:space="0"/>
              <w:right w:val="single" w:color="97979C" w:sz="4" w:space="0"/>
            </w:tcBorders>
            <w:vAlign w:val="center"/>
          </w:tcPr>
          <w:p>
            <w:pPr>
              <w:spacing w:before="147"/>
              <w:ind w:left="93"/>
              <w:jc w:val="center"/>
              <w:rPr>
                <w:lang w:eastAsia="zh-CN"/>
              </w:rPr>
            </w:pPr>
            <w:r>
              <w:rPr>
                <w:lang w:eastAsia="zh-CN"/>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pPr>
              <w:jc w:val="center"/>
              <w:rPr>
                <w:lang w:eastAsia="zh-CN"/>
              </w:rPr>
            </w:pPr>
            <w:r>
              <w:rPr>
                <w:rFonts w:hint="eastAsia"/>
                <w:lang w:eastAsia="zh-CN"/>
              </w:rPr>
              <w:t>0</w:t>
            </w:r>
          </w:p>
        </w:tc>
        <w:tc>
          <w:tcPr>
            <w:tcW w:w="1803" w:type="dxa"/>
            <w:tcBorders>
              <w:top w:val="single" w:color="835B67" w:sz="4" w:space="0"/>
              <w:left w:val="single" w:color="939397" w:sz="4" w:space="0"/>
              <w:bottom w:val="single" w:color="546080" w:sz="2" w:space="0"/>
              <w:right w:val="single" w:color="97939C" w:sz="4" w:space="0"/>
            </w:tcBorders>
            <w:vAlign w:val="center"/>
          </w:tcPr>
          <w:p>
            <w:pPr>
              <w:jc w:val="center"/>
              <w:rPr>
                <w:lang w:eastAsia="zh-CN"/>
              </w:rPr>
            </w:pPr>
            <w:r>
              <w:rPr>
                <w:rFonts w:hint="eastAsia"/>
                <w:lang w:eastAsia="zh-CN"/>
              </w:rPr>
              <w:t>0</w:t>
            </w:r>
          </w:p>
        </w:tc>
        <w:tc>
          <w:tcPr>
            <w:tcW w:w="1351" w:type="dxa"/>
            <w:tcBorders>
              <w:top w:val="single" w:color="835B67" w:sz="4" w:space="0"/>
              <w:left w:val="single" w:color="97939C" w:sz="4" w:space="0"/>
              <w:bottom w:val="single" w:color="74778C" w:sz="4" w:space="0"/>
              <w:right w:val="single" w:color="3B3B3F" w:sz="8" w:space="0"/>
            </w:tcBorders>
            <w:vAlign w:val="center"/>
          </w:tcPr>
          <w:p>
            <w:pPr>
              <w:jc w:val="center"/>
              <w:rPr>
                <w:lang w:eastAsia="zh-CN"/>
              </w:rPr>
            </w:pPr>
            <w:r>
              <w:rPr>
                <w:rFonts w:hint="eastAsia"/>
                <w:lang w:eastAsia="zh-CN"/>
              </w:rPr>
              <w:t>0</w:t>
            </w:r>
          </w:p>
        </w:tc>
      </w:tr>
      <w:tr>
        <w:tblPrEx>
          <w:tblCellMar>
            <w:top w:w="0" w:type="dxa"/>
            <w:left w:w="0" w:type="dxa"/>
            <w:bottom w:w="0" w:type="dxa"/>
            <w:right w:w="0" w:type="dxa"/>
          </w:tblCellMar>
        </w:tblPrEx>
        <w:trPr>
          <w:trHeight w:val="621" w:hRule="exact"/>
          <w:jc w:val="center"/>
        </w:trPr>
        <w:tc>
          <w:tcPr>
            <w:tcW w:w="3284" w:type="dxa"/>
            <w:tcBorders>
              <w:top w:val="single" w:color="747487" w:sz="4" w:space="0"/>
              <w:left w:val="single" w:color="3B3B44" w:sz="6" w:space="0"/>
              <w:bottom w:val="single" w:color="5B6080" w:sz="4" w:space="0"/>
              <w:right w:val="single" w:color="97979C" w:sz="4" w:space="0"/>
            </w:tcBorders>
            <w:vAlign w:val="center"/>
          </w:tcPr>
          <w:p>
            <w:pPr>
              <w:spacing w:before="138"/>
              <w:ind w:left="93"/>
              <w:jc w:val="center"/>
              <w:rPr>
                <w:lang w:eastAsia="zh-CN"/>
              </w:rPr>
            </w:pPr>
            <w:r>
              <w:rPr>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pPr>
              <w:jc w:val="center"/>
              <w:rPr>
                <w:lang w:eastAsia="zh-CN"/>
              </w:rPr>
            </w:pPr>
            <w:r>
              <w:rPr>
                <w:rFonts w:hint="eastAsia"/>
                <w:lang w:eastAsia="zh-CN"/>
              </w:rPr>
              <w:t>0</w:t>
            </w:r>
          </w:p>
        </w:tc>
        <w:tc>
          <w:tcPr>
            <w:tcW w:w="1803" w:type="dxa"/>
            <w:tcBorders>
              <w:top w:val="single" w:color="546080" w:sz="2" w:space="0"/>
              <w:left w:val="single" w:color="939397" w:sz="4" w:space="0"/>
              <w:bottom w:val="single" w:color="5B6080" w:sz="4" w:space="0"/>
              <w:right w:val="single" w:color="97939C" w:sz="4" w:space="0"/>
            </w:tcBorders>
            <w:vAlign w:val="center"/>
          </w:tcPr>
          <w:p>
            <w:pPr>
              <w:jc w:val="center"/>
              <w:rPr>
                <w:lang w:eastAsia="zh-CN"/>
              </w:rPr>
            </w:pPr>
            <w:r>
              <w:rPr>
                <w:rFonts w:hint="eastAsia"/>
                <w:lang w:eastAsia="zh-CN"/>
              </w:rPr>
              <w:t>0</w:t>
            </w:r>
          </w:p>
        </w:tc>
        <w:tc>
          <w:tcPr>
            <w:tcW w:w="1351" w:type="dxa"/>
            <w:tcBorders>
              <w:top w:val="single" w:color="74778C" w:sz="4" w:space="0"/>
              <w:left w:val="single" w:color="97939C" w:sz="4" w:space="0"/>
              <w:bottom w:val="single" w:color="5B6080" w:sz="4" w:space="0"/>
              <w:right w:val="single" w:color="3B3B3F" w:sz="8" w:space="0"/>
            </w:tcBorders>
            <w:vAlign w:val="center"/>
          </w:tcPr>
          <w:p>
            <w:pPr>
              <w:jc w:val="center"/>
              <w:rPr>
                <w:lang w:eastAsia="zh-CN"/>
              </w:rPr>
            </w:pPr>
            <w:r>
              <w:rPr>
                <w:rFonts w:hint="eastAsia"/>
                <w:lang w:eastAsia="zh-CN"/>
              </w:rPr>
              <w:t>0</w:t>
            </w:r>
          </w:p>
        </w:tc>
      </w:tr>
      <w:tr>
        <w:tblPrEx>
          <w:tblCellMar>
            <w:top w:w="0" w:type="dxa"/>
            <w:left w:w="0" w:type="dxa"/>
            <w:bottom w:w="0" w:type="dxa"/>
            <w:right w:w="0" w:type="dxa"/>
          </w:tblCellMar>
        </w:tblPrEx>
        <w:trPr>
          <w:trHeight w:val="621" w:hRule="exact"/>
          <w:jc w:val="center"/>
        </w:trPr>
        <w:tc>
          <w:tcPr>
            <w:tcW w:w="8124" w:type="dxa"/>
            <w:gridSpan w:val="4"/>
            <w:tcBorders>
              <w:top w:val="single" w:color="5B6080" w:sz="4" w:space="0"/>
              <w:left w:val="single" w:color="3B3B44" w:sz="6" w:space="0"/>
              <w:bottom w:val="single" w:color="646B80" w:sz="4" w:space="0"/>
              <w:right w:val="single" w:color="3B3B3F" w:sz="8" w:space="0"/>
            </w:tcBorders>
            <w:vAlign w:val="center"/>
          </w:tcPr>
          <w:p>
            <w:pPr>
              <w:tabs>
                <w:tab w:val="left" w:pos="1049"/>
              </w:tabs>
              <w:spacing w:before="140"/>
              <w:ind w:left="5"/>
              <w:jc w:val="center"/>
              <w:rPr>
                <w:lang w:eastAsia="zh-CN"/>
              </w:rPr>
            </w:pPr>
            <w:r>
              <w:rPr>
                <w:lang w:eastAsia="zh-CN"/>
              </w:rPr>
              <w:t>第二十条</w:t>
            </w:r>
            <w:r>
              <w:rPr>
                <w:lang w:eastAsia="zh-CN"/>
              </w:rPr>
              <w:tab/>
            </w:r>
            <w:r>
              <w:rPr>
                <w:lang w:eastAsia="zh-CN"/>
              </w:rPr>
              <w:t>第（五</w:t>
            </w:r>
            <w:r>
              <w:rPr>
                <w:rFonts w:hint="eastAsia"/>
                <w:lang w:eastAsia="zh-CN"/>
              </w:rPr>
              <w:t>）</w:t>
            </w:r>
            <w:r>
              <w:rPr>
                <w:lang w:eastAsia="zh-CN"/>
              </w:rPr>
              <w:t>项</w:t>
            </w:r>
          </w:p>
        </w:tc>
      </w:tr>
      <w:tr>
        <w:tblPrEx>
          <w:tblCellMar>
            <w:top w:w="0" w:type="dxa"/>
            <w:left w:w="0" w:type="dxa"/>
            <w:bottom w:w="0" w:type="dxa"/>
            <w:right w:w="0" w:type="dxa"/>
          </w:tblCellMar>
        </w:tblPrEx>
        <w:trPr>
          <w:trHeight w:val="621" w:hRule="exact"/>
          <w:jc w:val="center"/>
        </w:trPr>
        <w:tc>
          <w:tcPr>
            <w:tcW w:w="3284" w:type="dxa"/>
            <w:tcBorders>
              <w:top w:val="single" w:color="646B80" w:sz="4" w:space="0"/>
              <w:left w:val="single" w:color="3B3B44" w:sz="6" w:space="0"/>
              <w:bottom w:val="single" w:color="80676B" w:sz="4" w:space="0"/>
              <w:right w:val="single" w:color="878787" w:sz="4" w:space="0"/>
            </w:tcBorders>
            <w:vAlign w:val="center"/>
          </w:tcPr>
          <w:p>
            <w:pPr>
              <w:spacing w:before="138"/>
              <w:ind w:right="17"/>
              <w:jc w:val="center"/>
              <w:rPr>
                <w:lang w:eastAsia="zh-CN"/>
              </w:rPr>
            </w:pPr>
            <w:r>
              <w:rPr>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vAlign w:val="center"/>
          </w:tcPr>
          <w:p>
            <w:pPr>
              <w:spacing w:before="142"/>
              <w:ind w:right="16"/>
              <w:jc w:val="center"/>
              <w:rPr>
                <w:lang w:eastAsia="zh-CN"/>
              </w:rPr>
            </w:pPr>
            <w:r>
              <w:rPr>
                <w:lang w:eastAsia="zh-CN"/>
              </w:rPr>
              <w:t>本年处理决定数量</w:t>
            </w:r>
          </w:p>
        </w:tc>
      </w:tr>
      <w:tr>
        <w:tblPrEx>
          <w:tblCellMar>
            <w:top w:w="0" w:type="dxa"/>
            <w:left w:w="0" w:type="dxa"/>
            <w:bottom w:w="0" w:type="dxa"/>
            <w:right w:w="0" w:type="dxa"/>
          </w:tblCellMar>
        </w:tblPrEx>
        <w:trPr>
          <w:trHeight w:val="621" w:hRule="exact"/>
          <w:jc w:val="center"/>
        </w:trPr>
        <w:tc>
          <w:tcPr>
            <w:tcW w:w="3284" w:type="dxa"/>
            <w:tcBorders>
              <w:top w:val="single" w:color="80676B" w:sz="4" w:space="0"/>
              <w:left w:val="single" w:color="3B3B44" w:sz="6" w:space="0"/>
              <w:bottom w:val="single" w:color="646487" w:sz="4" w:space="0"/>
              <w:right w:val="single" w:color="878787" w:sz="4" w:space="0"/>
            </w:tcBorders>
            <w:vAlign w:val="center"/>
          </w:tcPr>
          <w:p>
            <w:pPr>
              <w:spacing w:before="140"/>
              <w:ind w:left="98"/>
              <w:jc w:val="center"/>
              <w:rPr>
                <w:lang w:eastAsia="zh-CN"/>
              </w:rPr>
            </w:pPr>
            <w:r>
              <w:rPr>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pPr>
              <w:jc w:val="center"/>
              <w:rPr>
                <w:lang w:eastAsia="zh-CN"/>
              </w:rPr>
            </w:pPr>
            <w:r>
              <w:rPr>
                <w:rFonts w:hint="eastAsia"/>
                <w:lang w:eastAsia="zh-CN"/>
              </w:rPr>
              <w:t>0</w:t>
            </w:r>
          </w:p>
        </w:tc>
      </w:tr>
      <w:tr>
        <w:tblPrEx>
          <w:tblCellMar>
            <w:top w:w="0" w:type="dxa"/>
            <w:left w:w="0" w:type="dxa"/>
            <w:bottom w:w="0" w:type="dxa"/>
            <w:right w:w="0" w:type="dxa"/>
          </w:tblCellMar>
        </w:tblPrEx>
        <w:trPr>
          <w:trHeight w:val="623" w:hRule="exact"/>
          <w:jc w:val="center"/>
        </w:trPr>
        <w:tc>
          <w:tcPr>
            <w:tcW w:w="8124" w:type="dxa"/>
            <w:gridSpan w:val="4"/>
            <w:tcBorders>
              <w:top w:val="single" w:color="646487" w:sz="4" w:space="0"/>
              <w:left w:val="single" w:color="3B3B44" w:sz="6" w:space="0"/>
              <w:bottom w:val="single" w:color="607087" w:sz="4" w:space="0"/>
              <w:right w:val="single" w:color="3B3B3F" w:sz="8" w:space="0"/>
            </w:tcBorders>
            <w:vAlign w:val="center"/>
          </w:tcPr>
          <w:p>
            <w:pPr>
              <w:tabs>
                <w:tab w:val="left" w:pos="1059"/>
              </w:tabs>
              <w:spacing w:before="142"/>
              <w:ind w:left="15"/>
              <w:jc w:val="center"/>
              <w:rPr>
                <w:lang w:eastAsia="zh-CN"/>
              </w:rPr>
            </w:pPr>
            <w:r>
              <w:rPr>
                <w:lang w:eastAsia="zh-CN"/>
              </w:rPr>
              <w:t>第二十条</w:t>
            </w:r>
            <w:r>
              <w:rPr>
                <w:lang w:eastAsia="zh-CN"/>
              </w:rPr>
              <w:tab/>
            </w:r>
            <w:r>
              <w:rPr>
                <w:lang w:eastAsia="zh-CN"/>
              </w:rPr>
              <w:t>第（六</w:t>
            </w:r>
            <w:r>
              <w:rPr>
                <w:rFonts w:hint="eastAsia"/>
                <w:lang w:eastAsia="zh-CN"/>
              </w:rPr>
              <w:t>）</w:t>
            </w:r>
            <w:r>
              <w:rPr>
                <w:lang w:eastAsia="zh-CN"/>
              </w:rPr>
              <w:t>项</w:t>
            </w:r>
          </w:p>
        </w:tc>
      </w:tr>
      <w:tr>
        <w:tblPrEx>
          <w:tblCellMar>
            <w:top w:w="0" w:type="dxa"/>
            <w:left w:w="0" w:type="dxa"/>
            <w:bottom w:w="0" w:type="dxa"/>
            <w:right w:w="0" w:type="dxa"/>
          </w:tblCellMar>
        </w:tblPrEx>
        <w:trPr>
          <w:trHeight w:val="627" w:hRule="exact"/>
          <w:jc w:val="center"/>
        </w:trPr>
        <w:tc>
          <w:tcPr>
            <w:tcW w:w="3284" w:type="dxa"/>
            <w:tcBorders>
              <w:top w:val="single" w:color="607087" w:sz="4" w:space="0"/>
              <w:left w:val="single" w:color="3B3B44" w:sz="6" w:space="0"/>
              <w:bottom w:val="single" w:color="8C7774" w:sz="4" w:space="0"/>
              <w:right w:val="single" w:color="909093" w:sz="4" w:space="0"/>
            </w:tcBorders>
            <w:vAlign w:val="center"/>
          </w:tcPr>
          <w:p>
            <w:pPr>
              <w:spacing w:before="142"/>
              <w:ind w:right="8"/>
              <w:jc w:val="center"/>
              <w:rPr>
                <w:lang w:eastAsia="zh-CN"/>
              </w:rPr>
            </w:pPr>
            <w:r>
              <w:rPr>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vAlign w:val="center"/>
          </w:tcPr>
          <w:p>
            <w:pPr>
              <w:spacing w:before="142"/>
              <w:ind w:right="13"/>
              <w:jc w:val="center"/>
              <w:rPr>
                <w:lang w:eastAsia="zh-CN"/>
              </w:rPr>
            </w:pPr>
            <w:r>
              <w:rPr>
                <w:lang w:eastAsia="zh-CN"/>
              </w:rPr>
              <w:t>本年处理决定数量</w:t>
            </w:r>
          </w:p>
        </w:tc>
      </w:tr>
      <w:tr>
        <w:tblPrEx>
          <w:tblCellMar>
            <w:top w:w="0" w:type="dxa"/>
            <w:left w:w="0" w:type="dxa"/>
            <w:bottom w:w="0" w:type="dxa"/>
            <w:right w:w="0" w:type="dxa"/>
          </w:tblCellMar>
        </w:tblPrEx>
        <w:trPr>
          <w:trHeight w:val="624" w:hRule="exact"/>
          <w:jc w:val="center"/>
        </w:trPr>
        <w:tc>
          <w:tcPr>
            <w:tcW w:w="3284" w:type="dxa"/>
            <w:tcBorders>
              <w:top w:val="single" w:color="8C7774" w:sz="4" w:space="0"/>
              <w:left w:val="single" w:color="3B3B44" w:sz="6" w:space="0"/>
              <w:bottom w:val="single" w:color="7C6B74" w:sz="4" w:space="0"/>
              <w:right w:val="single" w:color="909093" w:sz="4" w:space="0"/>
            </w:tcBorders>
            <w:vAlign w:val="center"/>
          </w:tcPr>
          <w:p>
            <w:pPr>
              <w:spacing w:before="139"/>
              <w:ind w:left="102"/>
              <w:jc w:val="center"/>
              <w:rPr>
                <w:lang w:eastAsia="zh-CN"/>
              </w:rPr>
            </w:pPr>
            <w:r>
              <w:rPr>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pPr>
              <w:jc w:val="center"/>
              <w:rPr>
                <w:lang w:eastAsia="zh-CN"/>
              </w:rPr>
            </w:pPr>
            <w:r>
              <w:rPr>
                <w:rFonts w:hint="eastAsia"/>
                <w:lang w:eastAsia="zh-CN"/>
              </w:rPr>
              <w:t>0</w:t>
            </w:r>
          </w:p>
        </w:tc>
      </w:tr>
      <w:tr>
        <w:tblPrEx>
          <w:tblCellMar>
            <w:top w:w="0" w:type="dxa"/>
            <w:left w:w="0" w:type="dxa"/>
            <w:bottom w:w="0" w:type="dxa"/>
            <w:right w:w="0" w:type="dxa"/>
          </w:tblCellMar>
        </w:tblPrEx>
        <w:trPr>
          <w:trHeight w:val="618" w:hRule="exact"/>
          <w:jc w:val="center"/>
        </w:trPr>
        <w:tc>
          <w:tcPr>
            <w:tcW w:w="3284" w:type="dxa"/>
            <w:tcBorders>
              <w:top w:val="single" w:color="7C6B74" w:sz="4" w:space="0"/>
              <w:left w:val="single" w:color="3B3B44" w:sz="6" w:space="0"/>
              <w:bottom w:val="single" w:color="646080" w:sz="4" w:space="0"/>
              <w:right w:val="single" w:color="909093" w:sz="4" w:space="0"/>
            </w:tcBorders>
            <w:vAlign w:val="center"/>
          </w:tcPr>
          <w:p>
            <w:pPr>
              <w:spacing w:before="138"/>
              <w:ind w:left="107"/>
              <w:jc w:val="center"/>
              <w:rPr>
                <w:lang w:eastAsia="zh-CN"/>
              </w:rPr>
            </w:pPr>
            <w:r>
              <w:rPr>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pPr>
              <w:jc w:val="center"/>
              <w:rPr>
                <w:lang w:eastAsia="zh-CN"/>
              </w:rPr>
            </w:pPr>
            <w:r>
              <w:rPr>
                <w:rFonts w:hint="eastAsia"/>
                <w:lang w:eastAsia="zh-CN"/>
              </w:rPr>
              <w:t>0</w:t>
            </w:r>
          </w:p>
        </w:tc>
      </w:tr>
      <w:tr>
        <w:tblPrEx>
          <w:tblCellMar>
            <w:top w:w="0" w:type="dxa"/>
            <w:left w:w="0" w:type="dxa"/>
            <w:bottom w:w="0" w:type="dxa"/>
            <w:right w:w="0" w:type="dxa"/>
          </w:tblCellMar>
        </w:tblPrEx>
        <w:trPr>
          <w:trHeight w:val="626" w:hRule="exact"/>
          <w:jc w:val="center"/>
        </w:trPr>
        <w:tc>
          <w:tcPr>
            <w:tcW w:w="8124" w:type="dxa"/>
            <w:gridSpan w:val="4"/>
            <w:tcBorders>
              <w:top w:val="single" w:color="646080" w:sz="4" w:space="0"/>
              <w:left w:val="single" w:color="3B3B44" w:sz="6" w:space="0"/>
              <w:bottom w:val="nil"/>
              <w:right w:val="single" w:color="3B3B3F" w:sz="8" w:space="0"/>
            </w:tcBorders>
            <w:vAlign w:val="center"/>
          </w:tcPr>
          <w:p>
            <w:pPr>
              <w:tabs>
                <w:tab w:val="left" w:pos="1068"/>
              </w:tabs>
              <w:spacing w:before="142"/>
              <w:ind w:left="25"/>
              <w:jc w:val="center"/>
              <w:rPr>
                <w:lang w:eastAsia="zh-CN"/>
              </w:rPr>
            </w:pPr>
            <w:r>
              <w:rPr>
                <w:lang w:eastAsia="zh-CN"/>
              </w:rPr>
              <w:t>第二十条</w:t>
            </w:r>
            <w:r>
              <w:rPr>
                <w:lang w:eastAsia="zh-CN"/>
              </w:rPr>
              <w:tab/>
            </w:r>
            <w:r>
              <w:rPr>
                <w:lang w:eastAsia="zh-CN"/>
              </w:rPr>
              <w:t>第（八）项</w:t>
            </w:r>
          </w:p>
        </w:tc>
      </w:tr>
      <w:tr>
        <w:tblPrEx>
          <w:tblCellMar>
            <w:top w:w="0" w:type="dxa"/>
            <w:left w:w="0" w:type="dxa"/>
            <w:bottom w:w="0" w:type="dxa"/>
            <w:right w:w="0" w:type="dxa"/>
          </w:tblCellMar>
        </w:tblPrEx>
        <w:trPr>
          <w:trHeight w:val="621" w:hRule="exact"/>
          <w:jc w:val="center"/>
        </w:trPr>
        <w:tc>
          <w:tcPr>
            <w:tcW w:w="3284" w:type="dxa"/>
            <w:tcBorders>
              <w:top w:val="single" w:color="6B747C" w:sz="4" w:space="0"/>
              <w:left w:val="single" w:color="5B5B60" w:sz="6" w:space="0"/>
              <w:bottom w:val="single" w:color="77778C" w:sz="4" w:space="0"/>
              <w:right w:val="single" w:color="auto" w:sz="4" w:space="0"/>
            </w:tcBorders>
            <w:vAlign w:val="center"/>
          </w:tcPr>
          <w:p>
            <w:pPr>
              <w:spacing w:before="135"/>
              <w:ind w:right="1"/>
              <w:jc w:val="center"/>
              <w:rPr>
                <w:lang w:eastAsia="zh-CN"/>
              </w:rPr>
            </w:pPr>
            <w:r>
              <w:rPr>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vAlign w:val="center"/>
          </w:tcPr>
          <w:p>
            <w:pPr>
              <w:spacing w:before="145"/>
              <w:ind w:left="1446"/>
              <w:jc w:val="center"/>
              <w:rPr>
                <w:lang w:eastAsia="zh-CN"/>
              </w:rPr>
            </w:pPr>
            <w:r>
              <w:rPr>
                <w:lang w:eastAsia="zh-CN"/>
              </w:rPr>
              <w:t>本年收费金额（单位：万元</w:t>
            </w:r>
            <w:r>
              <w:rPr>
                <w:rFonts w:hint="eastAsia"/>
                <w:lang w:eastAsia="zh-CN"/>
              </w:rPr>
              <w:t>）</w:t>
            </w:r>
          </w:p>
        </w:tc>
      </w:tr>
      <w:tr>
        <w:tblPrEx>
          <w:tblCellMar>
            <w:top w:w="0" w:type="dxa"/>
            <w:left w:w="0" w:type="dxa"/>
            <w:bottom w:w="0" w:type="dxa"/>
            <w:right w:w="0" w:type="dxa"/>
          </w:tblCellMar>
        </w:tblPrEx>
        <w:trPr>
          <w:trHeight w:val="626" w:hRule="exact"/>
          <w:jc w:val="center"/>
        </w:trPr>
        <w:tc>
          <w:tcPr>
            <w:tcW w:w="3284" w:type="dxa"/>
            <w:tcBorders>
              <w:top w:val="single" w:color="77778C" w:sz="4" w:space="0"/>
              <w:left w:val="single" w:color="5B5B60" w:sz="6" w:space="0"/>
              <w:bottom w:val="single" w:color="3B383F" w:sz="8" w:space="0"/>
              <w:right w:val="single" w:color="8C8C93" w:sz="2" w:space="0"/>
            </w:tcBorders>
            <w:vAlign w:val="center"/>
          </w:tcPr>
          <w:p>
            <w:pPr>
              <w:spacing w:before="138"/>
              <w:ind w:left="107"/>
              <w:jc w:val="center"/>
              <w:rPr>
                <w:lang w:eastAsia="zh-CN"/>
              </w:rPr>
            </w:pPr>
            <w:r>
              <w:rPr>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pPr>
              <w:jc w:val="center"/>
              <w:rPr>
                <w:lang w:eastAsia="zh-CN"/>
              </w:rPr>
            </w:pPr>
            <w:r>
              <w:rPr>
                <w:rFonts w:hint="eastAsia"/>
                <w:lang w:eastAsia="zh-CN"/>
              </w:rPr>
              <w:t>0</w:t>
            </w:r>
          </w:p>
        </w:tc>
      </w:tr>
    </w:tbl>
    <w:p>
      <w:pP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r>
              <w:rPr>
                <w:rFonts w:hint="eastAsia"/>
              </w:rPr>
              <w:t>（本列数据的勾稽关系为：第一项加第二项之和，等于第三项加第四项之和）</w:t>
            </w:r>
          </w:p>
        </w:tc>
        <w:tc>
          <w:tcPr>
            <w:tcW w:w="4685" w:type="dxa"/>
            <w:gridSpan w:val="7"/>
            <w:vAlign w:val="center"/>
          </w:tcPr>
          <w:p>
            <w:pPr>
              <w:jc w:val="center"/>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tc>
        <w:tc>
          <w:tcPr>
            <w:tcW w:w="554" w:type="dxa"/>
            <w:vMerge w:val="restart"/>
            <w:vAlign w:val="center"/>
          </w:tcPr>
          <w:p>
            <w:pPr>
              <w:jc w:val="center"/>
              <w:rPr>
                <w:sz w:val="18"/>
                <w:szCs w:val="18"/>
              </w:rPr>
            </w:pPr>
            <w:r>
              <w:rPr>
                <w:rFonts w:hint="eastAsia"/>
                <w:szCs w:val="21"/>
              </w:rPr>
              <w:t>自然人</w:t>
            </w:r>
          </w:p>
        </w:tc>
        <w:tc>
          <w:tcPr>
            <w:tcW w:w="3466" w:type="dxa"/>
            <w:gridSpan w:val="5"/>
            <w:vAlign w:val="center"/>
          </w:tcPr>
          <w:p>
            <w:pPr>
              <w:jc w:val="center"/>
              <w:rPr>
                <w:szCs w:val="21"/>
              </w:rPr>
            </w:pPr>
            <w:r>
              <w:rPr>
                <w:rFonts w:hint="eastAsia"/>
                <w:szCs w:val="21"/>
              </w:rPr>
              <w:t>法人或其他组织</w:t>
            </w:r>
          </w:p>
        </w:tc>
        <w:tc>
          <w:tcPr>
            <w:tcW w:w="665" w:type="dxa"/>
            <w:vMerge w:val="restart"/>
            <w:vAlign w:val="center"/>
          </w:tcPr>
          <w:p>
            <w:pP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tc>
        <w:tc>
          <w:tcPr>
            <w:tcW w:w="554" w:type="dxa"/>
            <w:vMerge w:val="continue"/>
          </w:tcPr>
          <w:p>
            <w:pPr>
              <w:rPr>
                <w:sz w:val="18"/>
                <w:szCs w:val="18"/>
              </w:rPr>
            </w:pPr>
          </w:p>
        </w:tc>
        <w:tc>
          <w:tcPr>
            <w:tcW w:w="693" w:type="dxa"/>
            <w:vAlign w:val="center"/>
          </w:tcPr>
          <w:p>
            <w:pPr>
              <w:rPr>
                <w:szCs w:val="21"/>
              </w:rPr>
            </w:pPr>
            <w:r>
              <w:rPr>
                <w:rFonts w:hint="eastAsia"/>
                <w:szCs w:val="21"/>
              </w:rPr>
              <w:t>商业企业</w:t>
            </w:r>
          </w:p>
        </w:tc>
        <w:tc>
          <w:tcPr>
            <w:tcW w:w="692" w:type="dxa"/>
            <w:vAlign w:val="center"/>
          </w:tcPr>
          <w:p>
            <w:pPr>
              <w:rPr>
                <w:szCs w:val="21"/>
              </w:rPr>
            </w:pPr>
            <w:r>
              <w:rPr>
                <w:rFonts w:hint="eastAsia"/>
                <w:szCs w:val="21"/>
              </w:rPr>
              <w:t>科研机构</w:t>
            </w:r>
          </w:p>
        </w:tc>
        <w:tc>
          <w:tcPr>
            <w:tcW w:w="693" w:type="dxa"/>
            <w:vAlign w:val="center"/>
          </w:tcPr>
          <w:p>
            <w:pPr>
              <w:rPr>
                <w:szCs w:val="21"/>
              </w:rPr>
            </w:pPr>
            <w:r>
              <w:rPr>
                <w:rFonts w:hint="eastAsia"/>
                <w:szCs w:val="21"/>
              </w:rPr>
              <w:t>社会公益组织</w:t>
            </w:r>
          </w:p>
        </w:tc>
        <w:tc>
          <w:tcPr>
            <w:tcW w:w="693" w:type="dxa"/>
            <w:vAlign w:val="center"/>
          </w:tcPr>
          <w:p>
            <w:pPr>
              <w:rPr>
                <w:szCs w:val="21"/>
              </w:rPr>
            </w:pPr>
            <w:r>
              <w:rPr>
                <w:rFonts w:hint="eastAsia"/>
                <w:szCs w:val="21"/>
              </w:rPr>
              <w:t>法律服务机构</w:t>
            </w:r>
          </w:p>
        </w:tc>
        <w:tc>
          <w:tcPr>
            <w:tcW w:w="695" w:type="dxa"/>
            <w:vAlign w:val="center"/>
          </w:tcPr>
          <w:p>
            <w:pPr>
              <w:rPr>
                <w:szCs w:val="21"/>
              </w:rPr>
            </w:pPr>
            <w:r>
              <w:rPr>
                <w:rFonts w:hint="eastAsia"/>
                <w:szCs w:val="21"/>
              </w:rPr>
              <w:t>其他</w:t>
            </w:r>
          </w:p>
        </w:tc>
        <w:tc>
          <w:tcPr>
            <w:tcW w:w="665"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r>
              <w:rPr>
                <w:rFonts w:hint="eastAsia"/>
              </w:rPr>
              <w:t>一、本年新收政府信息公开申请数量</w:t>
            </w:r>
          </w:p>
        </w:tc>
        <w:tc>
          <w:tcPr>
            <w:tcW w:w="554" w:type="dxa"/>
          </w:tcPr>
          <w:p>
            <w:pPr>
              <w:rPr>
                <w:rFonts w:hint="eastAsia" w:eastAsiaTheme="minorEastAsia"/>
                <w:lang w:val="en-US" w:eastAsia="zh-CN"/>
              </w:rPr>
            </w:pPr>
            <w:r>
              <w:rPr>
                <w:rFonts w:hint="eastAsia"/>
                <w:lang w:val="en-US" w:eastAsia="zh-CN"/>
              </w:rPr>
              <w:t>0</w:t>
            </w:r>
          </w:p>
        </w:tc>
        <w:tc>
          <w:tcPr>
            <w:tcW w:w="693" w:type="dxa"/>
            <w:vAlign w:val="center"/>
          </w:tcPr>
          <w:p>
            <w:pPr>
              <w:rPr>
                <w:szCs w:val="21"/>
              </w:rPr>
            </w:pPr>
            <w:r>
              <w:rPr>
                <w:rFonts w:hint="eastAsia"/>
                <w:szCs w:val="21"/>
              </w:rPr>
              <w:t>0</w:t>
            </w:r>
          </w:p>
        </w:tc>
        <w:tc>
          <w:tcPr>
            <w:tcW w:w="692" w:type="dxa"/>
          </w:tcPr>
          <w:p>
            <w:pPr>
              <w:rPr>
                <w:szCs w:val="21"/>
              </w:rPr>
            </w:pPr>
            <w:r>
              <w:rPr>
                <w:rFonts w:hint="eastAsia"/>
              </w:rPr>
              <w:t>0</w:t>
            </w:r>
          </w:p>
        </w:tc>
        <w:tc>
          <w:tcPr>
            <w:tcW w:w="693" w:type="dxa"/>
          </w:tcPr>
          <w:p>
            <w:pPr>
              <w:rPr>
                <w:szCs w:val="21"/>
              </w:rPr>
            </w:pPr>
            <w:r>
              <w:rPr>
                <w:rFonts w:hint="eastAsia"/>
              </w:rPr>
              <w:t>0</w:t>
            </w:r>
          </w:p>
        </w:tc>
        <w:tc>
          <w:tcPr>
            <w:tcW w:w="693" w:type="dxa"/>
          </w:tcPr>
          <w:p>
            <w:pPr>
              <w:rPr>
                <w:szCs w:val="21"/>
              </w:rPr>
            </w:pPr>
            <w:r>
              <w:rPr>
                <w:rFonts w:hint="eastAsia"/>
              </w:rPr>
              <w:t>0</w:t>
            </w:r>
          </w:p>
        </w:tc>
        <w:tc>
          <w:tcPr>
            <w:tcW w:w="695" w:type="dxa"/>
          </w:tcPr>
          <w:p>
            <w:pPr>
              <w:rPr>
                <w:szCs w:val="21"/>
              </w:rPr>
            </w:pPr>
            <w:r>
              <w:rPr>
                <w:rFonts w:hint="eastAsia"/>
              </w:rPr>
              <w:t>0</w:t>
            </w:r>
          </w:p>
        </w:tc>
        <w:tc>
          <w:tcPr>
            <w:tcW w:w="665" w:type="dxa"/>
          </w:tcPr>
          <w:p>
            <w:pPr>
              <w:rPr>
                <w:rFonts w:hint="eastAsia" w:eastAsiaTheme="minorEastAsia"/>
                <w:szCs w:val="21"/>
                <w:lang w:val="en-US" w:eastAsia="zh-CN"/>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r>
              <w:rPr>
                <w:rFonts w:hint="eastAsia"/>
              </w:rPr>
              <w:t>二、上年结转政府信息公开申请数量</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r>
              <w:rPr>
                <w:rFonts w:hint="eastAsia"/>
              </w:rPr>
              <w:t>三、本年度办理结果</w:t>
            </w:r>
          </w:p>
        </w:tc>
        <w:tc>
          <w:tcPr>
            <w:tcW w:w="4159" w:type="dxa"/>
            <w:gridSpan w:val="2"/>
          </w:tcPr>
          <w:p>
            <w:pPr>
              <w:rPr>
                <w:rFonts w:asciiTheme="minorEastAsia" w:hAnsiTheme="minorEastAsia"/>
                <w:sz w:val="18"/>
                <w:szCs w:val="18"/>
              </w:rPr>
            </w:pPr>
            <w:r>
              <w:rPr>
                <w:rFonts w:hint="eastAsia" w:asciiTheme="minorEastAsia" w:hAnsiTheme="minorEastAsia"/>
                <w:sz w:val="18"/>
                <w:szCs w:val="18"/>
              </w:rPr>
              <w:t>（一）予以公开</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4159" w:type="dxa"/>
            <w:gridSpan w:val="2"/>
          </w:tcPr>
          <w:p>
            <w:pPr>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tc>
        <w:tc>
          <w:tcPr>
            <w:tcW w:w="1525" w:type="dxa"/>
            <w:vMerge w:val="restart"/>
            <w:vAlign w:val="center"/>
          </w:tcPr>
          <w:p>
            <w:pPr>
              <w:rPr>
                <w:rFonts w:asciiTheme="minorEastAsia" w:hAnsiTheme="minorEastAsia"/>
                <w:sz w:val="18"/>
                <w:szCs w:val="18"/>
              </w:rPr>
            </w:pPr>
            <w:r>
              <w:rPr>
                <w:rFonts w:hint="eastAsia" w:asciiTheme="minorEastAsia" w:hAnsiTheme="minorEastAsia"/>
                <w:sz w:val="18"/>
                <w:szCs w:val="18"/>
              </w:rPr>
              <w:t>（三）不予公开</w:t>
            </w:r>
          </w:p>
        </w:tc>
        <w:tc>
          <w:tcPr>
            <w:tcW w:w="2634" w:type="dxa"/>
          </w:tcPr>
          <w:p>
            <w:pPr>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tc>
        <w:tc>
          <w:tcPr>
            <w:tcW w:w="1525" w:type="dxa"/>
            <w:vMerge w:val="continue"/>
            <w:vAlign w:val="center"/>
          </w:tcPr>
          <w:p>
            <w:pPr>
              <w:rPr>
                <w:rFonts w:asciiTheme="minorEastAsia" w:hAnsiTheme="minorEastAsia"/>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2．其他法律行政法规禁止公开</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3．危及“三安全一稳定”</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4．保护第三方合法权益</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5．属于三类内部事务信息</w:t>
            </w:r>
          </w:p>
        </w:tc>
        <w:tc>
          <w:tcPr>
            <w:tcW w:w="554" w:type="dxa"/>
          </w:tcPr>
          <w:p>
            <w:pPr>
              <w:rPr>
                <w:rFonts w:hint="eastAsia" w:eastAsiaTheme="minorEastAsia"/>
                <w:lang w:val="en-US" w:eastAsia="zh-CN"/>
              </w:rPr>
            </w:pPr>
            <w:r>
              <w:rPr>
                <w:rFonts w:hint="eastAsia"/>
                <w:lang w:val="en-US" w:eastAsia="zh-CN"/>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pP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6．属于四类过程性信息</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7．属于行政执法案卷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8．属于行政查询事项</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tc>
        <w:tc>
          <w:tcPr>
            <w:tcW w:w="1525" w:type="dxa"/>
            <w:vMerge w:val="restart"/>
            <w:vAlign w:val="center"/>
          </w:tcPr>
          <w:p>
            <w:pPr>
              <w:rPr>
                <w:sz w:val="18"/>
                <w:szCs w:val="18"/>
              </w:rPr>
            </w:pPr>
            <w:r>
              <w:rPr>
                <w:rFonts w:hint="eastAsia"/>
                <w:sz w:val="18"/>
                <w:szCs w:val="18"/>
              </w:rPr>
              <w:t>（四）无法提供</w:t>
            </w:r>
          </w:p>
        </w:tc>
        <w:tc>
          <w:tcPr>
            <w:tcW w:w="2634" w:type="dxa"/>
          </w:tcPr>
          <w:p>
            <w:pPr>
              <w:rPr>
                <w:rFonts w:asciiTheme="minorEastAsia" w:hAnsiTheme="minorEastAsia"/>
                <w:sz w:val="18"/>
                <w:szCs w:val="18"/>
              </w:rPr>
            </w:pPr>
            <w:r>
              <w:rPr>
                <w:rFonts w:hint="eastAsia" w:asciiTheme="minorEastAsia" w:hAnsiTheme="minorEastAsia"/>
                <w:sz w:val="18"/>
                <w:szCs w:val="18"/>
              </w:rPr>
              <w:t>1．本机关不掌握相关政府信息</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2．没有现成信息需要另行制作</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3．补正后申请内容仍不明确</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tc>
        <w:tc>
          <w:tcPr>
            <w:tcW w:w="1525" w:type="dxa"/>
            <w:vMerge w:val="restart"/>
            <w:vAlign w:val="center"/>
          </w:tcPr>
          <w:p>
            <w:pPr>
              <w:rPr>
                <w:sz w:val="18"/>
                <w:szCs w:val="18"/>
              </w:rPr>
            </w:pPr>
            <w:r>
              <w:rPr>
                <w:rFonts w:hint="eastAsia"/>
                <w:sz w:val="18"/>
                <w:szCs w:val="18"/>
              </w:rPr>
              <w:t>（五）</w:t>
            </w:r>
            <w:r>
              <w:rPr>
                <w:rFonts w:hint="eastAsia" w:asciiTheme="minorEastAsia" w:hAnsiTheme="minorEastAsia"/>
                <w:sz w:val="18"/>
                <w:szCs w:val="18"/>
              </w:rPr>
              <w:t>不予处理</w:t>
            </w:r>
          </w:p>
        </w:tc>
        <w:tc>
          <w:tcPr>
            <w:tcW w:w="2634" w:type="dxa"/>
          </w:tcPr>
          <w:p>
            <w:pPr>
              <w:rPr>
                <w:rFonts w:asciiTheme="minorEastAsia" w:hAnsiTheme="minorEastAsia"/>
                <w:sz w:val="18"/>
                <w:szCs w:val="18"/>
              </w:rPr>
            </w:pPr>
            <w:r>
              <w:rPr>
                <w:rFonts w:hint="eastAsia" w:asciiTheme="minorEastAsia" w:hAnsiTheme="minorEastAsia"/>
                <w:sz w:val="18"/>
                <w:szCs w:val="18"/>
              </w:rPr>
              <w:t>1．信访举报投诉类申请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hint="eastAsia" w:asciiTheme="minorEastAsia" w:hAnsiTheme="minorEastAsia"/>
                <w:sz w:val="18"/>
                <w:szCs w:val="18"/>
              </w:rPr>
              <w:t>2．重复申请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hint="eastAsia" w:asciiTheme="minorEastAsia" w:hAnsiTheme="minorEastAsia"/>
                <w:sz w:val="18"/>
                <w:szCs w:val="18"/>
              </w:rPr>
              <w:t>4．无正当理由大量反复申请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restart"/>
            <w:vAlign w:val="center"/>
          </w:tcPr>
          <w:p>
            <w:r>
              <w:rPr>
                <w:rFonts w:hint="eastAsia"/>
                <w:sz w:val="18"/>
                <w:szCs w:val="18"/>
              </w:rPr>
              <w:t>（六）其他处理</w:t>
            </w: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申请人无正当理由逾期不补正、行政机关不再处理其政府信息公开申请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申请人逾期未按收费通知 要求缴纳费用、行政机关不再处理其政府信息公开申请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3</w:t>
            </w:r>
            <w:r>
              <w:rPr>
                <w:rFonts w:asciiTheme="minorEastAsia" w:hAnsiTheme="minorEastAsia"/>
                <w:sz w:val="18"/>
                <w:szCs w:val="18"/>
              </w:rPr>
              <w:t>.</w:t>
            </w:r>
            <w:r>
              <w:rPr>
                <w:rFonts w:hint="eastAsia" w:asciiTheme="minorEastAsia" w:hAnsiTheme="minorEastAsia"/>
                <w:sz w:val="18"/>
                <w:szCs w:val="18"/>
              </w:rPr>
              <w:t>其他</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tc>
        <w:tc>
          <w:tcPr>
            <w:tcW w:w="4159" w:type="dxa"/>
            <w:gridSpan w:val="2"/>
            <w:vAlign w:val="center"/>
          </w:tcPr>
          <w:p>
            <w:pPr>
              <w:rPr>
                <w:sz w:val="18"/>
                <w:szCs w:val="18"/>
              </w:rPr>
            </w:pPr>
            <w:r>
              <w:rPr>
                <w:rFonts w:hint="eastAsia"/>
                <w:sz w:val="18"/>
                <w:szCs w:val="18"/>
              </w:rPr>
              <w:t>（七）总计</w:t>
            </w:r>
          </w:p>
        </w:tc>
        <w:tc>
          <w:tcPr>
            <w:tcW w:w="554" w:type="dxa"/>
          </w:tcPr>
          <w:p>
            <w:pPr>
              <w:rPr>
                <w:rFonts w:hint="eastAsia" w:eastAsiaTheme="minorEastAsia"/>
                <w:lang w:val="en-US" w:eastAsia="zh-CN"/>
              </w:rPr>
            </w:pPr>
            <w:r>
              <w:rPr>
                <w:rFonts w:hint="eastAsia"/>
                <w:lang w:val="en-US" w:eastAsia="zh-CN"/>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pP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r>
              <w:rPr>
                <w:rFonts w:hint="eastAsia"/>
              </w:rPr>
              <w:t>四、结转下年度继续办理</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bl>
    <w:p/>
    <w:p>
      <w:pPr>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jc w:val="center"/>
              <w:rPr>
                <w:szCs w:val="21"/>
              </w:rPr>
            </w:pPr>
            <w:r>
              <w:rPr>
                <w:rFonts w:hint="eastAsia"/>
                <w:szCs w:val="21"/>
              </w:rPr>
              <w:t>行政复议</w:t>
            </w:r>
          </w:p>
        </w:tc>
        <w:tc>
          <w:tcPr>
            <w:tcW w:w="6505" w:type="dxa"/>
            <w:gridSpan w:val="10"/>
            <w:vAlign w:val="center"/>
          </w:tcPr>
          <w:p>
            <w:pPr>
              <w:jc w:val="center"/>
              <w:rPr>
                <w:szCs w:val="21"/>
              </w:rPr>
            </w:pPr>
            <w:r>
              <w:rPr>
                <w:rFonts w:hint="eastAsia"/>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jc w:val="center"/>
              <w:rPr>
                <w:szCs w:val="21"/>
              </w:rPr>
            </w:pPr>
            <w:r>
              <w:rPr>
                <w:rFonts w:hint="eastAsia"/>
                <w:szCs w:val="21"/>
              </w:rPr>
              <w:t>结果维持</w:t>
            </w:r>
          </w:p>
        </w:tc>
        <w:tc>
          <w:tcPr>
            <w:tcW w:w="709" w:type="dxa"/>
            <w:vMerge w:val="restart"/>
            <w:vAlign w:val="center"/>
          </w:tcPr>
          <w:p>
            <w:pPr>
              <w:jc w:val="center"/>
              <w:rPr>
                <w:szCs w:val="21"/>
              </w:rPr>
            </w:pPr>
            <w:r>
              <w:rPr>
                <w:rFonts w:hint="eastAsia"/>
                <w:szCs w:val="21"/>
              </w:rPr>
              <w:t>结果纠正</w:t>
            </w:r>
          </w:p>
        </w:tc>
        <w:tc>
          <w:tcPr>
            <w:tcW w:w="709" w:type="dxa"/>
            <w:vMerge w:val="restart"/>
            <w:vAlign w:val="center"/>
          </w:tcPr>
          <w:p>
            <w:pPr>
              <w:jc w:val="center"/>
              <w:rPr>
                <w:szCs w:val="21"/>
              </w:rPr>
            </w:pPr>
            <w:r>
              <w:rPr>
                <w:rFonts w:hint="eastAsia"/>
                <w:szCs w:val="21"/>
              </w:rPr>
              <w:t>其他结果</w:t>
            </w:r>
          </w:p>
        </w:tc>
        <w:tc>
          <w:tcPr>
            <w:tcW w:w="706" w:type="dxa"/>
            <w:vMerge w:val="restart"/>
            <w:vAlign w:val="center"/>
          </w:tcPr>
          <w:p>
            <w:pPr>
              <w:jc w:val="center"/>
              <w:rPr>
                <w:szCs w:val="21"/>
              </w:rPr>
            </w:pPr>
            <w:r>
              <w:rPr>
                <w:rFonts w:hint="eastAsia"/>
                <w:szCs w:val="21"/>
              </w:rPr>
              <w:t>尚未审结</w:t>
            </w:r>
          </w:p>
        </w:tc>
        <w:tc>
          <w:tcPr>
            <w:tcW w:w="428" w:type="dxa"/>
            <w:vMerge w:val="restart"/>
            <w:vAlign w:val="center"/>
          </w:tcPr>
          <w:p>
            <w:pPr>
              <w:jc w:val="center"/>
              <w:rPr>
                <w:szCs w:val="21"/>
              </w:rPr>
            </w:pPr>
            <w:r>
              <w:rPr>
                <w:rFonts w:hint="eastAsia"/>
                <w:szCs w:val="21"/>
              </w:rPr>
              <w:t>总计</w:t>
            </w:r>
          </w:p>
        </w:tc>
        <w:tc>
          <w:tcPr>
            <w:tcW w:w="3260" w:type="dxa"/>
            <w:gridSpan w:val="5"/>
            <w:vAlign w:val="center"/>
          </w:tcPr>
          <w:p>
            <w:pPr>
              <w:jc w:val="center"/>
              <w:rPr>
                <w:szCs w:val="21"/>
              </w:rPr>
            </w:pPr>
            <w:r>
              <w:rPr>
                <w:rFonts w:hint="eastAsia"/>
                <w:szCs w:val="21"/>
              </w:rPr>
              <w:t>未经复议直接起诉</w:t>
            </w:r>
          </w:p>
        </w:tc>
        <w:tc>
          <w:tcPr>
            <w:tcW w:w="3245" w:type="dxa"/>
            <w:gridSpan w:val="5"/>
            <w:vAlign w:val="center"/>
          </w:tcPr>
          <w:p>
            <w:pPr>
              <w:jc w:val="center"/>
              <w:rPr>
                <w:szCs w:val="21"/>
              </w:rPr>
            </w:pPr>
            <w:r>
              <w:rPr>
                <w:rFonts w:hint="eastAsia"/>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6" w:type="dxa"/>
            <w:vMerge w:val="continue"/>
            <w:vAlign w:val="center"/>
          </w:tcPr>
          <w:p>
            <w:pPr>
              <w:jc w:val="center"/>
              <w:rPr>
                <w:szCs w:val="21"/>
              </w:rPr>
            </w:pPr>
          </w:p>
        </w:tc>
        <w:tc>
          <w:tcPr>
            <w:tcW w:w="428" w:type="dxa"/>
            <w:vMerge w:val="continue"/>
            <w:vAlign w:val="center"/>
          </w:tcPr>
          <w:p>
            <w:pPr>
              <w:jc w:val="center"/>
              <w:rPr>
                <w:szCs w:val="21"/>
              </w:rPr>
            </w:pPr>
          </w:p>
        </w:tc>
        <w:tc>
          <w:tcPr>
            <w:tcW w:w="708" w:type="dxa"/>
            <w:vAlign w:val="center"/>
          </w:tcPr>
          <w:p>
            <w:pPr>
              <w:jc w:val="center"/>
              <w:rPr>
                <w:szCs w:val="21"/>
              </w:rPr>
            </w:pPr>
            <w:r>
              <w:rPr>
                <w:rFonts w:hint="eastAsia"/>
                <w:szCs w:val="21"/>
              </w:rPr>
              <w:t>结果维持</w:t>
            </w:r>
          </w:p>
        </w:tc>
        <w:tc>
          <w:tcPr>
            <w:tcW w:w="709" w:type="dxa"/>
            <w:vAlign w:val="center"/>
          </w:tcPr>
          <w:p>
            <w:pPr>
              <w:jc w:val="center"/>
              <w:rPr>
                <w:szCs w:val="21"/>
              </w:rPr>
            </w:pPr>
            <w:r>
              <w:rPr>
                <w:rFonts w:hint="eastAsia"/>
                <w:szCs w:val="21"/>
              </w:rPr>
              <w:t>结果纠正</w:t>
            </w:r>
          </w:p>
        </w:tc>
        <w:tc>
          <w:tcPr>
            <w:tcW w:w="709" w:type="dxa"/>
            <w:vAlign w:val="center"/>
          </w:tcPr>
          <w:p>
            <w:pPr>
              <w:jc w:val="center"/>
              <w:rPr>
                <w:szCs w:val="21"/>
              </w:rPr>
            </w:pPr>
            <w:r>
              <w:rPr>
                <w:rFonts w:hint="eastAsia"/>
                <w:szCs w:val="21"/>
              </w:rPr>
              <w:t>其他结果</w:t>
            </w:r>
          </w:p>
        </w:tc>
        <w:tc>
          <w:tcPr>
            <w:tcW w:w="709" w:type="dxa"/>
            <w:vAlign w:val="center"/>
          </w:tcPr>
          <w:p>
            <w:pPr>
              <w:jc w:val="center"/>
              <w:rPr>
                <w:szCs w:val="21"/>
              </w:rPr>
            </w:pPr>
            <w:r>
              <w:rPr>
                <w:rFonts w:hint="eastAsia"/>
                <w:szCs w:val="21"/>
              </w:rPr>
              <w:t>尚未审结</w:t>
            </w:r>
          </w:p>
        </w:tc>
        <w:tc>
          <w:tcPr>
            <w:tcW w:w="425" w:type="dxa"/>
            <w:vAlign w:val="center"/>
          </w:tcPr>
          <w:p>
            <w:pPr>
              <w:jc w:val="center"/>
              <w:rPr>
                <w:szCs w:val="21"/>
              </w:rPr>
            </w:pPr>
            <w:r>
              <w:rPr>
                <w:rFonts w:hint="eastAsia"/>
                <w:szCs w:val="21"/>
              </w:rPr>
              <w:t>总计</w:t>
            </w:r>
          </w:p>
        </w:tc>
        <w:tc>
          <w:tcPr>
            <w:tcW w:w="709" w:type="dxa"/>
            <w:vAlign w:val="center"/>
          </w:tcPr>
          <w:p>
            <w:pPr>
              <w:jc w:val="center"/>
              <w:rPr>
                <w:szCs w:val="21"/>
              </w:rPr>
            </w:pPr>
            <w:r>
              <w:rPr>
                <w:rFonts w:hint="eastAsia"/>
                <w:szCs w:val="21"/>
              </w:rPr>
              <w:t>结果维持</w:t>
            </w:r>
          </w:p>
        </w:tc>
        <w:tc>
          <w:tcPr>
            <w:tcW w:w="708" w:type="dxa"/>
            <w:vAlign w:val="center"/>
          </w:tcPr>
          <w:p>
            <w:pPr>
              <w:jc w:val="center"/>
              <w:rPr>
                <w:szCs w:val="21"/>
              </w:rPr>
            </w:pPr>
            <w:r>
              <w:rPr>
                <w:rFonts w:hint="eastAsia"/>
                <w:szCs w:val="21"/>
              </w:rPr>
              <w:t>结果纠正</w:t>
            </w:r>
          </w:p>
        </w:tc>
        <w:tc>
          <w:tcPr>
            <w:tcW w:w="709" w:type="dxa"/>
            <w:vAlign w:val="center"/>
          </w:tcPr>
          <w:p>
            <w:pPr>
              <w:jc w:val="center"/>
              <w:rPr>
                <w:szCs w:val="21"/>
              </w:rPr>
            </w:pPr>
            <w:r>
              <w:rPr>
                <w:rFonts w:hint="eastAsia"/>
                <w:szCs w:val="21"/>
              </w:rPr>
              <w:t>其他结果</w:t>
            </w:r>
          </w:p>
        </w:tc>
        <w:tc>
          <w:tcPr>
            <w:tcW w:w="694" w:type="dxa"/>
            <w:vAlign w:val="center"/>
          </w:tcPr>
          <w:p>
            <w:pPr>
              <w:jc w:val="center"/>
              <w:rPr>
                <w:szCs w:val="21"/>
              </w:rPr>
            </w:pPr>
            <w:r>
              <w:rPr>
                <w:rFonts w:hint="eastAsia"/>
                <w:szCs w:val="21"/>
              </w:rPr>
              <w:t>尚未审结</w:t>
            </w:r>
          </w:p>
        </w:tc>
        <w:tc>
          <w:tcPr>
            <w:tcW w:w="425" w:type="dxa"/>
            <w:vAlign w:val="center"/>
          </w:tcPr>
          <w:p>
            <w:pPr>
              <w:jc w:val="cente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tcPr>
          <w:p>
            <w:pPr>
              <w:rPr>
                <w:sz w:val="18"/>
                <w:szCs w:val="18"/>
              </w:rPr>
            </w:pPr>
            <w:r>
              <w:rPr>
                <w:rFonts w:hint="eastAsia"/>
              </w:rPr>
              <w:t>0</w:t>
            </w:r>
          </w:p>
        </w:tc>
        <w:tc>
          <w:tcPr>
            <w:tcW w:w="709" w:type="dxa"/>
          </w:tcPr>
          <w:p>
            <w:pPr>
              <w:rPr>
                <w:sz w:val="18"/>
                <w:szCs w:val="18"/>
              </w:rPr>
            </w:pPr>
            <w:r>
              <w:rPr>
                <w:rFonts w:hint="eastAsia"/>
              </w:rPr>
              <w:t>0</w:t>
            </w:r>
          </w:p>
        </w:tc>
        <w:tc>
          <w:tcPr>
            <w:tcW w:w="709" w:type="dxa"/>
          </w:tcPr>
          <w:p>
            <w:pPr>
              <w:rPr>
                <w:sz w:val="18"/>
                <w:szCs w:val="18"/>
              </w:rPr>
            </w:pPr>
            <w:r>
              <w:rPr>
                <w:rFonts w:hint="eastAsia"/>
              </w:rPr>
              <w:t>0</w:t>
            </w:r>
          </w:p>
        </w:tc>
        <w:tc>
          <w:tcPr>
            <w:tcW w:w="706" w:type="dxa"/>
          </w:tcPr>
          <w:p>
            <w:pPr>
              <w:rPr>
                <w:szCs w:val="21"/>
              </w:rPr>
            </w:pPr>
            <w:r>
              <w:rPr>
                <w:rFonts w:hint="eastAsia"/>
              </w:rPr>
              <w:t>0</w:t>
            </w:r>
          </w:p>
        </w:tc>
        <w:tc>
          <w:tcPr>
            <w:tcW w:w="428" w:type="dxa"/>
          </w:tcPr>
          <w:p>
            <w:pPr>
              <w:rPr>
                <w:szCs w:val="21"/>
              </w:rPr>
            </w:pPr>
            <w:r>
              <w:rPr>
                <w:rFonts w:hint="eastAsia"/>
              </w:rPr>
              <w:t>0</w:t>
            </w:r>
          </w:p>
        </w:tc>
        <w:tc>
          <w:tcPr>
            <w:tcW w:w="708" w:type="dxa"/>
          </w:tcPr>
          <w:p>
            <w:pPr>
              <w:rPr>
                <w:szCs w:val="21"/>
              </w:rPr>
            </w:pPr>
            <w:r>
              <w:rPr>
                <w:rFonts w:hint="eastAsia"/>
              </w:rPr>
              <w:t>0</w:t>
            </w:r>
          </w:p>
        </w:tc>
        <w:tc>
          <w:tcPr>
            <w:tcW w:w="709" w:type="dxa"/>
          </w:tcPr>
          <w:p>
            <w:pPr>
              <w:rPr>
                <w:szCs w:val="21"/>
              </w:rPr>
            </w:pPr>
            <w:r>
              <w:rPr>
                <w:rFonts w:hint="eastAsia"/>
              </w:rPr>
              <w:t>0</w:t>
            </w:r>
          </w:p>
        </w:tc>
        <w:tc>
          <w:tcPr>
            <w:tcW w:w="709" w:type="dxa"/>
          </w:tcPr>
          <w:p>
            <w:pPr>
              <w:rPr>
                <w:szCs w:val="21"/>
              </w:rPr>
            </w:pPr>
            <w:r>
              <w:rPr>
                <w:rFonts w:hint="eastAsia"/>
              </w:rPr>
              <w:t>0</w:t>
            </w:r>
          </w:p>
        </w:tc>
        <w:tc>
          <w:tcPr>
            <w:tcW w:w="709" w:type="dxa"/>
          </w:tcPr>
          <w:p>
            <w:pPr>
              <w:rPr>
                <w:szCs w:val="21"/>
              </w:rPr>
            </w:pPr>
            <w:r>
              <w:rPr>
                <w:rFonts w:hint="eastAsia"/>
              </w:rPr>
              <w:t>0</w:t>
            </w:r>
          </w:p>
        </w:tc>
        <w:tc>
          <w:tcPr>
            <w:tcW w:w="425" w:type="dxa"/>
          </w:tcPr>
          <w:p>
            <w:pPr>
              <w:rPr>
                <w:szCs w:val="21"/>
              </w:rPr>
            </w:pPr>
            <w:r>
              <w:rPr>
                <w:rFonts w:hint="eastAsia"/>
              </w:rPr>
              <w:t>0</w:t>
            </w:r>
          </w:p>
        </w:tc>
        <w:tc>
          <w:tcPr>
            <w:tcW w:w="709" w:type="dxa"/>
          </w:tcPr>
          <w:p>
            <w:pPr>
              <w:rPr>
                <w:szCs w:val="21"/>
              </w:rPr>
            </w:pPr>
            <w:r>
              <w:rPr>
                <w:rFonts w:hint="eastAsia"/>
              </w:rPr>
              <w:t>0</w:t>
            </w:r>
          </w:p>
        </w:tc>
        <w:tc>
          <w:tcPr>
            <w:tcW w:w="708" w:type="dxa"/>
          </w:tcPr>
          <w:p>
            <w:pPr>
              <w:rPr>
                <w:szCs w:val="21"/>
              </w:rPr>
            </w:pPr>
            <w:r>
              <w:rPr>
                <w:rFonts w:hint="eastAsia"/>
              </w:rPr>
              <w:t>0</w:t>
            </w:r>
          </w:p>
        </w:tc>
        <w:tc>
          <w:tcPr>
            <w:tcW w:w="709" w:type="dxa"/>
          </w:tcPr>
          <w:p>
            <w:pPr>
              <w:rPr>
                <w:szCs w:val="21"/>
              </w:rPr>
            </w:pPr>
            <w:r>
              <w:rPr>
                <w:rFonts w:hint="eastAsia"/>
              </w:rPr>
              <w:t>0</w:t>
            </w:r>
          </w:p>
        </w:tc>
        <w:tc>
          <w:tcPr>
            <w:tcW w:w="694" w:type="dxa"/>
          </w:tcPr>
          <w:p>
            <w:pPr>
              <w:rPr>
                <w:szCs w:val="21"/>
              </w:rPr>
            </w:pPr>
            <w:r>
              <w:rPr>
                <w:rFonts w:hint="eastAsia"/>
              </w:rPr>
              <w:t>0</w:t>
            </w:r>
          </w:p>
        </w:tc>
        <w:tc>
          <w:tcPr>
            <w:tcW w:w="425" w:type="dxa"/>
          </w:tcPr>
          <w:p>
            <w:pPr>
              <w:rPr>
                <w:szCs w:val="21"/>
              </w:rPr>
            </w:pPr>
            <w:r>
              <w:rPr>
                <w:rFonts w:hint="eastAsia"/>
              </w:rPr>
              <w:t>0</w:t>
            </w:r>
          </w:p>
        </w:tc>
      </w:tr>
    </w:tbl>
    <w:p>
      <w:pP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ind w:firstLine="640" w:firstLineChars="200"/>
        <w:rPr>
          <w:rFonts w:hint="eastAsia" w:ascii="仿宋" w:hAnsi="仿宋" w:eastAsia="仿宋"/>
          <w:color w:val="auto"/>
          <w:sz w:val="32"/>
          <w:szCs w:val="32"/>
          <w:lang w:eastAsia="zh-CN"/>
        </w:rPr>
      </w:pPr>
      <w:r>
        <w:rPr>
          <w:rFonts w:hint="eastAsia" w:ascii="楷体" w:hAnsi="楷体" w:eastAsia="楷体"/>
          <w:color w:val="auto"/>
          <w:sz w:val="32"/>
          <w:szCs w:val="32"/>
        </w:rPr>
        <w:t>（一）存在的主要问题：</w:t>
      </w:r>
      <w:r>
        <w:rPr>
          <w:rFonts w:hint="eastAsia" w:ascii="仿宋" w:hAnsi="仿宋" w:eastAsia="仿宋"/>
          <w:color w:val="auto"/>
          <w:sz w:val="32"/>
          <w:szCs w:val="32"/>
        </w:rPr>
        <w:t>一是</w:t>
      </w:r>
      <w:r>
        <w:rPr>
          <w:rFonts w:hint="eastAsia" w:ascii="仿宋" w:hAnsi="仿宋" w:eastAsia="仿宋"/>
          <w:color w:val="auto"/>
          <w:sz w:val="32"/>
          <w:szCs w:val="32"/>
          <w:lang w:eastAsia="zh-CN"/>
        </w:rPr>
        <w:t>政务信息公开工作还需进一步规范化；二是政务信息公开的时效性还需进一步提升。</w:t>
      </w:r>
    </w:p>
    <w:p>
      <w:pPr>
        <w:ind w:firstLine="640" w:firstLineChars="200"/>
        <w:rPr>
          <w:rFonts w:hint="default" w:ascii="仿宋" w:hAnsi="仿宋" w:eastAsia="仿宋"/>
          <w:color w:val="FF0000"/>
          <w:sz w:val="32"/>
          <w:szCs w:val="32"/>
          <w:lang w:val="en-US" w:eastAsia="zh-CN"/>
        </w:rPr>
      </w:pPr>
      <w:r>
        <w:rPr>
          <w:rFonts w:hint="eastAsia" w:ascii="楷体" w:hAnsi="楷体" w:eastAsia="楷体"/>
          <w:color w:val="auto"/>
          <w:sz w:val="32"/>
          <w:szCs w:val="32"/>
        </w:rPr>
        <w:t>（二）改进情况：</w:t>
      </w:r>
      <w:r>
        <w:rPr>
          <w:rFonts w:hint="eastAsia" w:ascii="仿宋" w:hAnsi="仿宋" w:eastAsia="仿宋"/>
          <w:color w:val="auto"/>
          <w:sz w:val="32"/>
          <w:szCs w:val="32"/>
        </w:rPr>
        <w:t>一是</w:t>
      </w:r>
      <w:r>
        <w:rPr>
          <w:rFonts w:hint="eastAsia" w:ascii="仿宋" w:hAnsi="仿宋" w:eastAsia="仿宋"/>
          <w:color w:val="auto"/>
          <w:sz w:val="32"/>
          <w:szCs w:val="32"/>
          <w:lang w:eastAsia="zh-CN"/>
        </w:rPr>
        <w:t>进一步加大政务信息公开的力度，建立和完善相关信息公开的制度标准</w:t>
      </w:r>
      <w:r>
        <w:rPr>
          <w:rFonts w:hint="eastAsia" w:ascii="仿宋" w:hAnsi="仿宋" w:eastAsia="仿宋"/>
          <w:color w:val="auto"/>
          <w:sz w:val="32"/>
          <w:szCs w:val="32"/>
        </w:rPr>
        <w:t>，提高信息公开工作业务能力和水平</w:t>
      </w:r>
      <w:r>
        <w:rPr>
          <w:rFonts w:hint="eastAsia" w:ascii="仿宋" w:hAnsi="仿宋" w:eastAsia="仿宋"/>
          <w:color w:val="auto"/>
          <w:sz w:val="32"/>
          <w:szCs w:val="32"/>
          <w:lang w:eastAsia="zh-CN"/>
        </w:rPr>
        <w:t>；</w:t>
      </w:r>
      <w:r>
        <w:rPr>
          <w:rFonts w:hint="eastAsia" w:ascii="仿宋" w:hAnsi="仿宋" w:eastAsia="仿宋"/>
          <w:color w:val="auto"/>
          <w:sz w:val="32"/>
          <w:szCs w:val="32"/>
        </w:rPr>
        <w:t>二是积极运</w:t>
      </w:r>
      <w:r>
        <w:rPr>
          <w:rFonts w:hint="eastAsia" w:ascii="仿宋" w:hAnsi="仿宋" w:eastAsia="仿宋"/>
          <w:color w:val="000000"/>
          <w:sz w:val="32"/>
          <w:szCs w:val="32"/>
        </w:rPr>
        <w:t>用政务新媒体推进本单位政务公开工作</w:t>
      </w:r>
      <w:r>
        <w:rPr>
          <w:rFonts w:hint="eastAsia" w:ascii="仿宋" w:hAnsi="仿宋" w:eastAsia="仿宋"/>
          <w:color w:val="000000"/>
          <w:sz w:val="32"/>
          <w:szCs w:val="32"/>
          <w:lang w:eastAsia="zh-CN"/>
        </w:rPr>
        <w:t>。三是加强公示内容的准确性和有效性，加大政务公开宣传推广力度和强度。</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pPr>
        <w:spacing w:line="560" w:lineRule="exact"/>
        <w:ind w:firstLine="640" w:firstLineChars="200"/>
        <w:rPr>
          <w:rFonts w:ascii="仿宋" w:hAnsi="仿宋" w:eastAsia="仿宋"/>
          <w:color w:val="000000"/>
          <w:sz w:val="32"/>
          <w:szCs w:val="32"/>
        </w:rPr>
      </w:pPr>
      <w:r>
        <w:rPr>
          <w:rFonts w:hint="eastAsia" w:ascii="楷体" w:hAnsi="楷体" w:eastAsia="楷体"/>
          <w:color w:val="000000"/>
          <w:sz w:val="32"/>
          <w:szCs w:val="32"/>
        </w:rPr>
        <w:t>（一）收取信息处理费情况。</w:t>
      </w:r>
      <w:r>
        <w:rPr>
          <w:rFonts w:hint="eastAsia" w:ascii="仿宋" w:hAnsi="仿宋" w:eastAsia="仿宋"/>
          <w:color w:val="000000"/>
          <w:sz w:val="32"/>
          <w:szCs w:val="32"/>
        </w:rPr>
        <w:t>本年度未有收取信息处理费情况。</w:t>
      </w:r>
    </w:p>
    <w:p>
      <w:pPr>
        <w:spacing w:line="56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楷体" w:hAnsi="楷体" w:eastAsia="楷体"/>
          <w:color w:val="000000"/>
          <w:sz w:val="32"/>
          <w:szCs w:val="32"/>
          <w:highlight w:val="none"/>
        </w:rPr>
        <w:t>（二）人大代表建议和政协提案办理情况。</w:t>
      </w:r>
      <w:r>
        <w:rPr>
          <w:rFonts w:hint="eastAsia" w:ascii="仿宋" w:hAnsi="仿宋" w:eastAsia="仿宋"/>
          <w:color w:val="000000" w:themeColor="text1"/>
          <w:sz w:val="32"/>
          <w:szCs w:val="32"/>
          <w:highlight w:val="none"/>
          <w14:textFill>
            <w14:solidFill>
              <w14:schemeClr w14:val="tx1"/>
            </w14:solidFill>
          </w14:textFill>
        </w:rPr>
        <w:t>202</w:t>
      </w:r>
      <w:r>
        <w:rPr>
          <w:rFonts w:hint="eastAsia" w:ascii="仿宋" w:hAnsi="仿宋" w:eastAsia="仿宋"/>
          <w:color w:val="000000" w:themeColor="text1"/>
          <w:sz w:val="32"/>
          <w:szCs w:val="32"/>
          <w:highlight w:val="none"/>
          <w:lang w:val="en-US" w:eastAsia="zh-CN"/>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年，共承办人大代表建议</w:t>
      </w:r>
      <w:r>
        <w:rPr>
          <w:rFonts w:hint="eastAsia" w:ascii="仿宋" w:hAnsi="仿宋" w:eastAsia="仿宋"/>
          <w:color w:val="000000" w:themeColor="text1"/>
          <w:sz w:val="32"/>
          <w:szCs w:val="32"/>
          <w:highlight w:val="none"/>
          <w:lang w:val="en-US" w:eastAsia="zh-CN"/>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件，办复率100%；承办政协提案</w:t>
      </w:r>
      <w:r>
        <w:rPr>
          <w:rFonts w:hint="eastAsia" w:ascii="仿宋" w:hAnsi="仿宋" w:eastAsia="仿宋"/>
          <w:color w:val="000000" w:themeColor="text1"/>
          <w:sz w:val="32"/>
          <w:szCs w:val="32"/>
          <w:highlight w:val="none"/>
          <w:lang w:val="en-US" w:eastAsia="zh-CN"/>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件，办复率1</w:t>
      </w:r>
      <w:r>
        <w:rPr>
          <w:rFonts w:ascii="仿宋" w:hAnsi="仿宋" w:eastAsia="仿宋"/>
          <w:color w:val="000000" w:themeColor="text1"/>
          <w:sz w:val="32"/>
          <w:szCs w:val="32"/>
          <w:highlight w:val="none"/>
          <w14:textFill>
            <w14:solidFill>
              <w14:schemeClr w14:val="tx1"/>
            </w14:solidFill>
          </w14:textFill>
        </w:rPr>
        <w:t>00</w:t>
      </w:r>
      <w:r>
        <w:rPr>
          <w:rFonts w:hint="eastAsia" w:ascii="仿宋" w:hAnsi="仿宋" w:eastAsia="仿宋"/>
          <w:color w:val="000000" w:themeColor="text1"/>
          <w:sz w:val="32"/>
          <w:szCs w:val="32"/>
          <w:highlight w:val="none"/>
          <w14:textFill>
            <w14:solidFill>
              <w14:schemeClr w14:val="tx1"/>
            </w14:solidFill>
          </w14:textFill>
        </w:rPr>
        <w:t>%。</w:t>
      </w:r>
    </w:p>
    <w:p>
      <w:pPr>
        <w:spacing w:line="560" w:lineRule="exact"/>
        <w:ind w:firstLine="640" w:firstLineChars="200"/>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楷体" w:hAnsi="楷体" w:eastAsia="楷体"/>
          <w:color w:val="000000"/>
          <w:sz w:val="32"/>
          <w:szCs w:val="32"/>
        </w:rPr>
        <w:t>（三）年度工作要点落实情况。</w:t>
      </w:r>
      <w:r>
        <w:rPr>
          <w:rFonts w:hint="eastAsia" w:ascii="仿宋" w:hAnsi="仿宋" w:eastAsia="仿宋"/>
          <w:color w:val="000000" w:themeColor="text1"/>
          <w:sz w:val="32"/>
          <w:szCs w:val="32"/>
          <w:highlight w:val="none"/>
          <w:lang w:eastAsia="zh-CN"/>
          <w14:textFill>
            <w14:solidFill>
              <w14:schemeClr w14:val="tx1"/>
            </w14:solidFill>
          </w14:textFill>
        </w:rPr>
        <w:t>认真贯彻落实</w:t>
      </w:r>
      <w:r>
        <w:rPr>
          <w:rFonts w:hint="eastAsia" w:ascii="仿宋" w:hAnsi="仿宋" w:eastAsia="仿宋"/>
          <w:color w:val="000000" w:themeColor="text1"/>
          <w:sz w:val="32"/>
          <w:szCs w:val="32"/>
          <w:highlight w:val="none"/>
          <w14:textFill>
            <w14:solidFill>
              <w14:schemeClr w14:val="tx1"/>
            </w14:solidFill>
          </w14:textFill>
        </w:rPr>
        <w:t>《中华人民共和国政府信息公开条例》</w:t>
      </w:r>
      <w:r>
        <w:rPr>
          <w:rFonts w:hint="eastAsia" w:ascii="仿宋" w:hAnsi="仿宋" w:eastAsia="仿宋"/>
          <w:color w:val="000000" w:themeColor="text1"/>
          <w:sz w:val="32"/>
          <w:szCs w:val="32"/>
          <w:highlight w:val="none"/>
          <w:lang w:eastAsia="zh-CN"/>
          <w14:textFill>
            <w14:solidFill>
              <w14:schemeClr w14:val="tx1"/>
            </w14:solidFill>
          </w14:textFill>
        </w:rPr>
        <w:t>，主动公开政府信息数量，主动公开收到和处理依申请公开政府信息情况以及政府信息公开行政复议、行政诉讼情况，不断提高信息公开意识和服务意识，做到主动公开、及时公开、全面公开。</w:t>
      </w:r>
    </w:p>
    <w:p>
      <w:pPr>
        <w:spacing w:line="560" w:lineRule="exact"/>
        <w:ind w:firstLine="640" w:firstLineChars="200"/>
        <w:rPr>
          <w:rFonts w:ascii="仿宋" w:hAnsi="仿宋" w:eastAsia="仿宋"/>
          <w:color w:val="auto"/>
          <w:sz w:val="32"/>
          <w:szCs w:val="32"/>
        </w:rPr>
      </w:pPr>
      <w:r>
        <w:rPr>
          <w:rFonts w:hint="eastAsia" w:ascii="楷体" w:hAnsi="楷体" w:eastAsia="楷体"/>
          <w:color w:val="auto"/>
          <w:sz w:val="32"/>
          <w:szCs w:val="32"/>
        </w:rPr>
        <w:t>（四）政务公开工作创新情况。</w:t>
      </w:r>
      <w:r>
        <w:rPr>
          <w:rFonts w:hint="eastAsia" w:ascii="仿宋" w:hAnsi="仿宋" w:eastAsia="仿宋"/>
          <w:color w:val="auto"/>
          <w:sz w:val="32"/>
          <w:szCs w:val="32"/>
        </w:rPr>
        <w:t>及时更新和充实政务公开内容，进一步加强微信公众号与政府信息公开网站的联动机制，积极推动与主流新闻媒体、重点新闻网站的协同联动，形成矩阵式交互传播，充分发挥集群效应。</w:t>
      </w:r>
    </w:p>
    <w:p>
      <w:pPr>
        <w:spacing w:line="560" w:lineRule="exact"/>
        <w:ind w:firstLine="640" w:firstLineChars="200"/>
        <w:rPr>
          <w:rFonts w:ascii="仿宋" w:hAnsi="仿宋" w:eastAsia="仿宋"/>
          <w:color w:val="000000"/>
          <w:sz w:val="32"/>
          <w:szCs w:val="32"/>
        </w:rPr>
      </w:pPr>
    </w:p>
    <w:p>
      <w:pPr>
        <w:spacing w:line="560" w:lineRule="exact"/>
        <w:jc w:val="center"/>
        <w:rPr>
          <w:rFonts w:ascii="仿宋" w:hAnsi="仿宋" w:eastAsia="仿宋"/>
          <w:color w:val="000000"/>
          <w:sz w:val="32"/>
          <w:szCs w:val="32"/>
        </w:rPr>
      </w:pPr>
      <w:r>
        <w:rPr>
          <w:rFonts w:hint="eastAsia" w:ascii="仿宋" w:hAnsi="仿宋" w:eastAsia="仿宋"/>
          <w:color w:val="000000"/>
          <w:sz w:val="32"/>
          <w:szCs w:val="32"/>
          <w:lang w:val="en-US" w:eastAsia="zh-CN"/>
        </w:rPr>
        <w:t xml:space="preserve">                                   </w:t>
      </w:r>
      <w:bookmarkStart w:id="0" w:name="_GoBack"/>
      <w:bookmarkEnd w:id="0"/>
    </w:p>
    <w:p>
      <w:pPr>
        <w:spacing w:line="560" w:lineRule="exact"/>
        <w:jc w:val="right"/>
        <w:rPr>
          <w:rFonts w:ascii="仿宋" w:hAnsi="仿宋" w:eastAsia="仿宋"/>
          <w:color w:val="000000"/>
          <w:sz w:val="32"/>
          <w:szCs w:val="32"/>
        </w:rPr>
      </w:pPr>
    </w:p>
    <w:sectPr>
      <w:footerReference r:id="rId3" w:type="default"/>
      <w:pgSz w:w="11906" w:h="16838"/>
      <w:pgMar w:top="1440" w:right="1587"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docPartObj>
        <w:docPartGallery w:val="autotext"/>
      </w:docPartObj>
    </w:sdtPr>
    <w:sdtContent>
      <w:p>
        <w:pPr>
          <w:pStyle w:val="2"/>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hideSpellingErrors/>
  <w:hideGrammaticalError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3Mjg3YjdmMjIyYmVmMTk0OTAzMmI2ZDAxOTkyNjgifQ=="/>
  </w:docVars>
  <w:rsids>
    <w:rsidRoot w:val="00E04258"/>
    <w:rsid w:val="00001C9E"/>
    <w:rsid w:val="0000594A"/>
    <w:rsid w:val="00013109"/>
    <w:rsid w:val="00023AAC"/>
    <w:rsid w:val="00024810"/>
    <w:rsid w:val="00030DFB"/>
    <w:rsid w:val="000414C6"/>
    <w:rsid w:val="00042CA0"/>
    <w:rsid w:val="00043D31"/>
    <w:rsid w:val="00046423"/>
    <w:rsid w:val="00052AD6"/>
    <w:rsid w:val="00055473"/>
    <w:rsid w:val="00055E11"/>
    <w:rsid w:val="00056B8B"/>
    <w:rsid w:val="00063220"/>
    <w:rsid w:val="0006628C"/>
    <w:rsid w:val="000706E1"/>
    <w:rsid w:val="00076FE7"/>
    <w:rsid w:val="00085190"/>
    <w:rsid w:val="00087FF0"/>
    <w:rsid w:val="00092898"/>
    <w:rsid w:val="00094E08"/>
    <w:rsid w:val="00097052"/>
    <w:rsid w:val="000A5D01"/>
    <w:rsid w:val="000B1602"/>
    <w:rsid w:val="000C34FF"/>
    <w:rsid w:val="000C36F4"/>
    <w:rsid w:val="000C7BD7"/>
    <w:rsid w:val="000D4473"/>
    <w:rsid w:val="000E1057"/>
    <w:rsid w:val="000F497F"/>
    <w:rsid w:val="000F7617"/>
    <w:rsid w:val="00105B3E"/>
    <w:rsid w:val="001108EA"/>
    <w:rsid w:val="001240A4"/>
    <w:rsid w:val="00125C8A"/>
    <w:rsid w:val="00127976"/>
    <w:rsid w:val="00131A3C"/>
    <w:rsid w:val="0013565C"/>
    <w:rsid w:val="00140E3F"/>
    <w:rsid w:val="00143DC5"/>
    <w:rsid w:val="00144ABF"/>
    <w:rsid w:val="00144B5F"/>
    <w:rsid w:val="00144CE4"/>
    <w:rsid w:val="00170D63"/>
    <w:rsid w:val="00172B20"/>
    <w:rsid w:val="0017420B"/>
    <w:rsid w:val="0017427C"/>
    <w:rsid w:val="00176618"/>
    <w:rsid w:val="00176B17"/>
    <w:rsid w:val="00187315"/>
    <w:rsid w:val="001900C0"/>
    <w:rsid w:val="00195059"/>
    <w:rsid w:val="00196FD6"/>
    <w:rsid w:val="001A21B5"/>
    <w:rsid w:val="001B033A"/>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B7215"/>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8169B"/>
    <w:rsid w:val="00383519"/>
    <w:rsid w:val="003856CA"/>
    <w:rsid w:val="00390173"/>
    <w:rsid w:val="0039072E"/>
    <w:rsid w:val="00395676"/>
    <w:rsid w:val="00397E9C"/>
    <w:rsid w:val="003A4408"/>
    <w:rsid w:val="003A617F"/>
    <w:rsid w:val="003B4A71"/>
    <w:rsid w:val="003C0527"/>
    <w:rsid w:val="003C44C8"/>
    <w:rsid w:val="003C5789"/>
    <w:rsid w:val="003D6959"/>
    <w:rsid w:val="003D7EB2"/>
    <w:rsid w:val="003E1F92"/>
    <w:rsid w:val="003E6B2B"/>
    <w:rsid w:val="003F2DA8"/>
    <w:rsid w:val="003F38D1"/>
    <w:rsid w:val="003F538D"/>
    <w:rsid w:val="003F631C"/>
    <w:rsid w:val="00405DB6"/>
    <w:rsid w:val="00414EEE"/>
    <w:rsid w:val="00420F86"/>
    <w:rsid w:val="00423431"/>
    <w:rsid w:val="00434746"/>
    <w:rsid w:val="00446210"/>
    <w:rsid w:val="00460593"/>
    <w:rsid w:val="0046437F"/>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244D"/>
    <w:rsid w:val="004F2625"/>
    <w:rsid w:val="004F39DF"/>
    <w:rsid w:val="005026C8"/>
    <w:rsid w:val="00503B08"/>
    <w:rsid w:val="00504DE1"/>
    <w:rsid w:val="005162AB"/>
    <w:rsid w:val="00523B84"/>
    <w:rsid w:val="0052540C"/>
    <w:rsid w:val="00531036"/>
    <w:rsid w:val="00533338"/>
    <w:rsid w:val="005333FF"/>
    <w:rsid w:val="0053359A"/>
    <w:rsid w:val="00540904"/>
    <w:rsid w:val="00543FE0"/>
    <w:rsid w:val="00557D4A"/>
    <w:rsid w:val="005637BC"/>
    <w:rsid w:val="00564F0C"/>
    <w:rsid w:val="00567AE3"/>
    <w:rsid w:val="0057319B"/>
    <w:rsid w:val="005771DE"/>
    <w:rsid w:val="00580B3B"/>
    <w:rsid w:val="005818BC"/>
    <w:rsid w:val="00582EFB"/>
    <w:rsid w:val="00584920"/>
    <w:rsid w:val="00586957"/>
    <w:rsid w:val="00593F9E"/>
    <w:rsid w:val="0059666D"/>
    <w:rsid w:val="005A3BFA"/>
    <w:rsid w:val="005C071E"/>
    <w:rsid w:val="005D4DA2"/>
    <w:rsid w:val="005D7981"/>
    <w:rsid w:val="005E2D72"/>
    <w:rsid w:val="005E5225"/>
    <w:rsid w:val="005E5EA6"/>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9CD"/>
    <w:rsid w:val="00641A49"/>
    <w:rsid w:val="00641B33"/>
    <w:rsid w:val="00651342"/>
    <w:rsid w:val="00651397"/>
    <w:rsid w:val="0065594E"/>
    <w:rsid w:val="00660AAE"/>
    <w:rsid w:val="006634C0"/>
    <w:rsid w:val="00675D05"/>
    <w:rsid w:val="00677652"/>
    <w:rsid w:val="006821DB"/>
    <w:rsid w:val="00687144"/>
    <w:rsid w:val="0069301A"/>
    <w:rsid w:val="00693534"/>
    <w:rsid w:val="00697E19"/>
    <w:rsid w:val="00697EE4"/>
    <w:rsid w:val="006A1171"/>
    <w:rsid w:val="006A5226"/>
    <w:rsid w:val="006A5288"/>
    <w:rsid w:val="006B0469"/>
    <w:rsid w:val="006B72A8"/>
    <w:rsid w:val="006C2EA0"/>
    <w:rsid w:val="006C58BC"/>
    <w:rsid w:val="006C656F"/>
    <w:rsid w:val="006E0094"/>
    <w:rsid w:val="006E2256"/>
    <w:rsid w:val="006E2790"/>
    <w:rsid w:val="006E63B8"/>
    <w:rsid w:val="007011FB"/>
    <w:rsid w:val="007061A3"/>
    <w:rsid w:val="007129AD"/>
    <w:rsid w:val="00714451"/>
    <w:rsid w:val="00717EE3"/>
    <w:rsid w:val="007218A5"/>
    <w:rsid w:val="007234A6"/>
    <w:rsid w:val="00723B47"/>
    <w:rsid w:val="00723D67"/>
    <w:rsid w:val="00724A6A"/>
    <w:rsid w:val="00731CB1"/>
    <w:rsid w:val="00732D81"/>
    <w:rsid w:val="00733F31"/>
    <w:rsid w:val="00736923"/>
    <w:rsid w:val="00736C50"/>
    <w:rsid w:val="00741A40"/>
    <w:rsid w:val="00746739"/>
    <w:rsid w:val="00755418"/>
    <w:rsid w:val="007611C0"/>
    <w:rsid w:val="007720F2"/>
    <w:rsid w:val="00772EA0"/>
    <w:rsid w:val="007745BE"/>
    <w:rsid w:val="00781A3D"/>
    <w:rsid w:val="00791D32"/>
    <w:rsid w:val="007A02B5"/>
    <w:rsid w:val="007A39A8"/>
    <w:rsid w:val="007A3DB5"/>
    <w:rsid w:val="007A46E1"/>
    <w:rsid w:val="007A4F8C"/>
    <w:rsid w:val="007B346E"/>
    <w:rsid w:val="007B68D1"/>
    <w:rsid w:val="007C2141"/>
    <w:rsid w:val="007C53E0"/>
    <w:rsid w:val="007C5C81"/>
    <w:rsid w:val="007D0AF2"/>
    <w:rsid w:val="007D3AB6"/>
    <w:rsid w:val="007D4916"/>
    <w:rsid w:val="007D59C4"/>
    <w:rsid w:val="007D71FE"/>
    <w:rsid w:val="007E07E3"/>
    <w:rsid w:val="007E2505"/>
    <w:rsid w:val="007E55EA"/>
    <w:rsid w:val="007F22F8"/>
    <w:rsid w:val="007F43FC"/>
    <w:rsid w:val="00802361"/>
    <w:rsid w:val="00804E65"/>
    <w:rsid w:val="00805ABE"/>
    <w:rsid w:val="00813BC0"/>
    <w:rsid w:val="00820BB8"/>
    <w:rsid w:val="00830865"/>
    <w:rsid w:val="0083723A"/>
    <w:rsid w:val="00842C3D"/>
    <w:rsid w:val="00842E24"/>
    <w:rsid w:val="00852EEB"/>
    <w:rsid w:val="00854E6A"/>
    <w:rsid w:val="008556C2"/>
    <w:rsid w:val="00855B3A"/>
    <w:rsid w:val="00856193"/>
    <w:rsid w:val="008579AB"/>
    <w:rsid w:val="008608A2"/>
    <w:rsid w:val="008613A8"/>
    <w:rsid w:val="00873E0F"/>
    <w:rsid w:val="00875291"/>
    <w:rsid w:val="00881404"/>
    <w:rsid w:val="00883B39"/>
    <w:rsid w:val="00892DC4"/>
    <w:rsid w:val="008977A9"/>
    <w:rsid w:val="008A0545"/>
    <w:rsid w:val="008A171F"/>
    <w:rsid w:val="008A3BC0"/>
    <w:rsid w:val="008A66F8"/>
    <w:rsid w:val="008B20F5"/>
    <w:rsid w:val="008B2FD1"/>
    <w:rsid w:val="008B5D19"/>
    <w:rsid w:val="008B6607"/>
    <w:rsid w:val="008C2625"/>
    <w:rsid w:val="008C37A3"/>
    <w:rsid w:val="008D2DBD"/>
    <w:rsid w:val="008D6B7B"/>
    <w:rsid w:val="008F142B"/>
    <w:rsid w:val="008F188C"/>
    <w:rsid w:val="008F51FF"/>
    <w:rsid w:val="00904289"/>
    <w:rsid w:val="00906B9B"/>
    <w:rsid w:val="00912FB0"/>
    <w:rsid w:val="00913531"/>
    <w:rsid w:val="0092086C"/>
    <w:rsid w:val="00920A8C"/>
    <w:rsid w:val="0092182B"/>
    <w:rsid w:val="00930D46"/>
    <w:rsid w:val="00935E77"/>
    <w:rsid w:val="00940C11"/>
    <w:rsid w:val="009515FD"/>
    <w:rsid w:val="0096093C"/>
    <w:rsid w:val="00962CD0"/>
    <w:rsid w:val="00966C94"/>
    <w:rsid w:val="0097065C"/>
    <w:rsid w:val="00975A80"/>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6C42"/>
    <w:rsid w:val="00B1769A"/>
    <w:rsid w:val="00B23183"/>
    <w:rsid w:val="00B245B9"/>
    <w:rsid w:val="00B33075"/>
    <w:rsid w:val="00B414D1"/>
    <w:rsid w:val="00B459E2"/>
    <w:rsid w:val="00B53141"/>
    <w:rsid w:val="00B53612"/>
    <w:rsid w:val="00B559FA"/>
    <w:rsid w:val="00B811E5"/>
    <w:rsid w:val="00B8236F"/>
    <w:rsid w:val="00B835A5"/>
    <w:rsid w:val="00B91004"/>
    <w:rsid w:val="00BA000D"/>
    <w:rsid w:val="00BA45ED"/>
    <w:rsid w:val="00BA486D"/>
    <w:rsid w:val="00BC0376"/>
    <w:rsid w:val="00BC0DDF"/>
    <w:rsid w:val="00BC34AC"/>
    <w:rsid w:val="00BD1CAC"/>
    <w:rsid w:val="00BD4F6B"/>
    <w:rsid w:val="00BD789A"/>
    <w:rsid w:val="00BE03F8"/>
    <w:rsid w:val="00BE26F0"/>
    <w:rsid w:val="00BE32F3"/>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957F6"/>
    <w:rsid w:val="00CA24FE"/>
    <w:rsid w:val="00CA4E64"/>
    <w:rsid w:val="00CB7A70"/>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484C"/>
    <w:rsid w:val="00D53AC2"/>
    <w:rsid w:val="00D54B78"/>
    <w:rsid w:val="00D7609C"/>
    <w:rsid w:val="00D7673F"/>
    <w:rsid w:val="00D81D7A"/>
    <w:rsid w:val="00D96A77"/>
    <w:rsid w:val="00DA076B"/>
    <w:rsid w:val="00DA1BF9"/>
    <w:rsid w:val="00DA443C"/>
    <w:rsid w:val="00DA4831"/>
    <w:rsid w:val="00DA546B"/>
    <w:rsid w:val="00DA569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56D7E"/>
    <w:rsid w:val="00E62601"/>
    <w:rsid w:val="00E651F4"/>
    <w:rsid w:val="00E712E4"/>
    <w:rsid w:val="00E7522E"/>
    <w:rsid w:val="00E756BB"/>
    <w:rsid w:val="00E82A61"/>
    <w:rsid w:val="00E86BFA"/>
    <w:rsid w:val="00E9136E"/>
    <w:rsid w:val="00E92569"/>
    <w:rsid w:val="00E9689B"/>
    <w:rsid w:val="00EA0FDD"/>
    <w:rsid w:val="00EA3993"/>
    <w:rsid w:val="00EA4938"/>
    <w:rsid w:val="00EB70D6"/>
    <w:rsid w:val="00EC48E7"/>
    <w:rsid w:val="00EC7F71"/>
    <w:rsid w:val="00ED1769"/>
    <w:rsid w:val="00ED2198"/>
    <w:rsid w:val="00ED2963"/>
    <w:rsid w:val="00ED4E74"/>
    <w:rsid w:val="00EE3275"/>
    <w:rsid w:val="00EF7239"/>
    <w:rsid w:val="00F00F32"/>
    <w:rsid w:val="00F0322D"/>
    <w:rsid w:val="00F0408E"/>
    <w:rsid w:val="00F22E87"/>
    <w:rsid w:val="00F40BD5"/>
    <w:rsid w:val="00F45E29"/>
    <w:rsid w:val="00F503E6"/>
    <w:rsid w:val="00F60260"/>
    <w:rsid w:val="00F651BF"/>
    <w:rsid w:val="00F6601D"/>
    <w:rsid w:val="00F71A9E"/>
    <w:rsid w:val="00F739B0"/>
    <w:rsid w:val="00F9603E"/>
    <w:rsid w:val="00FA2749"/>
    <w:rsid w:val="00FA3378"/>
    <w:rsid w:val="00FA4017"/>
    <w:rsid w:val="00FA67ED"/>
    <w:rsid w:val="00FB0E1B"/>
    <w:rsid w:val="00FB16F3"/>
    <w:rsid w:val="00FB45EE"/>
    <w:rsid w:val="00FB5467"/>
    <w:rsid w:val="00FB7C20"/>
    <w:rsid w:val="00FC66CE"/>
    <w:rsid w:val="00FD0EE2"/>
    <w:rsid w:val="00FD598D"/>
    <w:rsid w:val="00FD7A66"/>
    <w:rsid w:val="00FE1203"/>
    <w:rsid w:val="00FE1DCB"/>
    <w:rsid w:val="00FE2E48"/>
    <w:rsid w:val="00FE3091"/>
    <w:rsid w:val="00FE7A40"/>
    <w:rsid w:val="01671BDD"/>
    <w:rsid w:val="01A56261"/>
    <w:rsid w:val="03C30C20"/>
    <w:rsid w:val="03DF1EFE"/>
    <w:rsid w:val="04FA68C4"/>
    <w:rsid w:val="05C24B6F"/>
    <w:rsid w:val="07C1191B"/>
    <w:rsid w:val="08362309"/>
    <w:rsid w:val="0894657D"/>
    <w:rsid w:val="08975A73"/>
    <w:rsid w:val="09790EF6"/>
    <w:rsid w:val="0B275F39"/>
    <w:rsid w:val="0C880C59"/>
    <w:rsid w:val="0CCD48BE"/>
    <w:rsid w:val="0CCF6888"/>
    <w:rsid w:val="0CF462EF"/>
    <w:rsid w:val="0D2B00C7"/>
    <w:rsid w:val="0DFC545B"/>
    <w:rsid w:val="0F0737D8"/>
    <w:rsid w:val="0F933B9D"/>
    <w:rsid w:val="0FB104C7"/>
    <w:rsid w:val="111725AC"/>
    <w:rsid w:val="11555743"/>
    <w:rsid w:val="116B3C90"/>
    <w:rsid w:val="11765524"/>
    <w:rsid w:val="11943BFC"/>
    <w:rsid w:val="11F34DC7"/>
    <w:rsid w:val="12D22C2E"/>
    <w:rsid w:val="13225964"/>
    <w:rsid w:val="133236CD"/>
    <w:rsid w:val="13B3480E"/>
    <w:rsid w:val="13CB7DA9"/>
    <w:rsid w:val="147C10A3"/>
    <w:rsid w:val="1568787A"/>
    <w:rsid w:val="15793835"/>
    <w:rsid w:val="16493207"/>
    <w:rsid w:val="16B103A0"/>
    <w:rsid w:val="16E318AE"/>
    <w:rsid w:val="18013309"/>
    <w:rsid w:val="181F06C4"/>
    <w:rsid w:val="185B5474"/>
    <w:rsid w:val="19DC4392"/>
    <w:rsid w:val="1A620D3B"/>
    <w:rsid w:val="1AF71C15"/>
    <w:rsid w:val="1B0A2B9D"/>
    <w:rsid w:val="1BAA0BEC"/>
    <w:rsid w:val="1C536BC3"/>
    <w:rsid w:val="1F0A1C25"/>
    <w:rsid w:val="1F3E1D77"/>
    <w:rsid w:val="1F705CA9"/>
    <w:rsid w:val="1FC3227C"/>
    <w:rsid w:val="200603BB"/>
    <w:rsid w:val="20947775"/>
    <w:rsid w:val="20FD531A"/>
    <w:rsid w:val="21780E44"/>
    <w:rsid w:val="240370EB"/>
    <w:rsid w:val="24194B3D"/>
    <w:rsid w:val="254C4AC2"/>
    <w:rsid w:val="25A20B86"/>
    <w:rsid w:val="27730C23"/>
    <w:rsid w:val="27962024"/>
    <w:rsid w:val="28893937"/>
    <w:rsid w:val="28A81AA6"/>
    <w:rsid w:val="29E4425C"/>
    <w:rsid w:val="2A8A4E24"/>
    <w:rsid w:val="2AF84D34"/>
    <w:rsid w:val="2C293467"/>
    <w:rsid w:val="2CFF241A"/>
    <w:rsid w:val="2DAC25A2"/>
    <w:rsid w:val="2F134B85"/>
    <w:rsid w:val="2F174628"/>
    <w:rsid w:val="2FD63901"/>
    <w:rsid w:val="2FE04785"/>
    <w:rsid w:val="309335A5"/>
    <w:rsid w:val="30A9101A"/>
    <w:rsid w:val="30C072D4"/>
    <w:rsid w:val="313D0993"/>
    <w:rsid w:val="316E7B6E"/>
    <w:rsid w:val="31C61758"/>
    <w:rsid w:val="320C360F"/>
    <w:rsid w:val="324A05DB"/>
    <w:rsid w:val="35101668"/>
    <w:rsid w:val="355A28E3"/>
    <w:rsid w:val="3600792F"/>
    <w:rsid w:val="36C24BE4"/>
    <w:rsid w:val="376932B2"/>
    <w:rsid w:val="37CD1A92"/>
    <w:rsid w:val="37D03331"/>
    <w:rsid w:val="38286CC9"/>
    <w:rsid w:val="38BB5D8F"/>
    <w:rsid w:val="38ED3A6E"/>
    <w:rsid w:val="38F31085"/>
    <w:rsid w:val="39551D3F"/>
    <w:rsid w:val="396D59CC"/>
    <w:rsid w:val="39B747A8"/>
    <w:rsid w:val="39BD1573"/>
    <w:rsid w:val="3B8561E0"/>
    <w:rsid w:val="3BB80364"/>
    <w:rsid w:val="3BC82C9D"/>
    <w:rsid w:val="3C4B742A"/>
    <w:rsid w:val="3C814BF9"/>
    <w:rsid w:val="3C97441D"/>
    <w:rsid w:val="3CE82ECA"/>
    <w:rsid w:val="3D567E34"/>
    <w:rsid w:val="3E846C23"/>
    <w:rsid w:val="3E86299B"/>
    <w:rsid w:val="3EC3599D"/>
    <w:rsid w:val="3EDB4FA2"/>
    <w:rsid w:val="3F942E96"/>
    <w:rsid w:val="3FDF05B5"/>
    <w:rsid w:val="4069187A"/>
    <w:rsid w:val="40C63523"/>
    <w:rsid w:val="40F938F8"/>
    <w:rsid w:val="410F0A26"/>
    <w:rsid w:val="41F36599"/>
    <w:rsid w:val="42576B28"/>
    <w:rsid w:val="428E62C2"/>
    <w:rsid w:val="42AC04F6"/>
    <w:rsid w:val="42B850ED"/>
    <w:rsid w:val="432B1D63"/>
    <w:rsid w:val="43721740"/>
    <w:rsid w:val="44AD0C81"/>
    <w:rsid w:val="46EC35B7"/>
    <w:rsid w:val="46F56910"/>
    <w:rsid w:val="4732546E"/>
    <w:rsid w:val="47AD0F98"/>
    <w:rsid w:val="47C02A7A"/>
    <w:rsid w:val="48174664"/>
    <w:rsid w:val="48C77E38"/>
    <w:rsid w:val="49333DB6"/>
    <w:rsid w:val="49D15412"/>
    <w:rsid w:val="49EF556B"/>
    <w:rsid w:val="4A897A9B"/>
    <w:rsid w:val="4A985F30"/>
    <w:rsid w:val="4B35552D"/>
    <w:rsid w:val="4B412124"/>
    <w:rsid w:val="4C286E40"/>
    <w:rsid w:val="4C4F261E"/>
    <w:rsid w:val="4CF136D5"/>
    <w:rsid w:val="4D3D4B6D"/>
    <w:rsid w:val="4DC66910"/>
    <w:rsid w:val="4DE93206"/>
    <w:rsid w:val="4ECD1F20"/>
    <w:rsid w:val="5079410E"/>
    <w:rsid w:val="51597A9B"/>
    <w:rsid w:val="515B1A65"/>
    <w:rsid w:val="523C53F3"/>
    <w:rsid w:val="527A5F1B"/>
    <w:rsid w:val="52E2243E"/>
    <w:rsid w:val="536C7F5A"/>
    <w:rsid w:val="53DA4EC3"/>
    <w:rsid w:val="544113E6"/>
    <w:rsid w:val="55AA6B17"/>
    <w:rsid w:val="5621566E"/>
    <w:rsid w:val="566969D2"/>
    <w:rsid w:val="567535C9"/>
    <w:rsid w:val="56982E14"/>
    <w:rsid w:val="57EE718F"/>
    <w:rsid w:val="598B6C60"/>
    <w:rsid w:val="5AB02E22"/>
    <w:rsid w:val="5B3550D5"/>
    <w:rsid w:val="5BEE6C99"/>
    <w:rsid w:val="5D1F7DEB"/>
    <w:rsid w:val="5D8A5BAC"/>
    <w:rsid w:val="5E5D506F"/>
    <w:rsid w:val="5E781EA8"/>
    <w:rsid w:val="5E9B7945"/>
    <w:rsid w:val="5EDC2437"/>
    <w:rsid w:val="5F7E529D"/>
    <w:rsid w:val="600D1A7C"/>
    <w:rsid w:val="61D70C94"/>
    <w:rsid w:val="61D75138"/>
    <w:rsid w:val="62683FE2"/>
    <w:rsid w:val="631B1054"/>
    <w:rsid w:val="63FF2724"/>
    <w:rsid w:val="64124205"/>
    <w:rsid w:val="6424218B"/>
    <w:rsid w:val="64986E00"/>
    <w:rsid w:val="64A62BA0"/>
    <w:rsid w:val="64DD0CB7"/>
    <w:rsid w:val="64E2007C"/>
    <w:rsid w:val="65384140"/>
    <w:rsid w:val="654E74BF"/>
    <w:rsid w:val="65654DE3"/>
    <w:rsid w:val="66300791"/>
    <w:rsid w:val="664B39FF"/>
    <w:rsid w:val="66940ADF"/>
    <w:rsid w:val="66A070FE"/>
    <w:rsid w:val="66B5531C"/>
    <w:rsid w:val="6760797E"/>
    <w:rsid w:val="679338AF"/>
    <w:rsid w:val="67C36C66"/>
    <w:rsid w:val="68355734"/>
    <w:rsid w:val="68694610"/>
    <w:rsid w:val="69397975"/>
    <w:rsid w:val="698931BC"/>
    <w:rsid w:val="6ABC4ECB"/>
    <w:rsid w:val="6AFA59F3"/>
    <w:rsid w:val="6BB107A8"/>
    <w:rsid w:val="6BBF1117"/>
    <w:rsid w:val="6C5555D7"/>
    <w:rsid w:val="6D5B09CB"/>
    <w:rsid w:val="6DE5298B"/>
    <w:rsid w:val="6E0A23F1"/>
    <w:rsid w:val="6E5518BE"/>
    <w:rsid w:val="70732E07"/>
    <w:rsid w:val="72225F5B"/>
    <w:rsid w:val="72F57764"/>
    <w:rsid w:val="731C29AB"/>
    <w:rsid w:val="74944F36"/>
    <w:rsid w:val="74A013B9"/>
    <w:rsid w:val="74FA4F6E"/>
    <w:rsid w:val="75023E22"/>
    <w:rsid w:val="7530273D"/>
    <w:rsid w:val="753A7A60"/>
    <w:rsid w:val="759E1D9D"/>
    <w:rsid w:val="75D27282"/>
    <w:rsid w:val="760F67F7"/>
    <w:rsid w:val="76FA1255"/>
    <w:rsid w:val="77E00257"/>
    <w:rsid w:val="78B90C9C"/>
    <w:rsid w:val="78D43D28"/>
    <w:rsid w:val="7904460D"/>
    <w:rsid w:val="79314CD6"/>
    <w:rsid w:val="7A146AD1"/>
    <w:rsid w:val="7AA5772A"/>
    <w:rsid w:val="7B2745E3"/>
    <w:rsid w:val="7C02295A"/>
    <w:rsid w:val="7C684EB3"/>
    <w:rsid w:val="7C792C1C"/>
    <w:rsid w:val="7D8158B0"/>
    <w:rsid w:val="7D8A0E59"/>
    <w:rsid w:val="7E40320E"/>
    <w:rsid w:val="7E6416AA"/>
    <w:rsid w:val="7F1749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qFormat/>
    <w:uiPriority w:val="99"/>
    <w:rPr>
      <w:kern w:val="2"/>
      <w:sz w:val="18"/>
      <w:szCs w:val="18"/>
    </w:rPr>
  </w:style>
  <w:style w:type="character" w:customStyle="1" w:styleId="9">
    <w:name w:val="页脚 Char"/>
    <w:basedOn w:val="7"/>
    <w:link w:val="2"/>
    <w:qFormat/>
    <w:uiPriority w:val="99"/>
    <w:rPr>
      <w:kern w:val="2"/>
      <w:sz w:val="18"/>
      <w:szCs w:val="18"/>
    </w:rPr>
  </w:style>
  <w:style w:type="paragraph" w:customStyle="1" w:styleId="10">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1">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Pages>
  <Words>2659</Words>
  <Characters>2753</Characters>
  <Lines>22</Lines>
  <Paragraphs>6</Paragraphs>
  <TotalTime>52</TotalTime>
  <ScaleCrop>false</ScaleCrop>
  <LinksUpToDate>false</LinksUpToDate>
  <CharactersWithSpaces>2794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2022-01-19T16:05:00Z</dcterms:created>
  <dc:creator>China</dc:creator>
  <cp:lastModifiedBy>administrator</cp:lastModifiedBy>
  <dcterms:modified xsi:type="dcterms:W3CDTF">2024-01-31T09:47:17Z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A1394CDA91444C27AB9C614BA636296F</vt:lpwstr>
  </property>
</Properties>
</file>