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临淄区司法局20</w:t>
      </w:r>
      <w:r>
        <w:rPr>
          <w:rFonts w:ascii="方正小标宋简体" w:hAnsi="黑体" w:eastAsia="方正小标宋简体"/>
          <w:sz w:val="44"/>
          <w:szCs w:val="44"/>
        </w:rPr>
        <w:t>2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黑体" w:eastAsia="方正小标宋简体"/>
          <w:sz w:val="44"/>
          <w:szCs w:val="44"/>
        </w:rPr>
        <w:t>年政府信息公开工作年度报告</w:t>
      </w:r>
    </w:p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本报告按照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本年度报告中所列数据统计期限从20</w:t>
      </w:r>
      <w:r>
        <w:rPr>
          <w:rFonts w:ascii="仿宋" w:hAnsi="仿宋" w:eastAsia="仿宋"/>
          <w:color w:val="000000"/>
          <w:sz w:val="32"/>
          <w:szCs w:val="32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</w:rPr>
        <w:t>年1月1日到12月31日止。</w:t>
      </w:r>
      <w:r>
        <w:rPr>
          <w:rFonts w:ascii="仿宋" w:hAnsi="仿宋" w:eastAsia="仿宋" w:cs="仿宋"/>
          <w:color w:val="000000"/>
          <w:sz w:val="32"/>
          <w:szCs w:val="32"/>
        </w:rPr>
        <w:t>如对报告内容有疑问，请与临淄区司法局联系（地址：临淄区牛山路9号；邮编：255400；电话：0533-7220377；邮箱：lzqsfj@zb.shandong.cn）。</w:t>
      </w:r>
    </w:p>
    <w:p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一、总体情况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</w:t>
      </w:r>
      <w:r>
        <w:rPr>
          <w:rFonts w:ascii="仿宋" w:hAnsi="仿宋" w:eastAsia="仿宋"/>
          <w:color w:val="000000"/>
          <w:sz w:val="32"/>
          <w:szCs w:val="32"/>
        </w:rPr>
        <w:t>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</w:t>
      </w:r>
      <w:r>
        <w:rPr>
          <w:rFonts w:ascii="仿宋" w:hAnsi="仿宋" w:eastAsia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/>
          <w:color w:val="000000"/>
          <w:sz w:val="32"/>
          <w:szCs w:val="32"/>
        </w:rPr>
        <w:t>，</w:t>
      </w:r>
      <w:r>
        <w:rPr>
          <w:rFonts w:ascii="仿宋" w:hAnsi="仿宋" w:eastAsia="仿宋"/>
          <w:color w:val="000000"/>
          <w:sz w:val="32"/>
          <w:szCs w:val="32"/>
        </w:rPr>
        <w:t>临淄区司法局认真贯彻落实省市区政务公开工作部署要求</w:t>
      </w:r>
      <w:r>
        <w:rPr>
          <w:rFonts w:hint="eastAsia" w:ascii="仿宋" w:hAnsi="仿宋" w:eastAsia="仿宋"/>
          <w:color w:val="000000"/>
          <w:sz w:val="32"/>
          <w:szCs w:val="32"/>
        </w:rPr>
        <w:t>，</w:t>
      </w:r>
      <w:r>
        <w:rPr>
          <w:rFonts w:ascii="仿宋" w:hAnsi="仿宋" w:eastAsia="仿宋"/>
          <w:color w:val="000000"/>
          <w:sz w:val="32"/>
          <w:szCs w:val="32"/>
        </w:rPr>
        <w:t>围绕法治政府建设</w:t>
      </w:r>
      <w:r>
        <w:rPr>
          <w:rFonts w:hint="eastAsia" w:ascii="仿宋" w:hAnsi="仿宋" w:eastAsia="仿宋"/>
          <w:color w:val="000000"/>
          <w:sz w:val="32"/>
          <w:szCs w:val="32"/>
        </w:rPr>
        <w:t>，加大政务公开力度、拓宽政务公开渠道、强化重点领域信息公开，进一步提高政务公开质量，为经济社会高质量发展提供坚强法治保障。</w:t>
      </w:r>
    </w:p>
    <w:p>
      <w:pPr>
        <w:spacing w:line="560" w:lineRule="exact"/>
        <w:ind w:firstLine="640" w:firstLineChars="200"/>
        <w:rPr>
          <w:rFonts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（一）主动公开情况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根据年度工作安排</w:t>
      </w:r>
      <w:r>
        <w:rPr>
          <w:rFonts w:hint="eastAsia" w:ascii="仿宋" w:hAnsi="仿宋" w:eastAsia="仿宋"/>
          <w:color w:val="000000"/>
          <w:sz w:val="32"/>
          <w:szCs w:val="32"/>
        </w:rPr>
        <w:t>，围绕法治政府建设、公共法律服务、法治乡村建设、法治社会和法治临淄建设等，加强信息主动公开，</w:t>
      </w:r>
      <w:r>
        <w:rPr>
          <w:rFonts w:ascii="仿宋" w:hAnsi="仿宋" w:eastAsia="仿宋"/>
          <w:color w:val="000000"/>
          <w:sz w:val="32"/>
          <w:szCs w:val="32"/>
        </w:rPr>
        <w:t>截止</w:t>
      </w:r>
      <w:r>
        <w:rPr>
          <w:rFonts w:hint="eastAsia" w:ascii="仿宋" w:hAnsi="仿宋" w:eastAsia="仿宋"/>
          <w:color w:val="000000"/>
          <w:sz w:val="32"/>
          <w:szCs w:val="32"/>
        </w:rPr>
        <w:t>2</w:t>
      </w:r>
      <w:r>
        <w:rPr>
          <w:rFonts w:ascii="仿宋" w:hAnsi="仿宋" w:eastAsia="仿宋"/>
          <w:color w:val="000000"/>
          <w:sz w:val="32"/>
          <w:szCs w:val="32"/>
        </w:rPr>
        <w:t>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</w:t>
      </w:r>
      <w:r>
        <w:rPr>
          <w:rFonts w:ascii="仿宋" w:hAnsi="仿宋" w:eastAsia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/>
          <w:color w:val="000000"/>
          <w:sz w:val="32"/>
          <w:szCs w:val="32"/>
        </w:rPr>
        <w:t>1</w:t>
      </w:r>
      <w:r>
        <w:rPr>
          <w:rFonts w:ascii="仿宋" w:hAnsi="仿宋" w:eastAsia="仿宋"/>
          <w:color w:val="000000"/>
          <w:sz w:val="32"/>
          <w:szCs w:val="32"/>
        </w:rPr>
        <w:t>2月</w:t>
      </w:r>
      <w:r>
        <w:rPr>
          <w:rFonts w:hint="eastAsia" w:ascii="仿宋" w:hAnsi="仿宋" w:eastAsia="仿宋"/>
          <w:color w:val="000000"/>
          <w:sz w:val="32"/>
          <w:szCs w:val="32"/>
        </w:rPr>
        <w:t>3</w:t>
      </w:r>
      <w:r>
        <w:rPr>
          <w:rFonts w:ascii="仿宋" w:hAnsi="仿宋" w:eastAsia="仿宋"/>
          <w:color w:val="000000"/>
          <w:sz w:val="32"/>
          <w:szCs w:val="32"/>
        </w:rPr>
        <w:t>1日</w:t>
      </w:r>
      <w:r>
        <w:rPr>
          <w:rFonts w:hint="eastAsia" w:ascii="仿宋" w:hAnsi="仿宋" w:eastAsia="仿宋"/>
          <w:color w:val="000000"/>
          <w:sz w:val="32"/>
          <w:szCs w:val="32"/>
        </w:rPr>
        <w:t>，</w:t>
      </w:r>
      <w:r>
        <w:rPr>
          <w:rFonts w:ascii="仿宋" w:hAnsi="仿宋" w:eastAsia="仿宋"/>
          <w:color w:val="000000"/>
          <w:sz w:val="32"/>
          <w:szCs w:val="32"/>
        </w:rPr>
        <w:t>主动公开政府信息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205</w:t>
      </w:r>
      <w:r>
        <w:rPr>
          <w:rFonts w:ascii="仿宋" w:hAnsi="仿宋" w:eastAsia="仿宋"/>
          <w:color w:val="000000"/>
          <w:sz w:val="32"/>
          <w:szCs w:val="32"/>
        </w:rPr>
        <w:t>条</w:t>
      </w:r>
      <w:r>
        <w:rPr>
          <w:rFonts w:hint="eastAsia" w:ascii="仿宋" w:hAnsi="仿宋" w:eastAsia="仿宋"/>
          <w:color w:val="000000"/>
          <w:sz w:val="32"/>
          <w:szCs w:val="32"/>
        </w:rPr>
        <w:t>，其中，机构职能类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color w:val="000000"/>
          <w:sz w:val="32"/>
          <w:szCs w:val="32"/>
        </w:rPr>
        <w:t>条，法规公文类1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</w:t>
      </w:r>
      <w:r>
        <w:rPr>
          <w:rFonts w:ascii="仿宋" w:hAnsi="仿宋" w:eastAsia="仿宋"/>
          <w:color w:val="000000"/>
          <w:sz w:val="32"/>
          <w:szCs w:val="32"/>
        </w:rPr>
        <w:t>条</w:t>
      </w:r>
      <w:r>
        <w:rPr>
          <w:rFonts w:hint="eastAsia" w:ascii="仿宋" w:hAnsi="仿宋" w:eastAsia="仿宋"/>
          <w:color w:val="000000"/>
          <w:sz w:val="32"/>
          <w:szCs w:val="32"/>
        </w:rPr>
        <w:t>，</w:t>
      </w:r>
      <w:r>
        <w:rPr>
          <w:rFonts w:ascii="仿宋" w:hAnsi="仿宋" w:eastAsia="仿宋"/>
          <w:color w:val="000000"/>
          <w:sz w:val="32"/>
          <w:szCs w:val="32"/>
        </w:rPr>
        <w:t>部门会议类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条，重大行政决策类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color w:val="000000"/>
          <w:sz w:val="32"/>
          <w:szCs w:val="32"/>
        </w:rPr>
        <w:t>条，规划计划类1条，民生公益类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条，行政执法监督管理类1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</w:t>
      </w:r>
      <w:r>
        <w:rPr>
          <w:rFonts w:ascii="仿宋" w:hAnsi="仿宋" w:eastAsia="仿宋"/>
          <w:color w:val="000000"/>
          <w:sz w:val="32"/>
          <w:szCs w:val="32"/>
        </w:rPr>
        <w:t>条</w:t>
      </w:r>
      <w:r>
        <w:rPr>
          <w:rFonts w:hint="eastAsia" w:ascii="仿宋" w:hAnsi="仿宋" w:eastAsia="仿宋"/>
          <w:color w:val="000000"/>
          <w:sz w:val="32"/>
          <w:szCs w:val="32"/>
        </w:rPr>
        <w:t>，</w:t>
      </w:r>
      <w:r>
        <w:rPr>
          <w:rFonts w:ascii="仿宋" w:hAnsi="仿宋" w:eastAsia="仿宋"/>
          <w:color w:val="000000"/>
          <w:sz w:val="32"/>
          <w:szCs w:val="32"/>
        </w:rPr>
        <w:t>法治政府建设及业务工作类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157</w:t>
      </w:r>
      <w:r>
        <w:rPr>
          <w:rFonts w:ascii="仿宋" w:hAnsi="仿宋" w:eastAsia="仿宋"/>
          <w:color w:val="000000"/>
          <w:sz w:val="32"/>
          <w:szCs w:val="32"/>
        </w:rPr>
        <w:t>条</w:t>
      </w:r>
      <w:r>
        <w:rPr>
          <w:rFonts w:hint="eastAsia" w:ascii="仿宋" w:hAnsi="仿宋" w:eastAsia="仿宋"/>
          <w:color w:val="000000"/>
          <w:sz w:val="32"/>
          <w:szCs w:val="32"/>
        </w:rPr>
        <w:t>。</w:t>
      </w:r>
    </w:p>
    <w:p>
      <w:pPr>
        <w:spacing w:line="240" w:lineRule="auto"/>
        <w:jc w:val="both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drawing>
          <wp:inline distT="0" distB="0" distL="114300" distR="114300">
            <wp:extent cx="5269865" cy="2571750"/>
            <wp:effectExtent l="0" t="0" r="6985" b="0"/>
            <wp:docPr id="15" name="图片 15" descr="1675156392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67515639276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jc w:val="center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图1：主动公开信息截图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及时公开行政法规、规章和规范性文件。根据《政府信息公开条例》第二十条第（一）款要求，每季度公开了临淄区政府及政府办、政府工作部门行政规范性文件备案目录。</w:t>
      </w:r>
    </w:p>
    <w:p>
      <w:pPr>
        <w:numPr>
          <w:ilvl w:val="0"/>
          <w:numId w:val="0"/>
        </w:numPr>
        <w:spacing w:line="240" w:lineRule="auto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drawing>
          <wp:inline distT="0" distB="0" distL="114300" distR="114300">
            <wp:extent cx="5266690" cy="2480310"/>
            <wp:effectExtent l="0" t="0" r="10160" b="15240"/>
            <wp:docPr id="21" name="图片 21" descr="1675157983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6751579834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jc w:val="center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图2：行政规范性文件备案目录</w:t>
      </w:r>
    </w:p>
    <w:p>
      <w:pPr>
        <w:numPr>
          <w:ilvl w:val="0"/>
          <w:numId w:val="1"/>
        </w:numPr>
        <w:spacing w:line="560" w:lineRule="exact"/>
        <w:ind w:left="0" w:leftChars="0"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及时公开行政执法信息。根据《政府信息公开条例》第二十条第（六）款要求，</w:t>
      </w:r>
      <w:r>
        <w:rPr>
          <w:rFonts w:ascii="仿宋" w:hAnsi="仿宋" w:eastAsia="仿宋"/>
          <w:color w:val="000000"/>
          <w:sz w:val="32"/>
          <w:szCs w:val="32"/>
        </w:rPr>
        <w:t>2021</w:t>
      </w:r>
      <w:r>
        <w:rPr>
          <w:rFonts w:hint="eastAsia" w:ascii="仿宋" w:hAnsi="仿宋" w:eastAsia="仿宋"/>
          <w:color w:val="000000"/>
          <w:sz w:val="32"/>
          <w:szCs w:val="32"/>
        </w:rPr>
        <w:t>年我局对辖区内律师事务所、律师、律师协会、公证机构、公证员进行了随机抽查。</w:t>
      </w:r>
      <w:r>
        <w:rPr>
          <w:rFonts w:hint="eastAsia" w:ascii="仿宋" w:hAnsi="仿宋" w:eastAsia="仿宋"/>
          <w:color w:val="auto"/>
          <w:sz w:val="32"/>
          <w:szCs w:val="32"/>
        </w:rPr>
        <w:t>共计抽查了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color w:val="auto"/>
          <w:sz w:val="32"/>
          <w:szCs w:val="32"/>
        </w:rPr>
        <w:t>家律所、2个基层法律服务所、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color w:val="auto"/>
          <w:sz w:val="32"/>
          <w:szCs w:val="32"/>
        </w:rPr>
        <w:t>名基层法律服务工作者、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color w:val="auto"/>
          <w:sz w:val="32"/>
          <w:szCs w:val="32"/>
        </w:rPr>
        <w:t>名公证员。按月度公布了</w:t>
      </w:r>
      <w:r>
        <w:rPr>
          <w:rFonts w:hint="eastAsia" w:ascii="仿宋" w:hAnsi="仿宋" w:eastAsia="仿宋"/>
          <w:color w:val="000000"/>
          <w:sz w:val="32"/>
          <w:szCs w:val="32"/>
        </w:rPr>
        <w:t>涉企行政执法检查计划。无行政处罚案件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。</w:t>
      </w:r>
    </w:p>
    <w:p>
      <w:pPr>
        <w:widowControl w:val="0"/>
        <w:numPr>
          <w:ilvl w:val="0"/>
          <w:numId w:val="0"/>
        </w:numPr>
        <w:spacing w:line="240" w:lineRule="auto"/>
        <w:jc w:val="both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drawing>
          <wp:inline distT="0" distB="0" distL="114300" distR="114300">
            <wp:extent cx="5266055" cy="3121025"/>
            <wp:effectExtent l="0" t="0" r="10795" b="3175"/>
            <wp:docPr id="14" name="图片 14" descr="1675156245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67515624578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12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560" w:lineRule="exact"/>
        <w:ind w:leftChars="200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</w:p>
    <w:p>
      <w:pPr>
        <w:spacing w:line="560" w:lineRule="exact"/>
        <w:jc w:val="center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图3：行政执法信息公开</w:t>
      </w:r>
    </w:p>
    <w:p>
      <w:pPr>
        <w:numPr>
          <w:ilvl w:val="0"/>
          <w:numId w:val="1"/>
        </w:numPr>
        <w:spacing w:line="560" w:lineRule="exact"/>
        <w:ind w:left="0" w:leftChars="0"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推进重点领域信息公开。开辟法治建设专栏，公开年度法治政府建设工作报告、行政指导工作方案等重要信息，方便群众查询、了解法治政府建设、营商环境优化政策等信息。</w:t>
      </w:r>
    </w:p>
    <w:p>
      <w:pPr>
        <w:numPr>
          <w:ilvl w:val="0"/>
          <w:numId w:val="0"/>
        </w:numPr>
        <w:spacing w:line="240" w:lineRule="auto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drawing>
          <wp:inline distT="0" distB="0" distL="114300" distR="114300">
            <wp:extent cx="5269865" cy="2571750"/>
            <wp:effectExtent l="0" t="0" r="6985" b="0"/>
            <wp:docPr id="17" name="图片 17" descr="1675156392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67515639276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jc w:val="center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图</w:t>
      </w:r>
      <w:r>
        <w:rPr>
          <w:rFonts w:ascii="仿宋" w:hAnsi="仿宋" w:eastAsia="仿宋"/>
          <w:color w:val="000000"/>
          <w:sz w:val="32"/>
          <w:szCs w:val="32"/>
        </w:rPr>
        <w:t>4</w:t>
      </w:r>
      <w:r>
        <w:rPr>
          <w:rFonts w:hint="eastAsia" w:ascii="仿宋" w:hAnsi="仿宋" w:eastAsia="仿宋"/>
          <w:color w:val="000000"/>
          <w:sz w:val="32"/>
          <w:szCs w:val="32"/>
        </w:rPr>
        <w:t>：重大行政决策事项目录</w:t>
      </w:r>
    </w:p>
    <w:p>
      <w:pPr>
        <w:spacing w:line="240" w:lineRule="auto"/>
        <w:jc w:val="center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drawing>
          <wp:inline distT="0" distB="0" distL="114300" distR="114300">
            <wp:extent cx="5271135" cy="2494915"/>
            <wp:effectExtent l="0" t="0" r="5715" b="635"/>
            <wp:docPr id="16" name="图片 16" descr="1675156467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67515646798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jc w:val="center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图5：法治建设专栏</w:t>
      </w:r>
    </w:p>
    <w:p>
      <w:pPr>
        <w:spacing w:line="560" w:lineRule="exact"/>
        <w:ind w:firstLine="640" w:firstLineChars="200"/>
        <w:rPr>
          <w:rFonts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（二）依申请公开情况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</w:rPr>
        <w:t>年，本单位共接收办理政府信息公开申请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/>
          <w:color w:val="000000"/>
          <w:sz w:val="32"/>
          <w:szCs w:val="32"/>
        </w:rPr>
        <w:t>件。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（三）政府信息管理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1.不断建立健全政务公开制度保障。完善政府信息公开工作指南和公开目录，定期进行检查，及时更新。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2.严格落实政府信息公开保密审查制度。规范审查流程，确保所有公开信息经审核后公开，无遗漏、无涉密信息。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（四）政府信息公开平台建设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1.加大新媒体普法力度。以《今日临淄》、融媒体中心《与法同行》等传统媒体普法为基础，抖音号、头条号、微信公众号等新媒体一体推进，采取以案释法形式，编制普法案例，拓展普法覆盖面和传播力。</w:t>
      </w:r>
    </w:p>
    <w:p>
      <w:pPr>
        <w:spacing w:line="240" w:lineRule="auto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drawing>
          <wp:inline distT="0" distB="0" distL="114300" distR="114300">
            <wp:extent cx="5269865" cy="3952240"/>
            <wp:effectExtent l="0" t="0" r="6985" b="10160"/>
            <wp:docPr id="19" name="图片 19" descr="30cfb8ee8017a4e9e06ea72e96f4b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30cfb8ee8017a4e9e06ea72e96f4b3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95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jc w:val="center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图6：政务公开新媒体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2.进一步优化政府信息公开平台。按照区政府政务公开办公室要求，不断完善政务公开内容，做好政府网站政务公开板块。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（五）监督保障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1</w:t>
      </w:r>
      <w:r>
        <w:rPr>
          <w:rFonts w:ascii="仿宋" w:hAnsi="仿宋" w:eastAsia="仿宋"/>
          <w:color w:val="000000"/>
          <w:sz w:val="32"/>
          <w:szCs w:val="32"/>
        </w:rPr>
        <w:t>.</w:t>
      </w:r>
      <w:r>
        <w:rPr>
          <w:rFonts w:hint="eastAsia" w:ascii="仿宋" w:hAnsi="仿宋" w:eastAsia="仿宋"/>
          <w:color w:val="000000"/>
          <w:sz w:val="32"/>
          <w:szCs w:val="32"/>
        </w:rPr>
        <w:t>明确政府公开工作领导小组组成与职责，全面负责做好局机关政府信息公开管理工作。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ascii="仿宋" w:hAnsi="仿宋" w:eastAsia="仿宋"/>
          <w:color w:val="000000"/>
          <w:sz w:val="32"/>
          <w:szCs w:val="32"/>
        </w:rPr>
        <w:t>2.制定</w:t>
      </w:r>
      <w:r>
        <w:rPr>
          <w:rFonts w:hint="eastAsia" w:ascii="仿宋" w:hAnsi="仿宋" w:eastAsia="仿宋"/>
          <w:color w:val="000000"/>
          <w:sz w:val="32"/>
          <w:szCs w:val="32"/>
        </w:rPr>
        <w:t>《临淄区司法局202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</w:rPr>
        <w:t>年政务公开工作要点方案》和《202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</w:rPr>
        <w:t>年临淄区司法局政务公开培训计划》，组织召开政务公开工作推进会2次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。</w:t>
      </w:r>
    </w:p>
    <w:p>
      <w:pPr>
        <w:spacing w:line="240" w:lineRule="auto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drawing>
          <wp:inline distT="0" distB="0" distL="114300" distR="114300">
            <wp:extent cx="5272405" cy="2990850"/>
            <wp:effectExtent l="0" t="0" r="4445" b="0"/>
            <wp:docPr id="20" name="图片 20" descr="1675157867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67515786706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jc w:val="center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图7：政务公开保障</w:t>
      </w:r>
    </w:p>
    <w:p>
      <w:pPr>
        <w:ind w:firstLine="648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p>
      <w:pPr>
        <w:spacing w:before="9"/>
        <w:jc w:val="left"/>
        <w:rPr>
          <w:rFonts w:ascii="宋体" w:hAnsi="宋体" w:eastAsia="宋体" w:cs="宋体"/>
          <w:kern w:val="0"/>
          <w:szCs w:val="21"/>
        </w:rPr>
      </w:pPr>
    </w:p>
    <w:tbl>
      <w:tblPr>
        <w:tblStyle w:val="11"/>
        <w:tblW w:w="812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3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8124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  <w:vAlign w:val="center"/>
          </w:tcPr>
          <w:p>
            <w:pPr>
              <w:tabs>
                <w:tab w:val="left" w:pos="1048"/>
              </w:tabs>
              <w:spacing w:before="142"/>
              <w:ind w:left="-1" w:right="1"/>
              <w:jc w:val="center"/>
              <w:rPr>
                <w:lang w:eastAsia="zh-CN"/>
              </w:rPr>
            </w:pPr>
            <w:r>
              <w:rPr>
                <w:lang w:eastAsia="zh-CN"/>
              </w:rPr>
              <w:t>第二十条</w:t>
            </w:r>
            <w:r>
              <w:rPr>
                <w:lang w:eastAsia="zh-CN"/>
              </w:rPr>
              <w:tab/>
            </w:r>
            <w:r>
              <w:rPr>
                <w:lang w:eastAsia="zh-CN"/>
              </w:rPr>
              <w:t>第（一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lang w:eastAsia="zh-CN"/>
              </w:rPr>
              <w:t>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  <w:jc w:val="center"/>
        </w:trPr>
        <w:tc>
          <w:tcPr>
            <w:tcW w:w="3284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  <w:vAlign w:val="center"/>
          </w:tcPr>
          <w:p>
            <w:pPr>
              <w:spacing w:before="135"/>
              <w:ind w:right="27"/>
              <w:jc w:val="center"/>
              <w:rPr>
                <w:lang w:eastAsia="zh-CN"/>
              </w:rPr>
            </w:pPr>
            <w:r>
              <w:rPr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  <w:vAlign w:val="center"/>
          </w:tcPr>
          <w:p>
            <w:pPr>
              <w:spacing w:before="135"/>
              <w:ind w:left="216"/>
              <w:jc w:val="center"/>
              <w:rPr>
                <w:lang w:eastAsia="zh-CN"/>
              </w:rPr>
            </w:pPr>
            <w:r>
              <w:rPr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  <w:vAlign w:val="center"/>
          </w:tcPr>
          <w:p>
            <w:pPr>
              <w:spacing w:before="135"/>
              <w:ind w:left="275"/>
              <w:jc w:val="center"/>
              <w:rPr>
                <w:lang w:eastAsia="zh-CN"/>
              </w:rPr>
            </w:pPr>
            <w:r>
              <w:rPr>
                <w:lang w:eastAsia="zh-CN"/>
              </w:rPr>
              <w:t>本年废止件数</w:t>
            </w:r>
          </w:p>
        </w:tc>
        <w:tc>
          <w:tcPr>
            <w:tcW w:w="1351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  <w:vAlign w:val="center"/>
          </w:tcPr>
          <w:p>
            <w:pPr>
              <w:spacing w:before="13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  <w:jc w:val="center"/>
        </w:trPr>
        <w:tc>
          <w:tcPr>
            <w:tcW w:w="3284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  <w:vAlign w:val="center"/>
          </w:tcPr>
          <w:p>
            <w:pPr>
              <w:spacing w:before="147"/>
              <w:ind w:left="93"/>
              <w:jc w:val="center"/>
              <w:rPr>
                <w:lang w:eastAsia="zh-CN"/>
              </w:rPr>
            </w:pPr>
            <w:r>
              <w:rPr>
                <w:lang w:eastAsia="zh-CN"/>
              </w:rPr>
              <w:t>规章</w:t>
            </w:r>
          </w:p>
        </w:tc>
        <w:tc>
          <w:tcPr>
            <w:tcW w:w="1686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  <w:vAlign w:val="center"/>
          </w:tcPr>
          <w:p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1803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  <w:vAlign w:val="center"/>
          </w:tcPr>
          <w:p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1351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3284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  <w:vAlign w:val="center"/>
          </w:tcPr>
          <w:p>
            <w:pPr>
              <w:spacing w:before="138"/>
              <w:ind w:left="93"/>
              <w:jc w:val="center"/>
              <w:rPr>
                <w:lang w:eastAsia="zh-CN"/>
              </w:rPr>
            </w:pPr>
            <w:r>
              <w:rPr>
                <w:lang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  <w:vAlign w:val="center"/>
          </w:tcPr>
          <w:p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1803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  <w:vAlign w:val="center"/>
          </w:tcPr>
          <w:p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1351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8124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  <w:vAlign w:val="center"/>
          </w:tcPr>
          <w:p>
            <w:pPr>
              <w:tabs>
                <w:tab w:val="left" w:pos="1049"/>
              </w:tabs>
              <w:spacing w:before="140"/>
              <w:ind w:left="5"/>
              <w:jc w:val="center"/>
              <w:rPr>
                <w:lang w:eastAsia="zh-CN"/>
              </w:rPr>
            </w:pPr>
            <w:r>
              <w:rPr>
                <w:lang w:eastAsia="zh-CN"/>
              </w:rPr>
              <w:t>第二十条</w:t>
            </w:r>
            <w:r>
              <w:rPr>
                <w:lang w:eastAsia="zh-CN"/>
              </w:rPr>
              <w:tab/>
            </w:r>
            <w:r>
              <w:rPr>
                <w:lang w:eastAsia="zh-CN"/>
              </w:rPr>
              <w:t>第（五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lang w:eastAsia="zh-CN"/>
              </w:rPr>
              <w:t>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3284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  <w:vAlign w:val="center"/>
          </w:tcPr>
          <w:p>
            <w:pPr>
              <w:spacing w:before="138"/>
              <w:ind w:right="17"/>
              <w:jc w:val="center"/>
              <w:rPr>
                <w:lang w:eastAsia="zh-CN"/>
              </w:rPr>
            </w:pPr>
            <w:r>
              <w:rPr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  <w:vAlign w:val="center"/>
          </w:tcPr>
          <w:p>
            <w:pPr>
              <w:spacing w:before="142"/>
              <w:ind w:right="16"/>
              <w:jc w:val="center"/>
              <w:rPr>
                <w:lang w:eastAsia="zh-CN"/>
              </w:rPr>
            </w:pPr>
            <w:r>
              <w:rPr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3284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  <w:vAlign w:val="center"/>
          </w:tcPr>
          <w:p>
            <w:pPr>
              <w:spacing w:before="140"/>
              <w:ind w:left="9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  <w:jc w:val="center"/>
        </w:trPr>
        <w:tc>
          <w:tcPr>
            <w:tcW w:w="8124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  <w:vAlign w:val="center"/>
          </w:tcPr>
          <w:p>
            <w:pPr>
              <w:tabs>
                <w:tab w:val="left" w:pos="1059"/>
              </w:tabs>
              <w:spacing w:before="142"/>
              <w:ind w:left="15"/>
              <w:jc w:val="center"/>
              <w:rPr>
                <w:lang w:eastAsia="zh-CN"/>
              </w:rPr>
            </w:pPr>
            <w:r>
              <w:rPr>
                <w:lang w:eastAsia="zh-CN"/>
              </w:rPr>
              <w:t>第二十条</w:t>
            </w:r>
            <w:r>
              <w:rPr>
                <w:lang w:eastAsia="zh-CN"/>
              </w:rPr>
              <w:tab/>
            </w:r>
            <w:r>
              <w:rPr>
                <w:lang w:eastAsia="zh-CN"/>
              </w:rPr>
              <w:t>第（六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lang w:eastAsia="zh-CN"/>
              </w:rPr>
              <w:t>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  <w:jc w:val="center"/>
        </w:trPr>
        <w:tc>
          <w:tcPr>
            <w:tcW w:w="3284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  <w:vAlign w:val="center"/>
          </w:tcPr>
          <w:p>
            <w:pPr>
              <w:spacing w:before="142"/>
              <w:ind w:right="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  <w:vAlign w:val="center"/>
          </w:tcPr>
          <w:p>
            <w:pPr>
              <w:spacing w:before="142"/>
              <w:ind w:right="13"/>
              <w:jc w:val="center"/>
              <w:rPr>
                <w:lang w:eastAsia="zh-CN"/>
              </w:rPr>
            </w:pPr>
            <w:r>
              <w:rPr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3284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  <w:vAlign w:val="center"/>
          </w:tcPr>
          <w:p>
            <w:pPr>
              <w:spacing w:before="139"/>
              <w:ind w:left="102"/>
              <w:jc w:val="center"/>
              <w:rPr>
                <w:lang w:eastAsia="zh-CN"/>
              </w:rPr>
            </w:pPr>
            <w:r>
              <w:rPr>
                <w:lang w:eastAsia="zh-CN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  <w:jc w:val="center"/>
        </w:trPr>
        <w:tc>
          <w:tcPr>
            <w:tcW w:w="3284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  <w:vAlign w:val="center"/>
          </w:tcPr>
          <w:p>
            <w:pPr>
              <w:spacing w:before="138"/>
              <w:ind w:left="107"/>
              <w:jc w:val="center"/>
              <w:rPr>
                <w:lang w:eastAsia="zh-CN"/>
              </w:rPr>
            </w:pPr>
            <w:r>
              <w:rPr>
                <w:lang w:eastAsia="zh-CN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jc w:val="center"/>
        </w:trPr>
        <w:tc>
          <w:tcPr>
            <w:tcW w:w="8124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  <w:vAlign w:val="center"/>
          </w:tcPr>
          <w:p>
            <w:pPr>
              <w:tabs>
                <w:tab w:val="left" w:pos="1068"/>
              </w:tabs>
              <w:spacing w:before="142"/>
              <w:ind w:left="25"/>
              <w:jc w:val="center"/>
              <w:rPr>
                <w:lang w:eastAsia="zh-CN"/>
              </w:rPr>
            </w:pPr>
            <w:r>
              <w:rPr>
                <w:lang w:eastAsia="zh-CN"/>
              </w:rPr>
              <w:t>第二十条</w:t>
            </w:r>
            <w:r>
              <w:rPr>
                <w:lang w:eastAsia="zh-CN"/>
              </w:rPr>
              <w:tab/>
            </w:r>
            <w:r>
              <w:rPr>
                <w:lang w:eastAsia="zh-CN"/>
              </w:rPr>
              <w:t>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3284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  <w:vAlign w:val="center"/>
          </w:tcPr>
          <w:p>
            <w:pPr>
              <w:spacing w:before="135"/>
              <w:ind w:right="1"/>
              <w:jc w:val="center"/>
              <w:rPr>
                <w:lang w:eastAsia="zh-CN"/>
              </w:rPr>
            </w:pPr>
            <w:r>
              <w:rPr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45"/>
              <w:ind w:left="1446"/>
              <w:jc w:val="center"/>
              <w:rPr>
                <w:lang w:eastAsia="zh-CN"/>
              </w:rPr>
            </w:pPr>
            <w:r>
              <w:rPr>
                <w:lang w:eastAsia="zh-CN"/>
              </w:rPr>
              <w:t>本年收费金额（单位：万元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jc w:val="center"/>
        </w:trPr>
        <w:tc>
          <w:tcPr>
            <w:tcW w:w="3284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  <w:vAlign w:val="center"/>
          </w:tcPr>
          <w:p>
            <w:pPr>
              <w:spacing w:before="138"/>
              <w:ind w:left="107"/>
              <w:jc w:val="center"/>
              <w:rPr>
                <w:lang w:eastAsia="zh-CN"/>
              </w:rPr>
            </w:pPr>
            <w:r>
              <w:rPr>
                <w:lang w:eastAsia="zh-CN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  <w:vAlign w:val="center"/>
          </w:tcPr>
          <w:p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tbl>
      <w:tblPr>
        <w:tblStyle w:val="6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continue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</w:tcPr>
          <w:p>
            <w:pPr>
              <w:rPr>
                <w:szCs w:val="21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pPr>
              <w:rPr>
                <w:szCs w:val="21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pPr>
              <w:rPr>
                <w:szCs w:val="21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pPr>
              <w:rPr>
                <w:szCs w:val="21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>
            <w:r>
              <w:rPr>
                <w:rFonts w:hint="eastAsia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．属于国家秘密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不予处理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．要求提供公开出版物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申请人无正当理由逾期不补正、行政机关不再处理其政府信息公开申请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申请人逾期未按收费通知 要求缴纳费用、行政机关不再处理其政府信息公开申请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其他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</w:tbl>
    <w:p/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四、政府信息公开行政复议、行政诉讼情况</w:t>
      </w:r>
    </w:p>
    <w:tbl>
      <w:tblPr>
        <w:tblStyle w:val="6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706" w:type="dxa"/>
          </w:tcPr>
          <w:p>
            <w:pPr>
              <w:rPr>
                <w:szCs w:val="21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428" w:type="dxa"/>
          </w:tcPr>
          <w:p>
            <w:pPr>
              <w:rPr>
                <w:szCs w:val="21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szCs w:val="21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szCs w:val="21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szCs w:val="21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szCs w:val="21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425" w:type="dxa"/>
          </w:tcPr>
          <w:p>
            <w:pPr>
              <w:rPr>
                <w:szCs w:val="21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szCs w:val="21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szCs w:val="21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szCs w:val="21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94" w:type="dxa"/>
          </w:tcPr>
          <w:p>
            <w:pPr>
              <w:rPr>
                <w:szCs w:val="21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425" w:type="dxa"/>
          </w:tcPr>
          <w:p>
            <w:pPr>
              <w:rPr>
                <w:szCs w:val="21"/>
              </w:rPr>
            </w:pPr>
            <w:r>
              <w:rPr>
                <w:rFonts w:hint="eastAsia"/>
              </w:rPr>
              <w:t>0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五、存在的主要问题及改进情况</w:t>
      </w:r>
    </w:p>
    <w:p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（一）</w:t>
      </w:r>
      <w:r>
        <w:rPr>
          <w:rFonts w:hint="eastAsia"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存在的主要问题：</w:t>
      </w:r>
      <w:r>
        <w:rPr>
          <w:rFonts w:hint="eastAsia" w:ascii="仿宋" w:hAnsi="仿宋" w:eastAsia="仿宋"/>
          <w:color w:val="000000"/>
          <w:sz w:val="32"/>
          <w:szCs w:val="32"/>
        </w:rPr>
        <w:t>一是政务公开的及时性、全面性还有待提高，信息公开工作人员业务能力有待加强；二是主动公开的广度、深度还不够，公开的内容和种类还有待进一步延伸和细化。</w:t>
      </w:r>
    </w:p>
    <w:p>
      <w:pPr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（二）</w:t>
      </w:r>
      <w:r>
        <w:rPr>
          <w:rFonts w:hint="eastAsia"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改进情况：</w:t>
      </w:r>
      <w:r>
        <w:rPr>
          <w:rFonts w:hint="eastAsia" w:ascii="仿宋" w:hAnsi="仿宋" w:eastAsia="仿宋"/>
          <w:color w:val="000000"/>
          <w:sz w:val="32"/>
          <w:szCs w:val="32"/>
        </w:rPr>
        <w:t>一是加强工作人员信息公开培训和教育，提高信息公开工作业务能力和水平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；</w:t>
      </w:r>
      <w:r>
        <w:rPr>
          <w:rFonts w:hint="eastAsia" w:ascii="仿宋" w:hAnsi="仿宋" w:eastAsia="仿宋"/>
          <w:color w:val="000000"/>
          <w:sz w:val="32"/>
          <w:szCs w:val="32"/>
        </w:rPr>
        <w:t>二是充分发挥政务新媒体在法律服务、普法宣传的作用，积极运用政务新媒体推进本单位政务公开工作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六、其他需要报告的事项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（一）收取信息处理费情况。</w:t>
      </w:r>
      <w:r>
        <w:rPr>
          <w:rFonts w:hint="eastAsia" w:ascii="仿宋" w:hAnsi="仿宋" w:eastAsia="仿宋"/>
          <w:color w:val="000000"/>
          <w:sz w:val="32"/>
          <w:szCs w:val="32"/>
        </w:rPr>
        <w:t>本年度未有收取信息处理费情况。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（二）人大代表建议和政协提案办理情况。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年，区政府办公室共承办人大代表建议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件，办复率100%；承办政协提案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件，办复率1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%。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（三）年度工作要点落实情况。</w:t>
      </w:r>
      <w:r>
        <w:rPr>
          <w:rFonts w:hint="eastAsia" w:ascii="仿宋" w:hAnsi="仿宋" w:eastAsia="仿宋"/>
          <w:color w:val="000000"/>
          <w:sz w:val="32"/>
          <w:szCs w:val="32"/>
        </w:rPr>
        <w:t>按照本部门职责，做好202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</w:rPr>
        <w:t>年区政府工作报告主要任务目标落实情况；做好本部门财政预算、决算公开；做好重要文件的解读公开，对主动公开的行政规范性文件进行解读；做好部门会议公开工作；做好本部门信箱和网站互动平台答复工作，做到按时、合法、合规答复。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（四）政务公开工作创新情况。</w:t>
      </w:r>
      <w:r>
        <w:rPr>
          <w:rFonts w:hint="eastAsia" w:ascii="仿宋" w:hAnsi="仿宋" w:eastAsia="仿宋"/>
          <w:color w:val="000000"/>
          <w:sz w:val="32"/>
          <w:szCs w:val="32"/>
        </w:rPr>
        <w:t>进一步加强政务新媒体建设，在政府网站更新并链接了政务新媒体账号信息，推动了司法行政信息公开渠道多元化。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</w:p>
    <w:p>
      <w:pPr>
        <w:spacing w:line="560" w:lineRule="exact"/>
        <w:jc w:val="center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 xml:space="preserve">                                   </w:t>
      </w:r>
      <w:r>
        <w:rPr>
          <w:rFonts w:ascii="仿宋" w:hAnsi="仿宋" w:eastAsia="仿宋"/>
          <w:color w:val="000000"/>
          <w:sz w:val="32"/>
          <w:szCs w:val="32"/>
        </w:rPr>
        <w:t>临淄区司法局</w:t>
      </w:r>
    </w:p>
    <w:p>
      <w:pPr>
        <w:spacing w:line="560" w:lineRule="exact"/>
        <w:jc w:val="right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</w:t>
      </w:r>
      <w:r>
        <w:rPr>
          <w:rFonts w:ascii="仿宋" w:hAnsi="仿宋" w:eastAsia="仿宋"/>
          <w:color w:val="000000"/>
          <w:sz w:val="32"/>
          <w:szCs w:val="32"/>
        </w:rPr>
        <w:t>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</w:t>
      </w:r>
      <w:r>
        <w:rPr>
          <w:rFonts w:ascii="仿宋" w:hAnsi="仿宋" w:eastAsia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/>
          <w:color w:val="000000"/>
          <w:sz w:val="32"/>
          <w:szCs w:val="32"/>
        </w:rPr>
        <w:t>1月</w:t>
      </w:r>
      <w:bookmarkStart w:id="0" w:name="_GoBack"/>
      <w:bookmarkEnd w:id="0"/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31</w:t>
      </w:r>
      <w:r>
        <w:rPr>
          <w:rFonts w:ascii="仿宋" w:hAnsi="仿宋" w:eastAsia="仿宋"/>
          <w:color w:val="000000"/>
          <w:sz w:val="32"/>
          <w:szCs w:val="32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3659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8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3ABC94"/>
    <w:multiLevelType w:val="singleLevel"/>
    <w:tmpl w:val="463ABC9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Q3Mjg3YjdmMjIyYmVmMTk0OTAzMmI2ZDAxOTkyNjgifQ=="/>
  </w:docVars>
  <w:rsids>
    <w:rsidRoot w:val="00E04258"/>
    <w:rsid w:val="00001C9E"/>
    <w:rsid w:val="0000594A"/>
    <w:rsid w:val="00013109"/>
    <w:rsid w:val="00023AAC"/>
    <w:rsid w:val="00024810"/>
    <w:rsid w:val="00030DFB"/>
    <w:rsid w:val="000414C6"/>
    <w:rsid w:val="00042CA0"/>
    <w:rsid w:val="00043D31"/>
    <w:rsid w:val="00046423"/>
    <w:rsid w:val="00052AD6"/>
    <w:rsid w:val="00055473"/>
    <w:rsid w:val="00055E11"/>
    <w:rsid w:val="00056B8B"/>
    <w:rsid w:val="00063220"/>
    <w:rsid w:val="0006628C"/>
    <w:rsid w:val="000706E1"/>
    <w:rsid w:val="00076FE7"/>
    <w:rsid w:val="00085190"/>
    <w:rsid w:val="00087FF0"/>
    <w:rsid w:val="00092898"/>
    <w:rsid w:val="00094E08"/>
    <w:rsid w:val="00097052"/>
    <w:rsid w:val="000A5D01"/>
    <w:rsid w:val="000B1602"/>
    <w:rsid w:val="000C34FF"/>
    <w:rsid w:val="000C36F4"/>
    <w:rsid w:val="000C7BD7"/>
    <w:rsid w:val="000D4473"/>
    <w:rsid w:val="000E1057"/>
    <w:rsid w:val="000F497F"/>
    <w:rsid w:val="000F7617"/>
    <w:rsid w:val="00105B3E"/>
    <w:rsid w:val="001108EA"/>
    <w:rsid w:val="001240A4"/>
    <w:rsid w:val="00125C8A"/>
    <w:rsid w:val="00127976"/>
    <w:rsid w:val="00131A3C"/>
    <w:rsid w:val="0013565C"/>
    <w:rsid w:val="00140E3F"/>
    <w:rsid w:val="00143DC5"/>
    <w:rsid w:val="00144ABF"/>
    <w:rsid w:val="00144B5F"/>
    <w:rsid w:val="00144CE4"/>
    <w:rsid w:val="00170D63"/>
    <w:rsid w:val="00172B20"/>
    <w:rsid w:val="0017420B"/>
    <w:rsid w:val="0017427C"/>
    <w:rsid w:val="00176618"/>
    <w:rsid w:val="00176B17"/>
    <w:rsid w:val="00187315"/>
    <w:rsid w:val="001900C0"/>
    <w:rsid w:val="00195059"/>
    <w:rsid w:val="00196FD6"/>
    <w:rsid w:val="001A21B5"/>
    <w:rsid w:val="001B033A"/>
    <w:rsid w:val="001B26AB"/>
    <w:rsid w:val="001B4410"/>
    <w:rsid w:val="001C1DC2"/>
    <w:rsid w:val="001C4706"/>
    <w:rsid w:val="001C6DFA"/>
    <w:rsid w:val="001C6F55"/>
    <w:rsid w:val="001D41A6"/>
    <w:rsid w:val="001E0CBD"/>
    <w:rsid w:val="001E5A28"/>
    <w:rsid w:val="001E72C7"/>
    <w:rsid w:val="002019C6"/>
    <w:rsid w:val="00204AA5"/>
    <w:rsid w:val="00205590"/>
    <w:rsid w:val="002157C1"/>
    <w:rsid w:val="00216261"/>
    <w:rsid w:val="00216DF6"/>
    <w:rsid w:val="0021763D"/>
    <w:rsid w:val="00224377"/>
    <w:rsid w:val="002264B1"/>
    <w:rsid w:val="0023206E"/>
    <w:rsid w:val="00234868"/>
    <w:rsid w:val="0023602C"/>
    <w:rsid w:val="00240EAF"/>
    <w:rsid w:val="00246626"/>
    <w:rsid w:val="002572C0"/>
    <w:rsid w:val="002604BD"/>
    <w:rsid w:val="00270C0E"/>
    <w:rsid w:val="0027691A"/>
    <w:rsid w:val="00276B13"/>
    <w:rsid w:val="00276E5B"/>
    <w:rsid w:val="002774CD"/>
    <w:rsid w:val="0028009A"/>
    <w:rsid w:val="002A188B"/>
    <w:rsid w:val="002A1F5C"/>
    <w:rsid w:val="002B463A"/>
    <w:rsid w:val="002B6F68"/>
    <w:rsid w:val="002B7215"/>
    <w:rsid w:val="002D115E"/>
    <w:rsid w:val="002D6A99"/>
    <w:rsid w:val="002D70DF"/>
    <w:rsid w:val="002E594D"/>
    <w:rsid w:val="002E6EDF"/>
    <w:rsid w:val="0031332E"/>
    <w:rsid w:val="003135A4"/>
    <w:rsid w:val="003164F6"/>
    <w:rsid w:val="00316CE4"/>
    <w:rsid w:val="003257C1"/>
    <w:rsid w:val="003318E7"/>
    <w:rsid w:val="00332905"/>
    <w:rsid w:val="00334C65"/>
    <w:rsid w:val="00357E22"/>
    <w:rsid w:val="00357E4E"/>
    <w:rsid w:val="003638D5"/>
    <w:rsid w:val="00363B37"/>
    <w:rsid w:val="0038169B"/>
    <w:rsid w:val="00383519"/>
    <w:rsid w:val="003856CA"/>
    <w:rsid w:val="00390173"/>
    <w:rsid w:val="0039072E"/>
    <w:rsid w:val="00395676"/>
    <w:rsid w:val="00397E9C"/>
    <w:rsid w:val="003A4408"/>
    <w:rsid w:val="003A617F"/>
    <w:rsid w:val="003B4A71"/>
    <w:rsid w:val="003C0527"/>
    <w:rsid w:val="003C44C8"/>
    <w:rsid w:val="003C5789"/>
    <w:rsid w:val="003D6959"/>
    <w:rsid w:val="003D7EB2"/>
    <w:rsid w:val="003E1F92"/>
    <w:rsid w:val="003E6B2B"/>
    <w:rsid w:val="003F2DA8"/>
    <w:rsid w:val="003F38D1"/>
    <w:rsid w:val="003F538D"/>
    <w:rsid w:val="003F631C"/>
    <w:rsid w:val="00405DB6"/>
    <w:rsid w:val="00414EEE"/>
    <w:rsid w:val="00420F86"/>
    <w:rsid w:val="00423431"/>
    <w:rsid w:val="00434746"/>
    <w:rsid w:val="00446210"/>
    <w:rsid w:val="00460593"/>
    <w:rsid w:val="0046437F"/>
    <w:rsid w:val="004713FB"/>
    <w:rsid w:val="00473626"/>
    <w:rsid w:val="00481ED7"/>
    <w:rsid w:val="00481FD3"/>
    <w:rsid w:val="004847BC"/>
    <w:rsid w:val="0048518B"/>
    <w:rsid w:val="004936CF"/>
    <w:rsid w:val="00495EBA"/>
    <w:rsid w:val="004A6081"/>
    <w:rsid w:val="004B1B2D"/>
    <w:rsid w:val="004B36CF"/>
    <w:rsid w:val="004B3DE8"/>
    <w:rsid w:val="004B53B3"/>
    <w:rsid w:val="004B7413"/>
    <w:rsid w:val="004D2882"/>
    <w:rsid w:val="004D7633"/>
    <w:rsid w:val="004D788E"/>
    <w:rsid w:val="004E5DF1"/>
    <w:rsid w:val="004F244D"/>
    <w:rsid w:val="004F2625"/>
    <w:rsid w:val="004F39DF"/>
    <w:rsid w:val="005026C8"/>
    <w:rsid w:val="00503B08"/>
    <w:rsid w:val="00504DE1"/>
    <w:rsid w:val="005162AB"/>
    <w:rsid w:val="00523B84"/>
    <w:rsid w:val="0052540C"/>
    <w:rsid w:val="00531036"/>
    <w:rsid w:val="00533338"/>
    <w:rsid w:val="005333FF"/>
    <w:rsid w:val="0053359A"/>
    <w:rsid w:val="00540904"/>
    <w:rsid w:val="00543FE0"/>
    <w:rsid w:val="00557D4A"/>
    <w:rsid w:val="005637BC"/>
    <w:rsid w:val="00564F0C"/>
    <w:rsid w:val="00567AE3"/>
    <w:rsid w:val="0057319B"/>
    <w:rsid w:val="005771DE"/>
    <w:rsid w:val="00580B3B"/>
    <w:rsid w:val="005818BC"/>
    <w:rsid w:val="00582EFB"/>
    <w:rsid w:val="00584920"/>
    <w:rsid w:val="00586957"/>
    <w:rsid w:val="00593F9E"/>
    <w:rsid w:val="0059666D"/>
    <w:rsid w:val="005A3BFA"/>
    <w:rsid w:val="005C071E"/>
    <w:rsid w:val="005D4DA2"/>
    <w:rsid w:val="005D7981"/>
    <w:rsid w:val="005E2D72"/>
    <w:rsid w:val="005E5225"/>
    <w:rsid w:val="005E5EA6"/>
    <w:rsid w:val="005F07DB"/>
    <w:rsid w:val="005F410F"/>
    <w:rsid w:val="005F7CFA"/>
    <w:rsid w:val="006001B7"/>
    <w:rsid w:val="00604767"/>
    <w:rsid w:val="00607754"/>
    <w:rsid w:val="00607BD2"/>
    <w:rsid w:val="00614243"/>
    <w:rsid w:val="00615468"/>
    <w:rsid w:val="0062406E"/>
    <w:rsid w:val="00630352"/>
    <w:rsid w:val="00633AD3"/>
    <w:rsid w:val="00634DDC"/>
    <w:rsid w:val="006359EF"/>
    <w:rsid w:val="006364F7"/>
    <w:rsid w:val="00640DE1"/>
    <w:rsid w:val="006419CD"/>
    <w:rsid w:val="00641A49"/>
    <w:rsid w:val="00641B33"/>
    <w:rsid w:val="00651342"/>
    <w:rsid w:val="00651397"/>
    <w:rsid w:val="0065594E"/>
    <w:rsid w:val="00660AAE"/>
    <w:rsid w:val="006634C0"/>
    <w:rsid w:val="00675D05"/>
    <w:rsid w:val="00677652"/>
    <w:rsid w:val="006821DB"/>
    <w:rsid w:val="00687144"/>
    <w:rsid w:val="0069301A"/>
    <w:rsid w:val="00693534"/>
    <w:rsid w:val="00697E19"/>
    <w:rsid w:val="00697EE4"/>
    <w:rsid w:val="006A1171"/>
    <w:rsid w:val="006A5226"/>
    <w:rsid w:val="006A5288"/>
    <w:rsid w:val="006B0469"/>
    <w:rsid w:val="006B72A8"/>
    <w:rsid w:val="006C2EA0"/>
    <w:rsid w:val="006C58BC"/>
    <w:rsid w:val="006C656F"/>
    <w:rsid w:val="006E0094"/>
    <w:rsid w:val="006E2256"/>
    <w:rsid w:val="006E2790"/>
    <w:rsid w:val="006E63B8"/>
    <w:rsid w:val="007011FB"/>
    <w:rsid w:val="007061A3"/>
    <w:rsid w:val="007129AD"/>
    <w:rsid w:val="00714451"/>
    <w:rsid w:val="00717EE3"/>
    <w:rsid w:val="007218A5"/>
    <w:rsid w:val="007234A6"/>
    <w:rsid w:val="00723B47"/>
    <w:rsid w:val="00723D67"/>
    <w:rsid w:val="00724A6A"/>
    <w:rsid w:val="00731CB1"/>
    <w:rsid w:val="00732D81"/>
    <w:rsid w:val="00733F31"/>
    <w:rsid w:val="00736923"/>
    <w:rsid w:val="00736C50"/>
    <w:rsid w:val="00741A40"/>
    <w:rsid w:val="00746739"/>
    <w:rsid w:val="00755418"/>
    <w:rsid w:val="007611C0"/>
    <w:rsid w:val="007720F2"/>
    <w:rsid w:val="00772EA0"/>
    <w:rsid w:val="007745BE"/>
    <w:rsid w:val="00781A3D"/>
    <w:rsid w:val="00791D32"/>
    <w:rsid w:val="007A02B5"/>
    <w:rsid w:val="007A39A8"/>
    <w:rsid w:val="007A3DB5"/>
    <w:rsid w:val="007A46E1"/>
    <w:rsid w:val="007A4F8C"/>
    <w:rsid w:val="007B346E"/>
    <w:rsid w:val="007B68D1"/>
    <w:rsid w:val="007C2141"/>
    <w:rsid w:val="007C53E0"/>
    <w:rsid w:val="007C5C81"/>
    <w:rsid w:val="007D0AF2"/>
    <w:rsid w:val="007D3AB6"/>
    <w:rsid w:val="007D4916"/>
    <w:rsid w:val="007D59C4"/>
    <w:rsid w:val="007D71FE"/>
    <w:rsid w:val="007E07E3"/>
    <w:rsid w:val="007E2505"/>
    <w:rsid w:val="007E55EA"/>
    <w:rsid w:val="007F22F8"/>
    <w:rsid w:val="007F43FC"/>
    <w:rsid w:val="00802361"/>
    <w:rsid w:val="00804E65"/>
    <w:rsid w:val="00805ABE"/>
    <w:rsid w:val="00813BC0"/>
    <w:rsid w:val="00820BB8"/>
    <w:rsid w:val="00830865"/>
    <w:rsid w:val="0083723A"/>
    <w:rsid w:val="00842C3D"/>
    <w:rsid w:val="00842E24"/>
    <w:rsid w:val="00852EEB"/>
    <w:rsid w:val="00854E6A"/>
    <w:rsid w:val="008556C2"/>
    <w:rsid w:val="00855B3A"/>
    <w:rsid w:val="00856193"/>
    <w:rsid w:val="008579AB"/>
    <w:rsid w:val="008608A2"/>
    <w:rsid w:val="008613A8"/>
    <w:rsid w:val="00873E0F"/>
    <w:rsid w:val="00875291"/>
    <w:rsid w:val="00881404"/>
    <w:rsid w:val="00883B39"/>
    <w:rsid w:val="00892DC4"/>
    <w:rsid w:val="008977A9"/>
    <w:rsid w:val="008A0545"/>
    <w:rsid w:val="008A171F"/>
    <w:rsid w:val="008A3BC0"/>
    <w:rsid w:val="008A66F8"/>
    <w:rsid w:val="008B20F5"/>
    <w:rsid w:val="008B2FD1"/>
    <w:rsid w:val="008B5D19"/>
    <w:rsid w:val="008B6607"/>
    <w:rsid w:val="008C2625"/>
    <w:rsid w:val="008C37A3"/>
    <w:rsid w:val="008D2DBD"/>
    <w:rsid w:val="008D6B7B"/>
    <w:rsid w:val="008F142B"/>
    <w:rsid w:val="008F188C"/>
    <w:rsid w:val="008F51FF"/>
    <w:rsid w:val="00904289"/>
    <w:rsid w:val="00906B9B"/>
    <w:rsid w:val="00912FB0"/>
    <w:rsid w:val="00913531"/>
    <w:rsid w:val="0092086C"/>
    <w:rsid w:val="00920A8C"/>
    <w:rsid w:val="0092182B"/>
    <w:rsid w:val="00930D46"/>
    <w:rsid w:val="00935E77"/>
    <w:rsid w:val="00940C11"/>
    <w:rsid w:val="009515FD"/>
    <w:rsid w:val="0096093C"/>
    <w:rsid w:val="00962CD0"/>
    <w:rsid w:val="00966C94"/>
    <w:rsid w:val="0097065C"/>
    <w:rsid w:val="00975A80"/>
    <w:rsid w:val="0098598B"/>
    <w:rsid w:val="00993C26"/>
    <w:rsid w:val="009B0107"/>
    <w:rsid w:val="009B7848"/>
    <w:rsid w:val="009C460B"/>
    <w:rsid w:val="009D452F"/>
    <w:rsid w:val="009E68DF"/>
    <w:rsid w:val="009F4FD2"/>
    <w:rsid w:val="00A03AC4"/>
    <w:rsid w:val="00A03E53"/>
    <w:rsid w:val="00A06E87"/>
    <w:rsid w:val="00A1342F"/>
    <w:rsid w:val="00A143E6"/>
    <w:rsid w:val="00A22178"/>
    <w:rsid w:val="00A25860"/>
    <w:rsid w:val="00A353B4"/>
    <w:rsid w:val="00A35AE0"/>
    <w:rsid w:val="00A36C3E"/>
    <w:rsid w:val="00A47C35"/>
    <w:rsid w:val="00A55405"/>
    <w:rsid w:val="00A6302E"/>
    <w:rsid w:val="00A65792"/>
    <w:rsid w:val="00A7163D"/>
    <w:rsid w:val="00A75587"/>
    <w:rsid w:val="00A759E5"/>
    <w:rsid w:val="00A82619"/>
    <w:rsid w:val="00A86F1B"/>
    <w:rsid w:val="00A919F7"/>
    <w:rsid w:val="00A93492"/>
    <w:rsid w:val="00A944C5"/>
    <w:rsid w:val="00AA3C78"/>
    <w:rsid w:val="00AA7AEC"/>
    <w:rsid w:val="00AA7B4B"/>
    <w:rsid w:val="00AB031E"/>
    <w:rsid w:val="00AB09E9"/>
    <w:rsid w:val="00AC222F"/>
    <w:rsid w:val="00AD1A81"/>
    <w:rsid w:val="00AD1C82"/>
    <w:rsid w:val="00AD1D6B"/>
    <w:rsid w:val="00AD49B5"/>
    <w:rsid w:val="00AD76B6"/>
    <w:rsid w:val="00AE6C57"/>
    <w:rsid w:val="00AF2313"/>
    <w:rsid w:val="00AF50F4"/>
    <w:rsid w:val="00B0337D"/>
    <w:rsid w:val="00B16C42"/>
    <w:rsid w:val="00B1769A"/>
    <w:rsid w:val="00B23183"/>
    <w:rsid w:val="00B245B9"/>
    <w:rsid w:val="00B33075"/>
    <w:rsid w:val="00B414D1"/>
    <w:rsid w:val="00B459E2"/>
    <w:rsid w:val="00B53141"/>
    <w:rsid w:val="00B53612"/>
    <w:rsid w:val="00B559FA"/>
    <w:rsid w:val="00B811E5"/>
    <w:rsid w:val="00B8236F"/>
    <w:rsid w:val="00B835A5"/>
    <w:rsid w:val="00B91004"/>
    <w:rsid w:val="00BA000D"/>
    <w:rsid w:val="00BA45ED"/>
    <w:rsid w:val="00BA486D"/>
    <w:rsid w:val="00BC0376"/>
    <w:rsid w:val="00BC0DDF"/>
    <w:rsid w:val="00BC34AC"/>
    <w:rsid w:val="00BD1CAC"/>
    <w:rsid w:val="00BD4F6B"/>
    <w:rsid w:val="00BD789A"/>
    <w:rsid w:val="00BE03F8"/>
    <w:rsid w:val="00BE26F0"/>
    <w:rsid w:val="00BE3FA5"/>
    <w:rsid w:val="00BE4FAC"/>
    <w:rsid w:val="00BF3636"/>
    <w:rsid w:val="00BF42A9"/>
    <w:rsid w:val="00C04961"/>
    <w:rsid w:val="00C055A1"/>
    <w:rsid w:val="00C11BC3"/>
    <w:rsid w:val="00C11D2B"/>
    <w:rsid w:val="00C17388"/>
    <w:rsid w:val="00C206ED"/>
    <w:rsid w:val="00C217D5"/>
    <w:rsid w:val="00C234EF"/>
    <w:rsid w:val="00C307E5"/>
    <w:rsid w:val="00C61A42"/>
    <w:rsid w:val="00C63784"/>
    <w:rsid w:val="00C665B4"/>
    <w:rsid w:val="00C71268"/>
    <w:rsid w:val="00C75B28"/>
    <w:rsid w:val="00C762CA"/>
    <w:rsid w:val="00C83C1A"/>
    <w:rsid w:val="00C90488"/>
    <w:rsid w:val="00C90FBF"/>
    <w:rsid w:val="00C957F6"/>
    <w:rsid w:val="00CA24FE"/>
    <w:rsid w:val="00CA4E64"/>
    <w:rsid w:val="00CB7A70"/>
    <w:rsid w:val="00CC09E5"/>
    <w:rsid w:val="00CC51DA"/>
    <w:rsid w:val="00CD6DCF"/>
    <w:rsid w:val="00CE33B0"/>
    <w:rsid w:val="00CE7BFF"/>
    <w:rsid w:val="00CF2399"/>
    <w:rsid w:val="00CF3DD6"/>
    <w:rsid w:val="00CF509B"/>
    <w:rsid w:val="00CF7DF1"/>
    <w:rsid w:val="00D06B46"/>
    <w:rsid w:val="00D16C7E"/>
    <w:rsid w:val="00D17DF3"/>
    <w:rsid w:val="00D201BD"/>
    <w:rsid w:val="00D21479"/>
    <w:rsid w:val="00D2358D"/>
    <w:rsid w:val="00D25962"/>
    <w:rsid w:val="00D33F3A"/>
    <w:rsid w:val="00D4484C"/>
    <w:rsid w:val="00D53AC2"/>
    <w:rsid w:val="00D54B78"/>
    <w:rsid w:val="00D7609C"/>
    <w:rsid w:val="00D7673F"/>
    <w:rsid w:val="00D81D7A"/>
    <w:rsid w:val="00D96A77"/>
    <w:rsid w:val="00DA076B"/>
    <w:rsid w:val="00DA1BF9"/>
    <w:rsid w:val="00DA443C"/>
    <w:rsid w:val="00DA4831"/>
    <w:rsid w:val="00DA546B"/>
    <w:rsid w:val="00DA5691"/>
    <w:rsid w:val="00DC2AFC"/>
    <w:rsid w:val="00DE0CC2"/>
    <w:rsid w:val="00DE7D42"/>
    <w:rsid w:val="00DF0951"/>
    <w:rsid w:val="00DF3C2A"/>
    <w:rsid w:val="00DF59E8"/>
    <w:rsid w:val="00DF60AB"/>
    <w:rsid w:val="00DF7204"/>
    <w:rsid w:val="00E01F0F"/>
    <w:rsid w:val="00E03F11"/>
    <w:rsid w:val="00E04258"/>
    <w:rsid w:val="00E07D70"/>
    <w:rsid w:val="00E377B4"/>
    <w:rsid w:val="00E42C13"/>
    <w:rsid w:val="00E42DE7"/>
    <w:rsid w:val="00E447EA"/>
    <w:rsid w:val="00E54057"/>
    <w:rsid w:val="00E56D7E"/>
    <w:rsid w:val="00E62601"/>
    <w:rsid w:val="00E651F4"/>
    <w:rsid w:val="00E712E4"/>
    <w:rsid w:val="00E7522E"/>
    <w:rsid w:val="00E756BB"/>
    <w:rsid w:val="00E82A61"/>
    <w:rsid w:val="00E86BFA"/>
    <w:rsid w:val="00E9136E"/>
    <w:rsid w:val="00E92569"/>
    <w:rsid w:val="00E9689B"/>
    <w:rsid w:val="00EA0FDD"/>
    <w:rsid w:val="00EA3993"/>
    <w:rsid w:val="00EA4938"/>
    <w:rsid w:val="00EB70D6"/>
    <w:rsid w:val="00EC48E7"/>
    <w:rsid w:val="00EC7F71"/>
    <w:rsid w:val="00ED1769"/>
    <w:rsid w:val="00ED2198"/>
    <w:rsid w:val="00ED2963"/>
    <w:rsid w:val="00ED4E74"/>
    <w:rsid w:val="00EE3275"/>
    <w:rsid w:val="00EF7239"/>
    <w:rsid w:val="00F00F32"/>
    <w:rsid w:val="00F0322D"/>
    <w:rsid w:val="00F0408E"/>
    <w:rsid w:val="00F22E87"/>
    <w:rsid w:val="00F40BD5"/>
    <w:rsid w:val="00F45E29"/>
    <w:rsid w:val="00F503E6"/>
    <w:rsid w:val="00F60260"/>
    <w:rsid w:val="00F651BF"/>
    <w:rsid w:val="00F6601D"/>
    <w:rsid w:val="00F71A9E"/>
    <w:rsid w:val="00F739B0"/>
    <w:rsid w:val="00F9603E"/>
    <w:rsid w:val="00FA2749"/>
    <w:rsid w:val="00FA3378"/>
    <w:rsid w:val="00FA4017"/>
    <w:rsid w:val="00FA67ED"/>
    <w:rsid w:val="00FB0E1B"/>
    <w:rsid w:val="00FB16F3"/>
    <w:rsid w:val="00FB45EE"/>
    <w:rsid w:val="00FB5467"/>
    <w:rsid w:val="00FB7C20"/>
    <w:rsid w:val="00FC66CE"/>
    <w:rsid w:val="00FD0EE2"/>
    <w:rsid w:val="00FD598D"/>
    <w:rsid w:val="00FD7A66"/>
    <w:rsid w:val="00FE1203"/>
    <w:rsid w:val="00FE1DCB"/>
    <w:rsid w:val="00FE2E48"/>
    <w:rsid w:val="00FE3091"/>
    <w:rsid w:val="00FE7A40"/>
    <w:rsid w:val="16B103A0"/>
    <w:rsid w:val="1AF71C15"/>
    <w:rsid w:val="1C536BC3"/>
    <w:rsid w:val="30C072D4"/>
    <w:rsid w:val="4DE93206"/>
    <w:rsid w:val="74944F36"/>
    <w:rsid w:val="753027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宋体"/>
      <w:kern w:val="0"/>
      <w:sz w:val="24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7"/>
    <w:link w:val="2"/>
    <w:uiPriority w:val="99"/>
    <w:rPr>
      <w:kern w:val="2"/>
      <w:sz w:val="18"/>
      <w:szCs w:val="18"/>
    </w:rPr>
  </w:style>
  <w:style w:type="paragraph" w:customStyle="1" w:styleId="10">
    <w:name w:val="正文1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customStyle="1" w:styleId="11">
    <w:name w:val="Table Normal"/>
    <w:semiHidden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9</Pages>
  <Words>2654</Words>
  <Characters>2717</Characters>
  <Lines>22</Lines>
  <Paragraphs>6</Paragraphs>
  <TotalTime>163</TotalTime>
  <ScaleCrop>false</ScaleCrop>
  <LinksUpToDate>false</LinksUpToDate>
  <CharactersWithSpaces>2757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2022-01-19T08:05:00Z</dcterms:created>
  <dc:creator>China</dc:creator>
  <cp:lastModifiedBy>Administrator</cp:lastModifiedBy>
  <dcterms:modified xsi:type="dcterms:W3CDTF">2023-08-25T00:35:01Z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A1394CDA91444C27AB9C614BA636296F</vt:lpwstr>
  </property>
</Properties>
</file>