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临淄区审计局2023年政府信息公开工作年度报告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2023年1月1日到12月31日止。如对报告内容有疑问，请与淄博市临淄区审计局联系（地址：临淄区牛山路419号；邮编：255400；邮箱：lzqsjjbgs@zb.shandong.cn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ascii="黑体" w:hAnsi="宋体" w:eastAsia="黑体" w:cs="黑体"/>
          <w:sz w:val="32"/>
          <w:szCs w:val="32"/>
        </w:rPr>
        <w:t>    </w:t>
      </w:r>
      <w:r>
        <w:rPr>
          <w:rFonts w:hint="eastAsia" w:ascii="黑体" w:hAnsi="宋体" w:eastAsia="黑体" w:cs="黑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2023年以来,临淄区审计局认真贯彻落实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全面贯彻落实党的二十大和二十届二中全会精神，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以习近平新时代中国特色社会主义思想为指导，认真落实各级关于全面推进政务公开工作的决策部署，严格执行政府信息公开条例及相关配套制度，以提升政务公开质量为主线，切实增强政务公开实效。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主动公开信息情况。2023年，临淄区审计局严格按照相关法律法规要求落实政府信息公开工作。通过政府公开信息网共发布政府信息20条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。其中，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单位2条、部门及镇政府预算5条、部门领导分工1条、审计工作报告1条、专项审计结果1条、其他1条、执法结果2条、执法统计年报1条、年度审计整改报告1条、行政执法服务指南1条、预算执行审计报告1条、执法人员资格清单1条、政府信息公开制度1条、业务工作1条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。（以下为部分主动公开信息截图）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（二）依申请公开工作情况。2023年我局收到依申请公开</w:t>
      </w:r>
      <w:r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0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（三）政府信息管理情况。立足审计实际，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明确全年重点工作和责任分工，对标职能范围内开展各项工作，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认真落实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法律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法规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，规范公开内容，按照“先审查、后公开”的原则，严格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把关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政府信息公开保密审查，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把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公开信息不涉密、涉密信息不公开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落到实处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（四）政府信息公开平台建设情况。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区审计局持续加强政府门户网站和政务新媒体建设和监管，及时调整优化政府信息公开平台栏目设置，优化业务公开、部门会议等专题;充分发挥政府网站宣传公开作用，不断扩大我局新媒体官方账号影响力，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政府信息公开监督保障情况。成立由局主要负责人任组长，分管负责人任副组长的政府信息公开工作领导小组。下设办公室，由办公室主任负责协调并抓好各项具体工作的落实，各科室明确具体负责人，认真落实政务公开信息维护更新工作。制定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2023年政务公开培训计划，开展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政务公开业务培训，组织政务信息公开相关的工作人员集中学习、交流讨论，全面学习贯彻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信息公开相关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规章制度，监督保障信息公开质量。</w:t>
      </w:r>
    </w:p>
    <w:p>
      <w:pPr>
        <w:pStyle w:val="4"/>
        <w:keepNext w:val="0"/>
        <w:keepLines w:val="0"/>
        <w:widowControl/>
        <w:suppressLineNumbers w:val="0"/>
        <w:ind w:left="0" w:firstLine="648"/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124" w:type="dxa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4"/>
        <w:gridCol w:w="1686"/>
        <w:gridCol w:w="1803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8" w:space="0"/>
              <w:bottom w:val="single" w:color="64647C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2" w:beforeAutospacing="0"/>
              <w:ind w:left="-1" w:right="1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07790" w:sz="8" w:space="0"/>
              <w:right w:val="single" w:color="7C7C8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5" w:beforeAutospacing="0"/>
              <w:ind w:right="27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8" w:space="0"/>
              <w:left w:val="nil"/>
              <w:bottom w:val="single" w:color="707790" w:sz="8" w:space="0"/>
              <w:right w:val="single" w:color="77778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5" w:beforeAutospacing="0"/>
              <w:ind w:left="216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60606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5" w:beforeAutospacing="0"/>
              <w:ind w:left="275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0" w:before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47487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7" w:beforeAutospacing="0"/>
              <w:ind w:left="93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747487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4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74778C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5B6080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left="93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行政规范性文件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5B6080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B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5B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46B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0" w:beforeAutospacing="0"/>
              <w:ind w:left="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0676B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right="17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8" w:space="0"/>
              <w:left w:val="nil"/>
              <w:bottom w:val="single" w:color="7C74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2" w:beforeAutospacing="0"/>
              <w:ind w:right="16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487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0" w:beforeAutospacing="0"/>
              <w:ind w:left="98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4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070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2" w:beforeAutospacing="0"/>
              <w:ind w:left="1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C77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2" w:beforeAutospacing="0"/>
              <w:ind w:right="8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8" w:space="0"/>
              <w:left w:val="nil"/>
              <w:bottom w:val="single" w:color="7470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2" w:beforeAutospacing="0"/>
              <w:ind w:right="13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C6B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9" w:beforeAutospacing="0"/>
              <w:ind w:left="102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7C6B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080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left="107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nil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2" w:beforeAutospacing="0"/>
              <w:ind w:left="2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（八）</w:t>
            </w:r>
            <w:r>
              <w:rPr>
                <w:rFonts w:hint="default"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single" w:color="6B747C" w:sz="8" w:space="0"/>
              <w:left w:val="single" w:color="5B5B60" w:sz="8" w:space="0"/>
              <w:bottom w:val="single" w:color="77778C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5" w:beforeAutospacing="0"/>
              <w:ind w:right="1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5" w:beforeAutospacing="0"/>
              <w:ind w:left="1446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本年收费金额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</w:t>
            </w:r>
            <w:r>
              <w:rPr>
                <w:rFonts w:hint="default"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284" w:type="dxa"/>
            <w:tcBorders>
              <w:top w:val="nil"/>
              <w:left w:val="single" w:color="5B5B60" w:sz="8" w:space="0"/>
              <w:bottom w:val="single" w:color="3B383F" w:sz="8" w:space="0"/>
              <w:right w:val="single" w:color="8C8C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left="107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3B383F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3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510"/>
        <w:gridCol w:w="2599"/>
        <w:gridCol w:w="552"/>
        <w:gridCol w:w="688"/>
        <w:gridCol w:w="687"/>
        <w:gridCol w:w="688"/>
        <w:gridCol w:w="688"/>
        <w:gridCol w:w="690"/>
        <w:gridCol w:w="6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3.其他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7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08"/>
        <w:gridCol w:w="709"/>
        <w:gridCol w:w="706"/>
        <w:gridCol w:w="428"/>
        <w:gridCol w:w="708"/>
        <w:gridCol w:w="709"/>
        <w:gridCol w:w="709"/>
        <w:gridCol w:w="709"/>
        <w:gridCol w:w="426"/>
        <w:gridCol w:w="709"/>
        <w:gridCol w:w="708"/>
        <w:gridCol w:w="709"/>
        <w:gridCol w:w="694"/>
        <w:gridCol w:w="4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0"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（一）存在的问题。一是信息公开不够及时。主动公开的政务信息存在公开不全、更新不及时、公开内容和范围把握不准等情况。二是政策文件解读工作有待进一步加强，解读形式和解读质量需要改进提高。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（二）改进措施。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开展培训，明确职责。不定期召开系统培训会。每科室明确一名政务公开联系人，每月月底向局办公室政务公开经办人员提供相关政务公开文件，确保政务公开工作高效、有序完成。二是强化审核，及时发布。根据政务信息公开范围，及时发布和更新依法主动公开的政务信息以及依申请公开等等，确保政务信息及时公开。切实加强政务信息公开规范化建设，进一步提高政务信息公开工作水平。</w:t>
      </w:r>
      <w:r>
        <w:rPr>
          <w:rFonts w:hint="eastAsia" w:ascii="仿宋" w:hAnsi="仿宋" w:eastAsia="仿宋" w:cs="仿宋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是不断丰富政策解读形式，深入挖掘短视频、动画、图解等群众喜闻乐见的方式，扩大公开渠道，动适应全媒体时代信息传播的新特点和新要求，加强政策文件解读形式和质量。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（一）收取信息处理费情况。本年度未有收取信息处理费情况。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（二）人大代表建议和政协提案办理情况。2023年，临淄区审计局承办人大代表建议0件，承办政协提案0件。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年度工作要点落实情况。区审计局严格落实政务公开主体责任，对照《2023年临淄区政务公开重点工作任务分解表》，聚焦工作任务，建立工作台账，细化工作举措，扎实做好信息公开日常工作。强化政策解读。做好重大政策解读，确保各项信息栏目清晰、要素齐全、更新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（四）政务公开工作创新情况。</w:t>
      </w:r>
      <w:r>
        <w:rPr>
          <w:rFonts w:hint="eastAsia" w:ascii="仿宋_GB2312" w:eastAsia="仿宋_GB2312" w:cs="仿宋_GB2312" w:hAnsiTheme="minorHAnsi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本年度暂无关于政务公开工作的创新。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57B6E-96FC-4C38-B211-BE01DC073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4A1476-5AB7-4A52-B81A-2C533AD8D3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AEC7D7-BC1A-4E5B-9880-ACF4EB3BBF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C69701-B579-4802-8D3C-58EA2CB407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12A26D-37CD-4D80-937B-377E51ADC79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98B11"/>
    <w:multiLevelType w:val="singleLevel"/>
    <w:tmpl w:val="94598B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jMwNTU1OThhZDcyODRjZDFiNDg1YTMxM2Y2MzMifQ=="/>
  </w:docVars>
  <w:rsids>
    <w:rsidRoot w:val="00000000"/>
    <w:rsid w:val="063C5A33"/>
    <w:rsid w:val="1A306A2C"/>
    <w:rsid w:val="28C23431"/>
    <w:rsid w:val="3DBF33AD"/>
    <w:rsid w:val="42DC3E66"/>
    <w:rsid w:val="49D72799"/>
    <w:rsid w:val="4CDB65A8"/>
    <w:rsid w:val="5F8108E9"/>
    <w:rsid w:val="5F9A56A9"/>
    <w:rsid w:val="644A082C"/>
    <w:rsid w:val="6B1D240A"/>
    <w:rsid w:val="7F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2024-01-17T22:58:00Z</dcterms:created>
  <dc:creator>DELL</dc:creator>
  <cp:lastModifiedBy>晨光曦微</cp:lastModifiedBy>
  <dcterms:modified xsi:type="dcterms:W3CDTF">2024-01-23T08:07:03Z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66518CA236474F7287A91EC004E4B780_12</vt:lpwstr>
  </property>
</Properties>
</file>