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E91B" w14:textId="77777777" w:rsidR="006D7DDB" w:rsidRDefault="00000000">
      <w:pPr>
        <w:snapToGrid w:val="0"/>
        <w:spacing w:line="58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2023年5月31日淄博市生态环境局临淄分局关于淄博市临淄区中医医院环境影响评价文件 拟审批公示</w:t>
      </w:r>
    </w:p>
    <w:p w14:paraId="3E83A878" w14:textId="77777777" w:rsidR="006D7DDB" w:rsidRDefault="00000000">
      <w:pPr>
        <w:pStyle w:val="a4"/>
        <w:spacing w:line="276" w:lineRule="auto"/>
        <w:ind w:firstLine="540"/>
        <w:rPr>
          <w:rFonts w:ascii="仿宋" w:eastAsia="仿宋" w:hAnsi="仿宋" w:cs="仿宋"/>
          <w:color w:val="000000"/>
          <w:kern w:val="2"/>
          <w:sz w:val="32"/>
          <w:szCs w:val="32"/>
        </w:rPr>
      </w:pPr>
      <w:r>
        <w:rPr>
          <w:rFonts w:ascii="仿宋" w:eastAsia="仿宋" w:hAnsi="仿宋" w:cs="仿宋" w:hint="eastAsia"/>
          <w:color w:val="000000"/>
          <w:kern w:val="2"/>
          <w:sz w:val="32"/>
          <w:szCs w:val="32"/>
        </w:rPr>
        <w:t xml:space="preserve">根据建设项目环境影响评价审批程序的有关规定，我局拟对淄博市临淄区中医医院DSA装置应用项目环境影响评价文件进行审批。现将拟审批的环境影响评价文件基本情况予以公示，公示时间：2023年5月31日—2023年6月6日（5个工作日） </w:t>
      </w:r>
    </w:p>
    <w:p w14:paraId="5BE2E081" w14:textId="77777777" w:rsidR="006D7DDB" w:rsidRDefault="00000000">
      <w:pPr>
        <w:pStyle w:val="a4"/>
        <w:spacing w:line="276" w:lineRule="auto"/>
        <w:ind w:firstLine="540"/>
        <w:rPr>
          <w:rFonts w:ascii="仿宋" w:eastAsia="仿宋" w:hAnsi="仿宋" w:cs="仿宋"/>
          <w:color w:val="000000"/>
          <w:kern w:val="2"/>
          <w:sz w:val="32"/>
          <w:szCs w:val="32"/>
        </w:rPr>
      </w:pPr>
      <w:r>
        <w:rPr>
          <w:rFonts w:ascii="仿宋" w:eastAsia="仿宋" w:hAnsi="仿宋" w:cs="仿宋" w:hint="eastAsia"/>
          <w:color w:val="000000"/>
          <w:kern w:val="2"/>
          <w:sz w:val="32"/>
          <w:szCs w:val="32"/>
        </w:rPr>
        <w:t>听证权利告知：依据《</w:t>
      </w:r>
      <w:hyperlink r:id="rId4" w:tgtFrame="http://www.linzi.gov.cn/gongkai/site_lzqsthjj/channel_5fbf128f6d6c95cbda329607/_blank" w:history="1">
        <w:r>
          <w:rPr>
            <w:rFonts w:ascii="仿宋" w:eastAsia="仿宋" w:hAnsi="仿宋" w:cs="仿宋" w:hint="eastAsia"/>
            <w:color w:val="000000"/>
            <w:kern w:val="2"/>
            <w:sz w:val="32"/>
            <w:szCs w:val="32"/>
          </w:rPr>
          <w:t>中华人民共和国行政许可法</w:t>
        </w:r>
      </w:hyperlink>
      <w:r>
        <w:rPr>
          <w:rFonts w:ascii="仿宋" w:eastAsia="仿宋" w:hAnsi="仿宋" w:cs="仿宋" w:hint="eastAsia"/>
          <w:color w:val="000000"/>
          <w:kern w:val="2"/>
          <w:sz w:val="32"/>
          <w:szCs w:val="32"/>
        </w:rPr>
        <w:t>》，自公示起五日内申请人、利害关系人可提出听证申请。</w:t>
      </w:r>
    </w:p>
    <w:p w14:paraId="29CB97B2" w14:textId="77777777" w:rsidR="006D7DDB" w:rsidRDefault="00000000">
      <w:pPr>
        <w:pStyle w:val="a4"/>
        <w:spacing w:line="276" w:lineRule="auto"/>
        <w:ind w:firstLineChars="200" w:firstLine="640"/>
        <w:rPr>
          <w:rFonts w:ascii="仿宋" w:eastAsia="仿宋" w:hAnsi="仿宋" w:cs="仿宋"/>
          <w:color w:val="000000"/>
          <w:kern w:val="2"/>
          <w:sz w:val="32"/>
          <w:szCs w:val="32"/>
        </w:rPr>
      </w:pPr>
      <w:r>
        <w:rPr>
          <w:rFonts w:ascii="仿宋" w:eastAsia="仿宋" w:hAnsi="仿宋" w:cs="仿宋" w:hint="eastAsia"/>
          <w:color w:val="000000"/>
          <w:kern w:val="2"/>
          <w:sz w:val="32"/>
          <w:szCs w:val="32"/>
        </w:rPr>
        <w:t>通讯地址：临淄大道971号</w:t>
      </w:r>
    </w:p>
    <w:p w14:paraId="0287518C" w14:textId="77777777" w:rsidR="006D7DDB" w:rsidRDefault="00000000">
      <w:pPr>
        <w:pStyle w:val="a4"/>
        <w:ind w:firstLineChars="200" w:firstLine="640"/>
        <w:rPr>
          <w:rFonts w:ascii="仿宋" w:eastAsia="仿宋" w:hAnsi="仿宋" w:cs="仿宋"/>
          <w:color w:val="000000"/>
          <w:kern w:val="2"/>
          <w:sz w:val="32"/>
          <w:szCs w:val="32"/>
        </w:rPr>
      </w:pPr>
      <w:r>
        <w:rPr>
          <w:rFonts w:ascii="仿宋" w:eastAsia="仿宋" w:hAnsi="仿宋" w:cs="仿宋" w:hint="eastAsia"/>
          <w:color w:val="000000"/>
          <w:kern w:val="2"/>
          <w:sz w:val="32"/>
          <w:szCs w:val="32"/>
        </w:rPr>
        <w:t>联系电话：0533-7177803</w:t>
      </w:r>
    </w:p>
    <w:p w14:paraId="1C501F16" w14:textId="77777777" w:rsidR="006D7DDB" w:rsidRDefault="00000000">
      <w:pPr>
        <w:pStyle w:val="a4"/>
        <w:spacing w:line="276" w:lineRule="auto"/>
        <w:ind w:firstLineChars="200" w:firstLine="640"/>
        <w:rPr>
          <w:rFonts w:ascii="仿宋" w:eastAsia="仿宋" w:hAnsi="仿宋" w:cs="仿宋"/>
          <w:color w:val="000000"/>
          <w:kern w:val="2"/>
          <w:sz w:val="32"/>
          <w:szCs w:val="32"/>
        </w:rPr>
      </w:pPr>
      <w:r>
        <w:rPr>
          <w:rFonts w:ascii="仿宋" w:eastAsia="仿宋" w:hAnsi="仿宋" w:cs="仿宋" w:hint="eastAsia"/>
          <w:color w:val="000000"/>
          <w:kern w:val="2"/>
          <w:sz w:val="32"/>
          <w:szCs w:val="32"/>
        </w:rPr>
        <w:t>电子邮箱：lzhbfjxkk@zb.shandong.cn</w:t>
      </w:r>
    </w:p>
    <w:tbl>
      <w:tblPr>
        <w:tblW w:w="137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567"/>
        <w:gridCol w:w="708"/>
        <w:gridCol w:w="567"/>
        <w:gridCol w:w="567"/>
        <w:gridCol w:w="1418"/>
        <w:gridCol w:w="8647"/>
        <w:gridCol w:w="708"/>
        <w:gridCol w:w="263"/>
      </w:tblGrid>
      <w:tr w:rsidR="006D7DDB" w14:paraId="71096098" w14:textId="77777777">
        <w:trPr>
          <w:cantSplit/>
          <w:trHeight w:val="951"/>
          <w:tblHeader/>
          <w:tblCellSpacing w:w="0" w:type="dxa"/>
          <w:jc w:val="center"/>
        </w:trPr>
        <w:tc>
          <w:tcPr>
            <w:tcW w:w="340" w:type="dxa"/>
            <w:tcBorders>
              <w:top w:val="single" w:sz="4" w:space="0" w:color="auto"/>
              <w:left w:val="single" w:sz="4" w:space="0" w:color="auto"/>
              <w:bottom w:val="single" w:sz="4" w:space="0" w:color="auto"/>
              <w:right w:val="single" w:sz="4" w:space="0" w:color="auto"/>
            </w:tcBorders>
            <w:vAlign w:val="center"/>
          </w:tcPr>
          <w:p w14:paraId="48C53D73" w14:textId="77777777" w:rsidR="006D7DDB" w:rsidRDefault="00000000">
            <w:pPr>
              <w:widowControl/>
              <w:jc w:val="center"/>
              <w:rPr>
                <w:rFonts w:ascii="仿宋_GB2312" w:eastAsia="仿宋_GB2312" w:hAnsi="宋体"/>
                <w:b/>
                <w:kern w:val="0"/>
                <w:sz w:val="24"/>
              </w:rPr>
            </w:pPr>
            <w:r>
              <w:rPr>
                <w:rFonts w:ascii="仿宋_GB2312" w:eastAsia="仿宋_GB2312" w:hAnsi="宋体" w:hint="eastAsia"/>
                <w:b/>
                <w:kern w:val="0"/>
                <w:sz w:val="24"/>
              </w:rPr>
              <w:lastRenderedPageBreak/>
              <w:t>序号</w:t>
            </w:r>
          </w:p>
        </w:tc>
        <w:tc>
          <w:tcPr>
            <w:tcW w:w="567" w:type="dxa"/>
            <w:tcBorders>
              <w:top w:val="single" w:sz="4" w:space="0" w:color="auto"/>
              <w:left w:val="single" w:sz="4" w:space="0" w:color="auto"/>
              <w:bottom w:val="single" w:sz="4" w:space="0" w:color="auto"/>
              <w:right w:val="single" w:sz="4" w:space="0" w:color="auto"/>
            </w:tcBorders>
            <w:vAlign w:val="center"/>
          </w:tcPr>
          <w:p w14:paraId="51D346EF" w14:textId="77777777" w:rsidR="006D7DDB" w:rsidRDefault="00000000">
            <w:pPr>
              <w:widowControl/>
              <w:jc w:val="center"/>
              <w:rPr>
                <w:rFonts w:ascii="仿宋_GB2312" w:eastAsia="仿宋_GB2312" w:hAnsi="宋体"/>
                <w:b/>
                <w:kern w:val="0"/>
                <w:sz w:val="24"/>
              </w:rPr>
            </w:pPr>
            <w:r>
              <w:rPr>
                <w:rFonts w:ascii="仿宋_GB2312" w:eastAsia="仿宋_GB2312" w:hAnsi="宋体" w:hint="eastAsia"/>
                <w:b/>
                <w:kern w:val="0"/>
                <w:sz w:val="24"/>
              </w:rPr>
              <w:t>项目名称</w:t>
            </w:r>
          </w:p>
        </w:tc>
        <w:tc>
          <w:tcPr>
            <w:tcW w:w="708" w:type="dxa"/>
            <w:tcBorders>
              <w:top w:val="single" w:sz="4" w:space="0" w:color="auto"/>
              <w:left w:val="single" w:sz="4" w:space="0" w:color="auto"/>
              <w:bottom w:val="single" w:sz="4" w:space="0" w:color="auto"/>
              <w:right w:val="single" w:sz="4" w:space="0" w:color="auto"/>
            </w:tcBorders>
            <w:vAlign w:val="center"/>
          </w:tcPr>
          <w:p w14:paraId="315516B7" w14:textId="77777777" w:rsidR="006D7DDB" w:rsidRDefault="00000000">
            <w:pPr>
              <w:widowControl/>
              <w:jc w:val="center"/>
              <w:rPr>
                <w:rFonts w:ascii="仿宋_GB2312" w:eastAsia="仿宋_GB2312" w:hAnsi="宋体"/>
                <w:b/>
                <w:kern w:val="0"/>
                <w:sz w:val="24"/>
              </w:rPr>
            </w:pPr>
            <w:r>
              <w:rPr>
                <w:rFonts w:ascii="仿宋_GB2312" w:eastAsia="仿宋_GB2312" w:hAnsi="宋体" w:hint="eastAsia"/>
                <w:b/>
                <w:kern w:val="0"/>
                <w:sz w:val="24"/>
              </w:rPr>
              <w:t>建设地点</w:t>
            </w:r>
          </w:p>
        </w:tc>
        <w:tc>
          <w:tcPr>
            <w:tcW w:w="567" w:type="dxa"/>
            <w:tcBorders>
              <w:top w:val="single" w:sz="4" w:space="0" w:color="auto"/>
              <w:left w:val="single" w:sz="4" w:space="0" w:color="auto"/>
              <w:bottom w:val="single" w:sz="4" w:space="0" w:color="auto"/>
              <w:right w:val="single" w:sz="4" w:space="0" w:color="auto"/>
            </w:tcBorders>
            <w:vAlign w:val="center"/>
          </w:tcPr>
          <w:p w14:paraId="285546CB" w14:textId="77777777" w:rsidR="006D7DDB" w:rsidRDefault="00000000">
            <w:pPr>
              <w:widowControl/>
              <w:jc w:val="center"/>
              <w:rPr>
                <w:rFonts w:ascii="仿宋_GB2312" w:eastAsia="仿宋_GB2312" w:hAnsi="宋体"/>
                <w:b/>
                <w:kern w:val="0"/>
                <w:sz w:val="24"/>
              </w:rPr>
            </w:pPr>
            <w:r>
              <w:rPr>
                <w:rFonts w:ascii="仿宋_GB2312" w:eastAsia="仿宋_GB2312" w:hAnsi="宋体" w:hint="eastAsia"/>
                <w:b/>
                <w:kern w:val="0"/>
                <w:sz w:val="24"/>
              </w:rPr>
              <w:t>建设单位</w:t>
            </w:r>
          </w:p>
        </w:tc>
        <w:tc>
          <w:tcPr>
            <w:tcW w:w="567" w:type="dxa"/>
            <w:tcBorders>
              <w:top w:val="single" w:sz="4" w:space="0" w:color="auto"/>
              <w:left w:val="single" w:sz="4" w:space="0" w:color="auto"/>
              <w:bottom w:val="single" w:sz="4" w:space="0" w:color="auto"/>
              <w:right w:val="single" w:sz="4" w:space="0" w:color="auto"/>
            </w:tcBorders>
            <w:vAlign w:val="center"/>
          </w:tcPr>
          <w:p w14:paraId="6A89AB31" w14:textId="77777777" w:rsidR="006D7DDB" w:rsidRDefault="00000000">
            <w:pPr>
              <w:widowControl/>
              <w:rPr>
                <w:rFonts w:ascii="仿宋_GB2312" w:eastAsia="仿宋_GB2312" w:hAnsi="宋体"/>
                <w:b/>
                <w:kern w:val="0"/>
                <w:sz w:val="24"/>
              </w:rPr>
            </w:pPr>
            <w:r>
              <w:rPr>
                <w:rFonts w:ascii="仿宋_GB2312" w:eastAsia="仿宋_GB2312" w:hAnsi="宋体" w:hint="eastAsia"/>
                <w:b/>
                <w:kern w:val="0"/>
                <w:sz w:val="24"/>
              </w:rPr>
              <w:t>环境影响评价机构</w:t>
            </w:r>
          </w:p>
        </w:tc>
        <w:tc>
          <w:tcPr>
            <w:tcW w:w="1418" w:type="dxa"/>
            <w:tcBorders>
              <w:top w:val="single" w:sz="4" w:space="0" w:color="auto"/>
              <w:left w:val="single" w:sz="4" w:space="0" w:color="auto"/>
              <w:bottom w:val="single" w:sz="4" w:space="0" w:color="auto"/>
              <w:right w:val="single" w:sz="4" w:space="0" w:color="auto"/>
            </w:tcBorders>
            <w:vAlign w:val="center"/>
          </w:tcPr>
          <w:p w14:paraId="3E7961A6" w14:textId="77777777" w:rsidR="006D7DDB" w:rsidRDefault="00000000">
            <w:pPr>
              <w:widowControl/>
              <w:rPr>
                <w:rFonts w:ascii="仿宋_GB2312" w:eastAsia="仿宋_GB2312" w:hAnsi="宋体"/>
                <w:b/>
                <w:kern w:val="0"/>
                <w:sz w:val="24"/>
              </w:rPr>
            </w:pPr>
            <w:r>
              <w:rPr>
                <w:rFonts w:ascii="仿宋_GB2312" w:eastAsia="仿宋_GB2312" w:hAnsi="宋体" w:hint="eastAsia"/>
                <w:b/>
                <w:kern w:val="0"/>
                <w:sz w:val="24"/>
              </w:rPr>
              <w:t>项目概况</w:t>
            </w:r>
          </w:p>
        </w:tc>
        <w:tc>
          <w:tcPr>
            <w:tcW w:w="8647" w:type="dxa"/>
            <w:tcBorders>
              <w:top w:val="single" w:sz="4" w:space="0" w:color="auto"/>
              <w:left w:val="single" w:sz="4" w:space="0" w:color="auto"/>
              <w:bottom w:val="single" w:sz="4" w:space="0" w:color="auto"/>
              <w:right w:val="single" w:sz="4" w:space="0" w:color="auto"/>
            </w:tcBorders>
          </w:tcPr>
          <w:p w14:paraId="51A3F7E4" w14:textId="77777777" w:rsidR="006D7DDB" w:rsidRDefault="006D7DDB">
            <w:pPr>
              <w:widowControl/>
              <w:ind w:firstLineChars="100" w:firstLine="241"/>
              <w:rPr>
                <w:rStyle w:val="a5"/>
                <w:rFonts w:ascii="仿宋_GB2312" w:eastAsia="仿宋_GB2312"/>
                <w:color w:val="333333"/>
                <w:sz w:val="24"/>
              </w:rPr>
            </w:pPr>
          </w:p>
          <w:p w14:paraId="1A69D6D3" w14:textId="77777777" w:rsidR="006D7DDB" w:rsidRDefault="00000000">
            <w:pPr>
              <w:widowControl/>
              <w:ind w:firstLineChars="200" w:firstLine="482"/>
              <w:rPr>
                <w:rFonts w:ascii="仿宋_GB2312" w:eastAsia="仿宋_GB2312" w:hAnsi="宋体"/>
                <w:b/>
                <w:kern w:val="0"/>
                <w:sz w:val="24"/>
              </w:rPr>
            </w:pPr>
            <w:r>
              <w:rPr>
                <w:rStyle w:val="a5"/>
                <w:rFonts w:ascii="仿宋_GB2312" w:eastAsia="仿宋_GB2312" w:hint="eastAsia"/>
                <w:color w:val="333333"/>
                <w:sz w:val="24"/>
              </w:rPr>
              <w:t>主要环境影响及预防或者减轻不良环境影响的对策和措施</w:t>
            </w:r>
          </w:p>
        </w:tc>
        <w:tc>
          <w:tcPr>
            <w:tcW w:w="708" w:type="dxa"/>
            <w:tcBorders>
              <w:top w:val="single" w:sz="4" w:space="0" w:color="auto"/>
              <w:left w:val="single" w:sz="4" w:space="0" w:color="auto"/>
              <w:bottom w:val="single" w:sz="4" w:space="0" w:color="auto"/>
              <w:right w:val="single" w:sz="4" w:space="0" w:color="auto"/>
            </w:tcBorders>
          </w:tcPr>
          <w:p w14:paraId="69630CD4" w14:textId="77777777" w:rsidR="006D7DDB" w:rsidRDefault="00000000">
            <w:pPr>
              <w:widowControl/>
              <w:jc w:val="center"/>
              <w:rPr>
                <w:rStyle w:val="a5"/>
                <w:rFonts w:ascii="仿宋_GB2312" w:eastAsia="仿宋_GB2312"/>
                <w:sz w:val="24"/>
              </w:rPr>
            </w:pPr>
            <w:r>
              <w:rPr>
                <w:rStyle w:val="a5"/>
                <w:rFonts w:ascii="仿宋_GB2312" w:eastAsia="仿宋_GB2312" w:hint="eastAsia"/>
                <w:color w:val="333333"/>
                <w:sz w:val="24"/>
              </w:rPr>
              <w:t>公众参与情况</w:t>
            </w:r>
          </w:p>
        </w:tc>
        <w:tc>
          <w:tcPr>
            <w:tcW w:w="263" w:type="dxa"/>
            <w:tcBorders>
              <w:top w:val="single" w:sz="4" w:space="0" w:color="auto"/>
              <w:left w:val="single" w:sz="4" w:space="0" w:color="auto"/>
              <w:bottom w:val="single" w:sz="4" w:space="0" w:color="auto"/>
              <w:right w:val="single" w:sz="4" w:space="0" w:color="auto"/>
            </w:tcBorders>
            <w:vAlign w:val="center"/>
          </w:tcPr>
          <w:p w14:paraId="17F0195A" w14:textId="77777777" w:rsidR="006D7DDB" w:rsidRDefault="00000000">
            <w:pPr>
              <w:widowControl/>
              <w:jc w:val="center"/>
              <w:rPr>
                <w:rFonts w:ascii="仿宋_GB2312" w:eastAsia="仿宋_GB2312" w:hAnsi="宋体"/>
                <w:b/>
                <w:kern w:val="0"/>
                <w:sz w:val="24"/>
              </w:rPr>
            </w:pPr>
            <w:r>
              <w:rPr>
                <w:rStyle w:val="a5"/>
                <w:rFonts w:ascii="仿宋_GB2312" w:eastAsia="仿宋_GB2312" w:hint="eastAsia"/>
                <w:sz w:val="24"/>
              </w:rPr>
              <w:t>备注</w:t>
            </w:r>
          </w:p>
        </w:tc>
      </w:tr>
      <w:tr w:rsidR="006D7DDB" w14:paraId="17A58E01" w14:textId="77777777">
        <w:trPr>
          <w:trHeight w:val="652"/>
          <w:tblCellSpacing w:w="0" w:type="dxa"/>
          <w:jc w:val="center"/>
        </w:trPr>
        <w:tc>
          <w:tcPr>
            <w:tcW w:w="340" w:type="dxa"/>
            <w:tcBorders>
              <w:top w:val="single" w:sz="4" w:space="0" w:color="auto"/>
              <w:left w:val="single" w:sz="4" w:space="0" w:color="auto"/>
              <w:bottom w:val="single" w:sz="4" w:space="0" w:color="auto"/>
              <w:right w:val="single" w:sz="4" w:space="0" w:color="auto"/>
            </w:tcBorders>
            <w:vAlign w:val="center"/>
          </w:tcPr>
          <w:p w14:paraId="0FCB8B54" w14:textId="77777777" w:rsidR="006D7DDB" w:rsidRDefault="00000000">
            <w:pPr>
              <w:ind w:firstLineChars="150" w:firstLine="315"/>
              <w:rPr>
                <w:rFonts w:ascii="仿宋_GB2312" w:eastAsia="仿宋_GB2312"/>
              </w:rPr>
            </w:pPr>
            <w:r>
              <w:rPr>
                <w:rFonts w:ascii="仿宋_GB2312" w:eastAsia="仿宋_GB2312" w:hint="eastAsia"/>
              </w:rPr>
              <w:t>11</w:t>
            </w:r>
          </w:p>
        </w:tc>
        <w:tc>
          <w:tcPr>
            <w:tcW w:w="567" w:type="dxa"/>
            <w:tcBorders>
              <w:top w:val="single" w:sz="4" w:space="0" w:color="auto"/>
              <w:left w:val="single" w:sz="4" w:space="0" w:color="auto"/>
              <w:bottom w:val="single" w:sz="4" w:space="0" w:color="auto"/>
              <w:right w:val="single" w:sz="4" w:space="0" w:color="auto"/>
            </w:tcBorders>
            <w:vAlign w:val="center"/>
          </w:tcPr>
          <w:p w14:paraId="0EACBC68" w14:textId="77777777" w:rsidR="006D7DDB" w:rsidRDefault="00000000">
            <w:pPr>
              <w:rPr>
                <w:rFonts w:ascii="仿宋_GB2312" w:eastAsia="仿宋_GB2312"/>
                <w:color w:val="000000"/>
                <w:sz w:val="24"/>
              </w:rPr>
            </w:pPr>
            <w:r>
              <w:rPr>
                <w:rFonts w:ascii="仿宋_GB2312" w:eastAsia="仿宋_GB2312" w:hint="eastAsia"/>
                <w:color w:val="000000"/>
                <w:sz w:val="24"/>
              </w:rPr>
              <w:t>DSA装置应用项目</w:t>
            </w:r>
          </w:p>
        </w:tc>
        <w:tc>
          <w:tcPr>
            <w:tcW w:w="708" w:type="dxa"/>
            <w:tcBorders>
              <w:top w:val="single" w:sz="4" w:space="0" w:color="auto"/>
              <w:left w:val="single" w:sz="4" w:space="0" w:color="auto"/>
              <w:bottom w:val="single" w:sz="4" w:space="0" w:color="auto"/>
              <w:right w:val="single" w:sz="4" w:space="0" w:color="auto"/>
            </w:tcBorders>
            <w:vAlign w:val="center"/>
          </w:tcPr>
          <w:p w14:paraId="13C49FAD" w14:textId="77777777" w:rsidR="006D7DDB" w:rsidRDefault="00000000">
            <w:pPr>
              <w:rPr>
                <w:rFonts w:ascii="仿宋_GB2312" w:eastAsia="仿宋_GB2312"/>
                <w:color w:val="000000"/>
                <w:sz w:val="24"/>
              </w:rPr>
            </w:pPr>
            <w:r>
              <w:rPr>
                <w:rFonts w:ascii="仿宋_GB2312" w:eastAsia="仿宋_GB2312" w:hint="eastAsia"/>
                <w:color w:val="000000"/>
                <w:sz w:val="24"/>
              </w:rPr>
              <w:t>临淄区辛南二路74号，医院住院部二层东南侧</w:t>
            </w:r>
          </w:p>
        </w:tc>
        <w:tc>
          <w:tcPr>
            <w:tcW w:w="567" w:type="dxa"/>
            <w:tcBorders>
              <w:top w:val="single" w:sz="4" w:space="0" w:color="auto"/>
              <w:left w:val="single" w:sz="4" w:space="0" w:color="auto"/>
              <w:bottom w:val="single" w:sz="4" w:space="0" w:color="auto"/>
              <w:right w:val="single" w:sz="4" w:space="0" w:color="auto"/>
            </w:tcBorders>
            <w:vAlign w:val="center"/>
          </w:tcPr>
          <w:p w14:paraId="792E64AB" w14:textId="77777777" w:rsidR="006D7DDB" w:rsidRDefault="00000000">
            <w:pPr>
              <w:rPr>
                <w:rFonts w:ascii="仿宋_GB2312" w:eastAsia="仿宋_GB2312"/>
                <w:color w:val="000000"/>
                <w:sz w:val="24"/>
              </w:rPr>
            </w:pPr>
            <w:r>
              <w:rPr>
                <w:rFonts w:ascii="仿宋_GB2312" w:eastAsia="仿宋_GB2312" w:hint="eastAsia"/>
                <w:color w:val="000000"/>
                <w:sz w:val="24"/>
              </w:rPr>
              <w:t>淄博市临淄区中医医院</w:t>
            </w:r>
          </w:p>
        </w:tc>
        <w:tc>
          <w:tcPr>
            <w:tcW w:w="567" w:type="dxa"/>
            <w:tcBorders>
              <w:top w:val="single" w:sz="4" w:space="0" w:color="auto"/>
              <w:left w:val="single" w:sz="4" w:space="0" w:color="auto"/>
              <w:bottom w:val="single" w:sz="4" w:space="0" w:color="auto"/>
              <w:right w:val="single" w:sz="4" w:space="0" w:color="auto"/>
            </w:tcBorders>
            <w:vAlign w:val="center"/>
          </w:tcPr>
          <w:p w14:paraId="03D8F680" w14:textId="77777777" w:rsidR="006D7DDB" w:rsidRDefault="00000000">
            <w:pPr>
              <w:rPr>
                <w:rFonts w:ascii="仿宋_GB2312" w:eastAsia="仿宋_GB2312"/>
                <w:color w:val="000000"/>
                <w:sz w:val="24"/>
              </w:rPr>
            </w:pPr>
            <w:r>
              <w:rPr>
                <w:rFonts w:ascii="仿宋_GB2312" w:eastAsia="仿宋_GB2312" w:hint="eastAsia"/>
                <w:color w:val="000000"/>
                <w:sz w:val="24"/>
              </w:rPr>
              <w:t>山东清朗环保咨询有限公司</w:t>
            </w:r>
          </w:p>
        </w:tc>
        <w:tc>
          <w:tcPr>
            <w:tcW w:w="1418" w:type="dxa"/>
            <w:tcBorders>
              <w:top w:val="single" w:sz="4" w:space="0" w:color="auto"/>
              <w:left w:val="single" w:sz="4" w:space="0" w:color="auto"/>
              <w:bottom w:val="single" w:sz="4" w:space="0" w:color="auto"/>
              <w:right w:val="single" w:sz="4" w:space="0" w:color="auto"/>
            </w:tcBorders>
            <w:vAlign w:val="center"/>
          </w:tcPr>
          <w:p w14:paraId="35754213" w14:textId="77777777" w:rsidR="006D7DDB" w:rsidRDefault="00000000">
            <w:pPr>
              <w:rPr>
                <w:rFonts w:ascii="仿宋_GB2312" w:eastAsia="仿宋_GB2312"/>
                <w:szCs w:val="21"/>
              </w:rPr>
            </w:pPr>
            <w:r>
              <w:rPr>
                <w:rFonts w:ascii="仿宋_GB2312" w:eastAsia="仿宋_GB2312" w:hint="eastAsia"/>
                <w:szCs w:val="21"/>
              </w:rPr>
              <w:t>临淄区中医医院位于临淄区辛南二路74号，医院拟将住院部二层东南侧DSA预留机房进行改造，拟购置一台Optima IGS Venus型DSA装置（最大管电压125kv、最大管电流为1000mA），核技术利用类型为使用Ⅱ类射线装置。</w:t>
            </w:r>
          </w:p>
        </w:tc>
        <w:tc>
          <w:tcPr>
            <w:tcW w:w="8647" w:type="dxa"/>
            <w:tcBorders>
              <w:top w:val="single" w:sz="4" w:space="0" w:color="auto"/>
              <w:left w:val="single" w:sz="4" w:space="0" w:color="auto"/>
              <w:right w:val="single" w:sz="4" w:space="0" w:color="auto"/>
            </w:tcBorders>
          </w:tcPr>
          <w:p w14:paraId="6E74A7DE" w14:textId="480896FE" w:rsidR="006D7DDB" w:rsidRDefault="00000000">
            <w:pPr>
              <w:spacing w:line="276" w:lineRule="auto"/>
              <w:rPr>
                <w:rFonts w:ascii="仿宋_GB2312" w:eastAsia="仿宋_GB2312"/>
                <w:color w:val="000000"/>
                <w:sz w:val="24"/>
              </w:rPr>
            </w:pPr>
            <w:r>
              <w:rPr>
                <w:rFonts w:ascii="仿宋_GB2312" w:eastAsia="仿宋_GB2312" w:hint="eastAsia"/>
                <w:color w:val="000000"/>
                <w:sz w:val="24"/>
              </w:rPr>
              <w:t>项目应严格按照环境影响报告表提出的措施及以下要求，开展辐射安全工作。(一)严格执行辐射安全管理制度1.落实辐射安全管理责任制。医院法人代表为辐射安全工作第一责任人，分管负责人为直接责任人。设立辐射安全与环境保护管理机构，指定1名本科以上学历的技术人员专职负责医院的辐射安全管理工作，明确辐射工作岗位，落实岗位职责。2.认真制定并严格落实《辐射工作安全责任书》、《辐射安全防护制度》、《辐射工作人员培训制度》、《辐射工作人员个人剂量监测管理制度》、《辐射工作人员职业健康管理制度》、《辐射安全监测方案》、《辐射安全台帐管理制度》、《辐射诊疗设备检修维护制度》、《放射性同位素、射线装置使用登记制度》、《放射性核素操作防护制度》、《放射性核素诊疗与显像安全操作规程》、《放射性同位素分装质控室管理制度》、《放射性废物处理规定》、《核医学科工作管理制度》、《核医学辐射工作人员岗位职责》、《放射工作人员、受检者防护管理制度》、《放射性同位素使用安全管理规定》、《放射性同位素工作差错事故处理》、《放射性核素的订购、领取、保管、使用制度》、《高活性室操作流程》、《直线加速器操作规程》、《后装治疗机操作规程》、《模拟定位机操作规程》、《自行检查和年度评估制度》、以及《辐射事故应急处理预案》等能够满足本项目的工作需求的各项规章制度，并建立辐射安全管理档案。(二)加强辐射工作人员及患者的辐射安全和防护工作1.加强辐射工作人员的培训和再培训。制定辐射工作人员培训计划，严格按照《放射性同位素与射线装置安全和防护管理办法》</w:t>
            </w:r>
            <w:r>
              <w:rPr>
                <w:rFonts w:ascii="仿宋_GB2312" w:eastAsia="仿宋_GB2312" w:hint="eastAsia"/>
                <w:color w:val="000000"/>
                <w:sz w:val="24"/>
              </w:rPr>
              <w:lastRenderedPageBreak/>
              <w:t>(环境保护部令第18号)的规定开展培训工作，严禁未参加培训的人员从事辐射工作。未培训辐射工作人员从事辐射工作前需要通过国家核技术利用辐射安全与防护培训平台学习相关知识，并通过平台报名考试，考核合格者方可从事辐射相关工作。否则不得从事辐射工作，持有培训证书人员应定期到该平台进行复训。2.按照环境保护部《放射性同位素与射线装置安全和防护管理办法》（部令18号）的要求，安排专人负责个人剂量监测管理工作，辐射工作人员应按要求规范佩戴个人剂量计，每3个月进行1次个人剂量监测，建立辐射工作人员个人剂量档案，做到1人1档并按要求保存。发现监测结果异常的，应当立即核实和调查，采取改进措施或减少工作时间，并向生态环境部门报告。3.从事辐射工作时，医护工作人员应穿、戴必要的辐射防护用品，并按照规程进行操作。同时应对接受放射诊疗的患者及陪护家属采取有效辐射安全与防护措施，避免受到超剂量照射。确保辐射工作人员、患者及陪护家属所受照射剂量符合《电离辐射防护与辐射源安全基本标准》(GB18871-2002)规定的标准限值。(三)做好辐射工作场所的安全和防护工作1.各辐射工作场所醒目位置上设置符合《电离辐射防护与辐射源安全基本标准》(GB18871-2002)要求的电离辐射警告标志。工作场所落实实体屏蔽措施，屏蔽墙体和防护门外30cm处辐射剂量率不大于2.5μ</w:t>
            </w:r>
            <w:proofErr w:type="spellStart"/>
            <w:r>
              <w:rPr>
                <w:rFonts w:ascii="仿宋_GB2312" w:eastAsia="仿宋_GB2312" w:hint="eastAsia"/>
                <w:color w:val="000000"/>
                <w:sz w:val="24"/>
              </w:rPr>
              <w:t>Gy</w:t>
            </w:r>
            <w:proofErr w:type="spellEnd"/>
            <w:r>
              <w:rPr>
                <w:rFonts w:ascii="仿宋_GB2312" w:eastAsia="仿宋_GB2312" w:hint="eastAsia"/>
                <w:color w:val="000000"/>
                <w:sz w:val="24"/>
              </w:rPr>
              <w:t>/h。2.核医学工作场所严格实行医护通道和患者分离，各辐射工作场所实行分区管理，划分控制区和监督区，并在入口处设立表明控制区、监督区的标牌，除辐射工作人员及患者外任何公众人员未经允</w:t>
            </w:r>
            <w:r>
              <w:rPr>
                <w:rFonts w:ascii="仿宋_GB2312" w:eastAsia="仿宋_GB2312" w:hint="eastAsia"/>
                <w:color w:val="000000"/>
                <w:sz w:val="24"/>
              </w:rPr>
              <w:lastRenderedPageBreak/>
              <w:t>许均不得进入。3.各辐射工作场所均应</w:t>
            </w:r>
            <w:r w:rsidR="00F04FF7">
              <w:rPr>
                <w:rFonts w:ascii="仿宋_GB2312" w:eastAsia="仿宋_GB2312" w:hint="eastAsia"/>
                <w:color w:val="000000"/>
                <w:sz w:val="24"/>
              </w:rPr>
              <w:t>安装</w:t>
            </w:r>
            <w:r>
              <w:rPr>
                <w:rFonts w:ascii="仿宋_GB2312" w:eastAsia="仿宋_GB2312" w:hint="eastAsia"/>
                <w:color w:val="000000"/>
                <w:sz w:val="24"/>
              </w:rPr>
              <w:t>设计符合《核医学放射防护要求》（GBZ120-2020）规定的专用通风系统，将工作中产生的有害气体经专用通风管道按标准高空排放，保证室内良好通风，减少对周围环境的影响。4.配备可满足检测需求的</w:t>
            </w:r>
            <w:r>
              <w:rPr>
                <w:rFonts w:ascii="仿宋_GB2312" w:eastAsia="仿宋_GB2312"/>
                <w:color w:val="000000"/>
                <w:sz w:val="24"/>
              </w:rPr>
              <w:t>便携式剂量率监测仪</w:t>
            </w:r>
            <w:r>
              <w:rPr>
                <w:rFonts w:ascii="仿宋_GB2312" w:eastAsia="仿宋_GB2312" w:hint="eastAsia"/>
                <w:color w:val="000000"/>
                <w:sz w:val="24"/>
              </w:rPr>
              <w:t>、固定式剂量监测报警仪、活度计和表面污染沾污仪、个</w:t>
            </w:r>
            <w:r>
              <w:rPr>
                <w:rFonts w:ascii="仿宋_GB2312" w:eastAsia="仿宋_GB2312"/>
                <w:color w:val="000000"/>
                <w:sz w:val="24"/>
              </w:rPr>
              <w:t>人剂量报警仪</w:t>
            </w:r>
            <w:r>
              <w:rPr>
                <w:rFonts w:ascii="仿宋_GB2312" w:eastAsia="仿宋_GB2312" w:hint="eastAsia"/>
                <w:color w:val="000000"/>
                <w:sz w:val="24"/>
              </w:rPr>
              <w:t>等监测仪器。严格执行辐射监测计划，除自行按工作要求开展辐射环境监测外，每年委托有资质的单位进行监测。如发现异常情况，应及时委托有资质的单位进一步监测，并向生态环境部门上报监测数据。在每次操作放射性核素结束后，对工作台面、地面、墙面、相关核素容器表面；工作人员工作服表面、肢体表面、防护服表面、患者被服表面、放射性废物箱（衰变箱）表面进行表面污染监测并留存检测记录，确保未被污染。如发现表面污染超过《电离辐射防护与辐射源安全基本标准》（GB18871-2002）B2.1中规定控制水平，应及时采取去污措施。8.认真做好各辐射工作场所防护设施设备的维护、维修，并建立档案，确保防护设施设备安全有效。(四)制定并及时修订辐射事故应急预案，定期组织开展辐射事故应急演练。若发生辐射事故，应及时向生态环境局、公安局和卫生健康委员会等部门报告。(五)对本单位辐射安全和防护状况进行年度评估，于每年的1月31日前报省、市（含区县分局）生态环境部门。</w:t>
            </w:r>
          </w:p>
        </w:tc>
        <w:tc>
          <w:tcPr>
            <w:tcW w:w="708" w:type="dxa"/>
            <w:tcBorders>
              <w:top w:val="single" w:sz="4" w:space="0" w:color="auto"/>
              <w:left w:val="single" w:sz="4" w:space="0" w:color="auto"/>
              <w:right w:val="nil"/>
            </w:tcBorders>
          </w:tcPr>
          <w:p w14:paraId="0C58EF1B" w14:textId="77777777" w:rsidR="006D7DDB" w:rsidRDefault="006D7DDB">
            <w:pPr>
              <w:ind w:firstLineChars="150" w:firstLine="315"/>
              <w:rPr>
                <w:rFonts w:ascii="仿宋_GB2312" w:eastAsia="仿宋_GB2312"/>
              </w:rPr>
            </w:pPr>
          </w:p>
        </w:tc>
        <w:tc>
          <w:tcPr>
            <w:tcW w:w="263" w:type="dxa"/>
            <w:tcBorders>
              <w:top w:val="single" w:sz="4" w:space="0" w:color="auto"/>
              <w:left w:val="single" w:sz="4" w:space="0" w:color="auto"/>
              <w:right w:val="single" w:sz="4" w:space="0" w:color="auto"/>
            </w:tcBorders>
            <w:vAlign w:val="center"/>
          </w:tcPr>
          <w:p w14:paraId="4AD9913C" w14:textId="77777777" w:rsidR="006D7DDB" w:rsidRDefault="006D7DDB">
            <w:pPr>
              <w:ind w:firstLineChars="150" w:firstLine="315"/>
              <w:rPr>
                <w:rFonts w:ascii="仿宋_GB2312" w:eastAsia="仿宋_GB2312"/>
              </w:rPr>
            </w:pPr>
          </w:p>
        </w:tc>
      </w:tr>
    </w:tbl>
    <w:p w14:paraId="454582B9" w14:textId="77777777" w:rsidR="006D7DDB" w:rsidRDefault="006D7DDB">
      <w:pPr>
        <w:ind w:firstLineChars="150" w:firstLine="315"/>
        <w:rPr>
          <w:rFonts w:ascii="仿宋_GB2312" w:eastAsia="仿宋_GB2312"/>
        </w:rPr>
      </w:pPr>
    </w:p>
    <w:p w14:paraId="16B4BC31" w14:textId="77777777" w:rsidR="006D7DDB" w:rsidRDefault="006D7DDB"/>
    <w:sectPr w:rsidR="006D7DDB">
      <w:pgSz w:w="16838" w:h="11906" w:orient="landscape"/>
      <w:pgMar w:top="1797" w:right="1440" w:bottom="212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M0ZjE3NmFiZTcxMjZhOTQ4ZDRmZjg1Y2U3OTQxYjAifQ=="/>
  </w:docVars>
  <w:rsids>
    <w:rsidRoot w:val="63AF43D0"/>
    <w:rsid w:val="006D7DDB"/>
    <w:rsid w:val="00F04FF7"/>
    <w:rsid w:val="157E6FDB"/>
    <w:rsid w:val="1A37526D"/>
    <w:rsid w:val="31587A5C"/>
    <w:rsid w:val="407D1B7C"/>
    <w:rsid w:val="51753FC4"/>
    <w:rsid w:val="63AF43D0"/>
    <w:rsid w:val="76BE6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C55E5"/>
  <w15:docId w15:val="{334DA2C4-3DD5-468E-8622-3AD68D1F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rPr>
      <w:szCs w:val="22"/>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basedOn w:val="a1"/>
    <w:uiPriority w:val="22"/>
    <w:qFormat/>
    <w:rPr>
      <w:b/>
      <w:bCs/>
    </w:rPr>
  </w:style>
  <w:style w:type="character" w:styleId="a6">
    <w:name w:val="Hyper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e.gov.cn/ywgz/fgbz/fl/201906/t20190604_705566.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dcterms:created xsi:type="dcterms:W3CDTF">2023-05-24T06:21:00Z</dcterms:created>
  <dcterms:modified xsi:type="dcterms:W3CDTF">2023-06-01T08:13:00Z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017363DB637F484CA60F0FB2CB924E98_11</vt:lpwstr>
  </property>
</Properties>
</file>