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7F0E">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淄博市生态环境局临淄分局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3366D383">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32"/>
          <w:szCs w:val="32"/>
        </w:rPr>
      </w:pPr>
    </w:p>
    <w:p w14:paraId="4D335CB9">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年1月1日起，至202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年12月31日止。如对报告内容有疑问，请与淄博市生态环境局</w:t>
      </w:r>
      <w:r>
        <w:rPr>
          <w:rFonts w:hint="eastAsia" w:ascii="仿宋_GB2312" w:hAnsi="仿宋_GB2312" w:eastAsia="仿宋_GB2312" w:cs="仿宋_GB2312"/>
          <w:i w:val="0"/>
          <w:caps w:val="0"/>
          <w:color w:val="000000"/>
          <w:spacing w:val="0"/>
          <w:sz w:val="32"/>
          <w:szCs w:val="32"/>
          <w:lang w:val="en-US" w:eastAsia="zh-CN"/>
        </w:rPr>
        <w:t>临淄分</w:t>
      </w:r>
      <w:r>
        <w:rPr>
          <w:rFonts w:hint="eastAsia" w:ascii="仿宋_GB2312" w:hAnsi="仿宋_GB2312" w:eastAsia="仿宋_GB2312" w:cs="仿宋_GB2312"/>
          <w:i w:val="0"/>
          <w:caps w:val="0"/>
          <w:color w:val="000000"/>
          <w:spacing w:val="0"/>
          <w:sz w:val="32"/>
          <w:szCs w:val="32"/>
          <w:lang w:eastAsia="zh-CN"/>
        </w:rPr>
        <w:t>局联系（地址：</w:t>
      </w:r>
      <w:r>
        <w:rPr>
          <w:rFonts w:hint="eastAsia" w:ascii="仿宋_GB2312" w:hAnsi="仿宋_GB2312" w:eastAsia="仿宋_GB2312" w:cs="仿宋_GB2312"/>
          <w:i w:val="0"/>
          <w:caps w:val="0"/>
          <w:color w:val="000000"/>
          <w:spacing w:val="0"/>
          <w:sz w:val="32"/>
          <w:szCs w:val="32"/>
          <w:lang w:val="en-US" w:eastAsia="zh-CN"/>
        </w:rPr>
        <w:t>临淄晏婴路183号</w:t>
      </w:r>
      <w:r>
        <w:rPr>
          <w:rFonts w:hint="eastAsia" w:ascii="仿宋_GB2312" w:hAnsi="仿宋_GB2312" w:eastAsia="仿宋_GB2312" w:cs="仿宋_GB2312"/>
          <w:i w:val="0"/>
          <w:caps w:val="0"/>
          <w:color w:val="000000"/>
          <w:spacing w:val="0"/>
          <w:sz w:val="32"/>
          <w:szCs w:val="32"/>
          <w:lang w:eastAsia="zh-CN"/>
        </w:rPr>
        <w:t>；邮编：</w:t>
      </w:r>
      <w:r>
        <w:rPr>
          <w:rFonts w:hint="eastAsia" w:ascii="仿宋_GB2312" w:hAnsi="仿宋_GB2312" w:eastAsia="仿宋_GB2312" w:cs="仿宋_GB2312"/>
          <w:i w:val="0"/>
          <w:caps w:val="0"/>
          <w:color w:val="000000"/>
          <w:spacing w:val="0"/>
          <w:sz w:val="32"/>
          <w:szCs w:val="32"/>
          <w:lang w:val="en-US" w:eastAsia="zh-CN"/>
        </w:rPr>
        <w:t>255400</w:t>
      </w:r>
      <w:r>
        <w:rPr>
          <w:rFonts w:hint="eastAsia" w:ascii="仿宋_GB2312" w:hAnsi="仿宋_GB2312" w:eastAsia="仿宋_GB2312" w:cs="仿宋_GB2312"/>
          <w:i w:val="0"/>
          <w:caps w:val="0"/>
          <w:color w:val="000000"/>
          <w:spacing w:val="0"/>
          <w:sz w:val="32"/>
          <w:szCs w:val="32"/>
          <w:lang w:eastAsia="zh-CN"/>
        </w:rPr>
        <w:t>；电话：</w:t>
      </w:r>
      <w:r>
        <w:rPr>
          <w:rFonts w:hint="eastAsia" w:ascii="仿宋_GB2312" w:hAnsi="仿宋_GB2312" w:eastAsia="仿宋_GB2312" w:cs="仿宋_GB2312"/>
          <w:i w:val="0"/>
          <w:caps w:val="0"/>
          <w:color w:val="000000"/>
          <w:spacing w:val="0"/>
          <w:sz w:val="32"/>
          <w:szCs w:val="32"/>
          <w:lang w:val="en-US" w:eastAsia="zh-CN"/>
        </w:rPr>
        <w:t>7181096</w:t>
      </w:r>
      <w:r>
        <w:rPr>
          <w:rFonts w:hint="eastAsia" w:ascii="仿宋_GB2312" w:hAnsi="仿宋_GB2312" w:eastAsia="仿宋_GB2312" w:cs="仿宋_GB2312"/>
          <w:i w:val="0"/>
          <w:caps w:val="0"/>
          <w:color w:val="000000"/>
          <w:spacing w:val="0"/>
          <w:sz w:val="32"/>
          <w:szCs w:val="32"/>
          <w:lang w:eastAsia="zh-CN"/>
        </w:rPr>
        <w:t>；邮箱：lzhbfjxjk</w:t>
      </w:r>
      <w:r>
        <w:rPr>
          <w:rFonts w:hint="eastAsia" w:ascii="仿宋_GB2312" w:hAnsi="仿宋_GB2312" w:eastAsia="仿宋_GB2312" w:cs="仿宋_GB2312"/>
          <w:i w:val="0"/>
          <w:caps w:val="0"/>
          <w:color w:val="000000"/>
          <w:spacing w:val="0"/>
          <w:sz w:val="32"/>
          <w:szCs w:val="32"/>
          <w:lang w:val="en-US" w:eastAsia="zh-CN"/>
        </w:rPr>
        <w:t>@zb.shandong.cn</w:t>
      </w:r>
      <w:r>
        <w:rPr>
          <w:rFonts w:hint="eastAsia" w:ascii="仿宋_GB2312" w:hAnsi="仿宋_GB2312" w:eastAsia="仿宋_GB2312" w:cs="仿宋_GB2312"/>
          <w:i w:val="0"/>
          <w:caps w:val="0"/>
          <w:color w:val="000000"/>
          <w:spacing w:val="0"/>
          <w:sz w:val="32"/>
          <w:szCs w:val="32"/>
          <w:lang w:eastAsia="zh-CN"/>
        </w:rPr>
        <w:t>）。</w:t>
      </w:r>
    </w:p>
    <w:p w14:paraId="148B9BE1">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一、总体情况</w:t>
      </w:r>
    </w:p>
    <w:p w14:paraId="7FAA7F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960" w:firstLineChars="300"/>
        <w:textAlignment w:val="auto"/>
        <w:rPr>
          <w:rFonts w:hint="default"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2025年，淄博市生态环境局临淄分局严格恪守政府信息公开相关法律法规与制度规范，牢牢依托政府网站这一核心权威发布平台，优化信息发布流程、提升信息传递效率，让政策信息直达服务对象。</w:t>
      </w:r>
    </w:p>
    <w:p w14:paraId="3E3F615E">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（一）主动公开信息情况。加大重点领域信息公开力度，每月公开空气质量信息，公开全年行政检查结果。做好土壤污染防治、行政许可等重点领域信息公开工作。2025年通过政府网站公开信息257条。</w:t>
      </w:r>
    </w:p>
    <w:p w14:paraId="036E7E91">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二）依申请公开工作情况。进一步规范依申请公开受理渠道，收到政府信息公开申请后第一时间进行转办，严格按照规定期限作出答复，保障申请人合理获取政府信息的权利。2025年收到1起政府信息公开申请，上年度结转0件。未因政府信息公开被申请行政复议、提起行政诉讼。</w:t>
      </w:r>
    </w:p>
    <w:p w14:paraId="0F848173">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三）政府信息管理情况。编制政府信息主动公开事项目录，明确公开范围和内容，对主动公开事项进一步规范，防止泛化公开和公开过度。加强信息保密审查，认真落实信息公开保密审查制度，严格遵守“涉密信息不上网，上网信息不涉密”的原则，厘清公开和保密的界限，凡未经审核的信息严禁对外发布。</w:t>
      </w:r>
    </w:p>
    <w:p w14:paraId="3E6498E4">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spacing w:val="0"/>
          <w:kern w:val="2"/>
          <w:sz w:val="32"/>
          <w:szCs w:val="32"/>
          <w:lang w:val="en-US" w:eastAsia="zh-CN" w:bidi="ar-SA"/>
        </w:rPr>
        <w:t>（四）政府信息公开平台建设情况。以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主动公开目录为核心遵循，聚焦环保关注的政策、服务，统筹重要信息发布节奏与内容布局。</w:t>
      </w:r>
    </w:p>
    <w:p w14:paraId="2C93FF26">
      <w:pPr>
        <w:keepNext w:val="0"/>
        <w:keepLines w:val="0"/>
        <w:widowControl/>
        <w:suppressLineNumbers w:val="0"/>
        <w:ind w:firstLine="640" w:firstLineChars="200"/>
        <w:jc w:val="left"/>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（五）政府信息公开监督保障情况。分管负责人不定期调度工作进展，组织人事科牵头负责政务公开工作，配备1名专职人员。</w:t>
      </w:r>
    </w:p>
    <w:p w14:paraId="00A4516E">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44D1AD0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26D10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29B10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5399EF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89A57F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EC578C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0F51DA8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756AEE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6301A4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79E0089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7D395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28113E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74C393B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76D634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FAACCB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B122F5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58A454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9882F1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47DA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2680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86098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15143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DC1D8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E4C1D50">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F24C6B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77</w:t>
            </w:r>
          </w:p>
        </w:tc>
      </w:tr>
      <w:tr w14:paraId="207CFDB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2C9A00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D62271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1AF12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88CB1D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C58A33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FD7A45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51EEF0D7">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13</w:t>
            </w:r>
          </w:p>
        </w:tc>
      </w:tr>
      <w:tr w14:paraId="51332B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4015B0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690FD3F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58FBAAF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3B3610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D45BC47">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3C2658D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63386D0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96C0B2F">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5379F7DD">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693D0D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3026125E">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三、收到和处理政府信息公开申请情况</w:t>
      </w:r>
    </w:p>
    <w:tbl>
      <w:tblPr>
        <w:tblStyle w:val="8"/>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2311E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2E8416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463BD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1D400F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申请人情况</w:t>
            </w:r>
          </w:p>
        </w:tc>
      </w:tr>
      <w:tr w14:paraId="01CA7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59B83B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7" w:type="dxa"/>
            <w:vMerge w:val="restart"/>
            <w:noWrap w:val="0"/>
            <w:tcMar>
              <w:left w:w="108" w:type="dxa"/>
              <w:right w:w="108" w:type="dxa"/>
            </w:tcMar>
            <w:vAlign w:val="center"/>
          </w:tcPr>
          <w:p w14:paraId="68A847A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660452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74FEE3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总计</w:t>
            </w:r>
          </w:p>
        </w:tc>
      </w:tr>
      <w:tr w14:paraId="4002F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16E436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7" w:type="dxa"/>
            <w:vMerge w:val="continue"/>
            <w:noWrap w:val="0"/>
            <w:tcMar>
              <w:left w:w="108" w:type="dxa"/>
              <w:right w:w="108" w:type="dxa"/>
            </w:tcMar>
            <w:vAlign w:val="center"/>
          </w:tcPr>
          <w:p w14:paraId="279DA52E">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szCs w:val="21"/>
              </w:rPr>
            </w:pPr>
          </w:p>
        </w:tc>
        <w:tc>
          <w:tcPr>
            <w:tcW w:w="540" w:type="dxa"/>
            <w:gridSpan w:val="2"/>
            <w:noWrap w:val="0"/>
            <w:tcMar>
              <w:left w:w="108" w:type="dxa"/>
              <w:right w:w="108" w:type="dxa"/>
            </w:tcMar>
            <w:vAlign w:val="center"/>
          </w:tcPr>
          <w:p w14:paraId="0A05C12D">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491166F7">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418CF1FE">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3CD0CD65">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136F9BAE">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77627AF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r>
      <w:tr w14:paraId="5E544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EBEDE42">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72A2D9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0AED27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564F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0576F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BA69A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E9331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9C23D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369F5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E1A0D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57E33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B4E39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27A83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A91A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99C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685180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4E5A9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6134D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1C02458">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0575443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710116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66ECAFC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3F0BD9A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D4DB2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5E03F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78A5B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16490FA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56C64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711A7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4677" w:type="dxa"/>
            <w:gridSpan w:val="2"/>
            <w:noWrap w:val="0"/>
            <w:tcMar>
              <w:left w:w="108" w:type="dxa"/>
              <w:right w:w="108" w:type="dxa"/>
            </w:tcMar>
            <w:vAlign w:val="center"/>
          </w:tcPr>
          <w:p w14:paraId="6C3075AE">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0EFC20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D9840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1620DA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8A1571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8E04BB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53C8118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5EA42F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4D9D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8717A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2CE05C7">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9E932E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70A32D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5B3280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EE5C6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AFF42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9151D0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53C23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778EE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8A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B3B3E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5B02C3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3031CE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323140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FE1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8DEA4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2BE99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BA775C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EF361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A6BBD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B95B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AE8A25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7B9A8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6BF172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25A569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E057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51961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5928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6E9EA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EE75C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2C072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DE52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7636F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6E709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25C8E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20D5B8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2AC2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CF6F1D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DE7EC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E068A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88008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E12E3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B445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49B4E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B97AB5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96855F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1B908F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E7DB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4C9936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882FA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A34A7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2866FC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600B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AF0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7652A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D3787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7084E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0FD191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4F68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40ED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16A9E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6115D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A516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97E7F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0482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BF700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3929FD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3C436EE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179973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C5B7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17A41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07A033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1034A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9AA96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FE352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17F7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E594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78D8C7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BB8D31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58206A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1155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82DC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B1EC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EEC1CE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109AD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03B9C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5D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A293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228ADDEF">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749CD7A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44A356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AF7E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44462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6B478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3437D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680115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D9DC5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B30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6F4F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8F6A72">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087EDDE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1823DE1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DFA7CE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02940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41B94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E980A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B03AC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51E07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CC1E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B0B1E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0691F3B">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1B53A339">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233AA49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23A0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96BC4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CC4138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E1849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9AFE2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12C14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806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B1664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50969A02">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847A93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03CD4D5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367F4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81D7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BBCE5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7CCE1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338A9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B6235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A51B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64AE6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C0CD85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ACA0DB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056922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2100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CC72E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DFF6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6D15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9CDB5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81DF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B229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6FE791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08F728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74AAC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4359F13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B0C80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83C253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9DB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25C4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40DA0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9817C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3D60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EAD67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952BA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DD3762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4217E3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D0101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3BAD5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634BA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7F11B4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D6081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DC8DB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FF2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5CB4F4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8B46A6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0031BF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9A2640B">
            <w:pPr>
              <w:keepNext w:val="0"/>
              <w:keepLines w:val="0"/>
              <w:pageBreakBefore w:val="0"/>
              <w:widowControl/>
              <w:kinsoku/>
              <w:wordWrap/>
              <w:overflowPunct/>
              <w:topLinePunct w:val="0"/>
              <w:autoSpaceDE/>
              <w:autoSpaceDN/>
              <w:bidi w:val="0"/>
              <w:adjustRightInd/>
              <w:snapToGrid/>
              <w:spacing w:line="420" w:lineRule="auto"/>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4383D7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181BB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06D1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E9A9F6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5639EF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081F1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EC6C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9D9F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5150B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3513CD6">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16C12C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500F51A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03F43E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97E9A6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5BC85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30ECA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DC3F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9AE6E9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BB94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FAE64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3A9BC6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642067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61BCDF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DB78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1055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51771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6F38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782B2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14E90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65704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20FF9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1B410E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26E9411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722C65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51B74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DA6B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3AFAC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CF3CA9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4AE10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07C96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7F99E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CE6014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highlight w:val="none"/>
              </w:rPr>
            </w:pPr>
          </w:p>
        </w:tc>
        <w:tc>
          <w:tcPr>
            <w:tcW w:w="4677" w:type="dxa"/>
            <w:gridSpan w:val="2"/>
            <w:noWrap w:val="0"/>
            <w:tcMar>
              <w:left w:w="108" w:type="dxa"/>
              <w:right w:w="108" w:type="dxa"/>
            </w:tcMar>
            <w:vAlign w:val="center"/>
          </w:tcPr>
          <w:p w14:paraId="7CBB99B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highlight w:val="none"/>
              </w:rPr>
            </w:pPr>
            <w:r>
              <w:rPr>
                <w:rFonts w:hint="eastAsia" w:ascii="黑体" w:hAnsi="黑体" w:eastAsia="黑体"/>
                <w:kern w:val="0"/>
                <w:szCs w:val="21"/>
                <w:highlight w:val="none"/>
              </w:rPr>
              <w:t>（七）总计</w:t>
            </w:r>
          </w:p>
        </w:tc>
        <w:tc>
          <w:tcPr>
            <w:tcW w:w="747" w:type="dxa"/>
            <w:noWrap w:val="0"/>
            <w:tcMar>
              <w:left w:w="108" w:type="dxa"/>
              <w:right w:w="108" w:type="dxa"/>
            </w:tcMar>
            <w:vAlign w:val="center"/>
          </w:tcPr>
          <w:p w14:paraId="65C219D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1</w:t>
            </w:r>
          </w:p>
        </w:tc>
        <w:tc>
          <w:tcPr>
            <w:tcW w:w="540" w:type="dxa"/>
            <w:gridSpan w:val="2"/>
            <w:noWrap w:val="0"/>
            <w:tcMar>
              <w:left w:w="108" w:type="dxa"/>
              <w:right w:w="108" w:type="dxa"/>
            </w:tcMar>
            <w:vAlign w:val="center"/>
          </w:tcPr>
          <w:p w14:paraId="7CFF52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0" w:type="dxa"/>
            <w:gridSpan w:val="2"/>
            <w:noWrap w:val="0"/>
            <w:tcMar>
              <w:left w:w="108" w:type="dxa"/>
              <w:right w:w="108" w:type="dxa"/>
            </w:tcMar>
            <w:vAlign w:val="center"/>
          </w:tcPr>
          <w:p w14:paraId="468E581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noWrap w:val="0"/>
            <w:tcMar>
              <w:left w:w="108" w:type="dxa"/>
              <w:right w:w="108" w:type="dxa"/>
            </w:tcMar>
            <w:vAlign w:val="center"/>
          </w:tcPr>
          <w:p w14:paraId="5CEF3D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noWrap w:val="0"/>
            <w:tcMar>
              <w:left w:w="108" w:type="dxa"/>
              <w:right w:w="108" w:type="dxa"/>
            </w:tcMar>
            <w:vAlign w:val="center"/>
          </w:tcPr>
          <w:p w14:paraId="7A5FB8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noWrap w:val="0"/>
            <w:tcMar>
              <w:left w:w="108" w:type="dxa"/>
              <w:right w:w="108" w:type="dxa"/>
            </w:tcMar>
            <w:vAlign w:val="center"/>
          </w:tcPr>
          <w:p w14:paraId="39B1A9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noWrap w:val="0"/>
            <w:tcMar>
              <w:left w:w="108" w:type="dxa"/>
              <w:right w:w="108" w:type="dxa"/>
            </w:tcMar>
            <w:vAlign w:val="center"/>
          </w:tcPr>
          <w:p w14:paraId="65BDB4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lang w:val="en-US"/>
              </w:rPr>
            </w:pPr>
            <w:r>
              <w:rPr>
                <w:rFonts w:hint="eastAsia" w:ascii="仿宋_GB2312" w:hAnsi="Times New Roman" w:eastAsia="仿宋_GB2312"/>
                <w:szCs w:val="21"/>
                <w:highlight w:val="none"/>
                <w:lang w:val="en-US" w:eastAsia="zh-CN"/>
              </w:rPr>
              <w:t>1</w:t>
            </w:r>
          </w:p>
        </w:tc>
      </w:tr>
      <w:tr w14:paraId="4C54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040ECCC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0BC235C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0CEE02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0BC47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F4D1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0555C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3F532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69AD5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bl>
    <w:p w14:paraId="156703C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eastAsia" w:ascii="仿宋_GB2312" w:hAnsi="Calibri" w:eastAsia="仿宋_GB2312" w:cs="Calibri"/>
          <w:color w:val="FF0000"/>
          <w:kern w:val="0"/>
          <w:szCs w:val="21"/>
          <w:lang w:val="en-US" w:eastAsia="zh-CN"/>
        </w:rPr>
      </w:pPr>
    </w:p>
    <w:p w14:paraId="065797F1">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CCC6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5B06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6E3097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52F958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EC30E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7A3B988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9D1EA94">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E53305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0933DA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22B1589">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7D5E2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2BB0BC87">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82B9E7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2D9935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77E0D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7B73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F9A32F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A39A7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4131C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B8947B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B4EFF9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6E00AE">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F37B0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42028B16">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80B585">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3CE759E">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4518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5A147C">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F9A055">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0786633">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DE433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4F0255E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D03DC31">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019CA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31594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CBAA03">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605267E">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3A2BFA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4BF0F0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3319D87">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EB70C9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F6DE78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1FEE230">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93625E2">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65C171A">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C3EC1E">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BFD8FE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C38DA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D3624C5">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3560B1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r>
    </w:tbl>
    <w:p w14:paraId="3588339E">
      <w:pPr>
        <w:keepNext w:val="0"/>
        <w:keepLines w:val="0"/>
        <w:pageBreakBefore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32"/>
          <w:szCs w:val="32"/>
        </w:rPr>
      </w:pPr>
    </w:p>
    <w:p w14:paraId="5A0D6CA4">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五、存在的主要问题及改进情况</w:t>
      </w:r>
    </w:p>
    <w:p w14:paraId="4B7390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right="0" w:firstLine="640" w:firstLineChars="20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（一）存在问题</w:t>
      </w:r>
    </w:p>
    <w:p w14:paraId="2B5AA5AE">
      <w:pPr>
        <w:keepNext w:val="0"/>
        <w:keepLines w:val="0"/>
        <w:widowControl/>
        <w:suppressLineNumbers w:val="0"/>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spacing w:val="0"/>
          <w:kern w:val="2"/>
          <w:sz w:val="32"/>
          <w:szCs w:val="32"/>
          <w:lang w:val="en-US" w:eastAsia="zh-CN" w:bidi="ar-SA"/>
        </w:rPr>
        <w:t>在2025年的政府信息公开工作当中，我局还存在一些问题和不足，主要是信息公开的内容有待进一步完善;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部分常规性工作信息的发布计划性不足，未能完全按照时间节点同步公开。</w:t>
      </w:r>
    </w:p>
    <w:p w14:paraId="09583A50">
      <w:pPr>
        <w:keepNext w:val="0"/>
        <w:keepLines w:val="0"/>
        <w:widowControl/>
        <w:suppressLineNumbers w:val="0"/>
        <w:ind w:firstLine="640" w:firstLineChars="200"/>
        <w:jc w:val="left"/>
        <w:rPr>
          <w:rFonts w:hint="default"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（二）改进措施</w:t>
      </w:r>
    </w:p>
    <w:p w14:paraId="1071A8D1">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1、提高创新意识。利用多种方式，优化政务公开方式。</w:t>
      </w:r>
    </w:p>
    <w:p w14:paraId="3BE1463D">
      <w:pPr>
        <w:keepNext w:val="0"/>
        <w:keepLines w:val="0"/>
        <w:widowControl/>
        <w:suppressLineNumbers w:val="0"/>
        <w:ind w:firstLine="640" w:firstLineChars="200"/>
        <w:jc w:val="left"/>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2、及时发布和更新依法应主动公开的政府信息，加强平台建设，做好日常监测，切实推动政务公开规范。</w:t>
      </w:r>
    </w:p>
    <w:p w14:paraId="736F8BF4">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微软雅黑" w:hAnsi="微软雅黑" w:eastAsia="微软雅黑" w:cs="微软雅黑"/>
          <w:b/>
          <w:bCs/>
          <w:sz w:val="32"/>
          <w:szCs w:val="32"/>
        </w:rPr>
      </w:pPr>
      <w:r>
        <w:rPr>
          <w:rFonts w:hint="eastAsia" w:ascii="国标黑体" w:hAnsi="国标黑体" w:eastAsia="国标黑体" w:cs="国标黑体"/>
          <w:b w:val="0"/>
          <w:bCs w:val="0"/>
          <w:sz w:val="32"/>
          <w:szCs w:val="32"/>
          <w:lang w:val="en-US" w:eastAsia="zh-CN"/>
        </w:rPr>
        <w:t>六、其他需要报告的事项</w:t>
      </w:r>
    </w:p>
    <w:p w14:paraId="2BF48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（一）依申请公开收费情况。本年度未有收取信息处理费情况。</w:t>
      </w:r>
    </w:p>
    <w:p w14:paraId="3BDB6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lang w:val="en-US" w:eastAsia="zh-CN" w:bidi="ar-SA"/>
        </w:rPr>
        <w:t>（二）建议提案办理公开情况。建议提案办理公开情况。2025年共收到区十九届人大四次会议1、21、26、71、75、89号6项建议，区政协十一届四次会议84、115、144号3项提案</w:t>
      </w:r>
      <w:bookmarkStart w:id="10" w:name="_GoBack"/>
      <w:bookmarkEnd w:id="10"/>
      <w:r>
        <w:rPr>
          <w:rFonts w:hint="eastAsia" w:ascii="仿宋_GB2312" w:hAnsi="仿宋_GB2312" w:eastAsia="仿宋_GB2312" w:cs="仿宋_GB2312"/>
          <w:i w:val="0"/>
          <w:caps w:val="0"/>
          <w:color w:val="auto"/>
          <w:spacing w:val="0"/>
          <w:kern w:val="2"/>
          <w:sz w:val="32"/>
          <w:szCs w:val="32"/>
          <w:lang w:val="en-US" w:eastAsia="zh-CN" w:bidi="ar-SA"/>
        </w:rPr>
        <w:t>。对收到的</w:t>
      </w:r>
      <w:r>
        <w:rPr>
          <w:rFonts w:hint="eastAsia" w:ascii="仿宋_GB2312" w:hAnsi="仿宋_GB2312" w:eastAsia="仿宋_GB2312" w:cs="仿宋_GB2312"/>
          <w:i w:val="0"/>
          <w:caps w:val="0"/>
          <w:color w:val="000000"/>
          <w:spacing w:val="0"/>
          <w:kern w:val="2"/>
          <w:sz w:val="32"/>
          <w:szCs w:val="32"/>
          <w:lang w:val="en-US" w:eastAsia="zh-CN" w:bidi="ar-SA"/>
        </w:rPr>
        <w:t>全部提案建议进行了认真办理，办结率100%、满意率100%，并及时公开办理情况报告，接受社会监督。</w:t>
      </w:r>
    </w:p>
    <w:p w14:paraId="4756B5DC">
      <w:pPr>
        <w:bidi w:val="0"/>
        <w:ind w:firstLine="640" w:firstLineChars="200"/>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（三）政务公开工作创新情况。针对重点项目建设，探索环评和排污许可证联合审批“并联”模式</w:t>
      </w:r>
      <w:r>
        <w:rPr>
          <w:rFonts w:hint="default" w:ascii="仿宋_GB2312" w:hAnsi="仿宋_GB2312" w:eastAsia="仿宋_GB2312" w:cs="仿宋_GB2312"/>
          <w:i w:val="0"/>
          <w:caps w:val="0"/>
          <w:color w:val="000000"/>
          <w:spacing w:val="0"/>
          <w:kern w:val="2"/>
          <w:sz w:val="32"/>
          <w:szCs w:val="32"/>
          <w:lang w:val="en-US" w:eastAsia="zh-CN" w:bidi="ar-SA"/>
        </w:rPr>
        <w:t>，开通审核</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绿色通道</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，实行</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立提立审立办</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机制，推行环境影响评价报告与排污许可申请材料协同审核机制，实现“同步受理、联合审批、同步办结”</w:t>
      </w:r>
      <w:r>
        <w:rPr>
          <w:rFonts w:hint="eastAsia" w:ascii="仿宋_GB2312" w:hAnsi="仿宋_GB2312" w:eastAsia="仿宋_GB2312" w:cs="仿宋_GB2312"/>
          <w:i w:val="0"/>
          <w:caps w:val="0"/>
          <w:color w:val="000000"/>
          <w:spacing w:val="0"/>
          <w:kern w:val="2"/>
          <w:sz w:val="32"/>
          <w:szCs w:val="32"/>
          <w:lang w:val="en-US" w:eastAsia="zh-CN" w:bidi="ar-SA"/>
        </w:rPr>
        <w:t>，以政务公开助力企业办事服务。</w:t>
      </w:r>
    </w:p>
    <w:p w14:paraId="5634CC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ZmU0MWVkNGNjMTEzODljM2VjZjNmMDEzYzk2NTcifQ=="/>
  </w:docVars>
  <w:rsids>
    <w:rsidRoot w:val="3A646391"/>
    <w:rsid w:val="00063BF2"/>
    <w:rsid w:val="000B11AB"/>
    <w:rsid w:val="002B1D14"/>
    <w:rsid w:val="003703EC"/>
    <w:rsid w:val="003B7996"/>
    <w:rsid w:val="004B5249"/>
    <w:rsid w:val="0064322E"/>
    <w:rsid w:val="007A034E"/>
    <w:rsid w:val="009475B7"/>
    <w:rsid w:val="00A8370C"/>
    <w:rsid w:val="00AE15E5"/>
    <w:rsid w:val="00B32474"/>
    <w:rsid w:val="00BF03FB"/>
    <w:rsid w:val="00C3795F"/>
    <w:rsid w:val="00C871F4"/>
    <w:rsid w:val="00D3434E"/>
    <w:rsid w:val="00D767E7"/>
    <w:rsid w:val="00D974FD"/>
    <w:rsid w:val="00DB60CA"/>
    <w:rsid w:val="00DE5C5E"/>
    <w:rsid w:val="00E24AF0"/>
    <w:rsid w:val="00E72FA2"/>
    <w:rsid w:val="00F14938"/>
    <w:rsid w:val="00F3088F"/>
    <w:rsid w:val="025B2DC4"/>
    <w:rsid w:val="02B4470B"/>
    <w:rsid w:val="02BC3862"/>
    <w:rsid w:val="03343D40"/>
    <w:rsid w:val="04657F2A"/>
    <w:rsid w:val="060774EA"/>
    <w:rsid w:val="08931509"/>
    <w:rsid w:val="093C394F"/>
    <w:rsid w:val="097338EA"/>
    <w:rsid w:val="0A570314"/>
    <w:rsid w:val="0B882E7B"/>
    <w:rsid w:val="0B8B2560"/>
    <w:rsid w:val="0C1B4CBB"/>
    <w:rsid w:val="0E963B01"/>
    <w:rsid w:val="108C6F6A"/>
    <w:rsid w:val="118916FB"/>
    <w:rsid w:val="12107727"/>
    <w:rsid w:val="13B37ED8"/>
    <w:rsid w:val="147865A9"/>
    <w:rsid w:val="14EF7AC7"/>
    <w:rsid w:val="15BA6327"/>
    <w:rsid w:val="16E774B2"/>
    <w:rsid w:val="193671B5"/>
    <w:rsid w:val="196F7429"/>
    <w:rsid w:val="1AAC0209"/>
    <w:rsid w:val="20875058"/>
    <w:rsid w:val="20B10327"/>
    <w:rsid w:val="20C52024"/>
    <w:rsid w:val="21DF4B55"/>
    <w:rsid w:val="22E62DD4"/>
    <w:rsid w:val="230362F0"/>
    <w:rsid w:val="231560F9"/>
    <w:rsid w:val="2345787D"/>
    <w:rsid w:val="241430A6"/>
    <w:rsid w:val="25B642B8"/>
    <w:rsid w:val="25E3292D"/>
    <w:rsid w:val="27BE0047"/>
    <w:rsid w:val="289C366A"/>
    <w:rsid w:val="2939710B"/>
    <w:rsid w:val="2A1738F0"/>
    <w:rsid w:val="2A3D2C2B"/>
    <w:rsid w:val="2A524929"/>
    <w:rsid w:val="2A8D6519"/>
    <w:rsid w:val="2BBE52BC"/>
    <w:rsid w:val="2C4402A1"/>
    <w:rsid w:val="2ECF6C02"/>
    <w:rsid w:val="2F7F9B55"/>
    <w:rsid w:val="30D82A04"/>
    <w:rsid w:val="323F1C36"/>
    <w:rsid w:val="34B57D75"/>
    <w:rsid w:val="35BD140B"/>
    <w:rsid w:val="36DF4E43"/>
    <w:rsid w:val="372E4412"/>
    <w:rsid w:val="379A16BD"/>
    <w:rsid w:val="37F54B45"/>
    <w:rsid w:val="382E5B98"/>
    <w:rsid w:val="394E3150"/>
    <w:rsid w:val="39F23389"/>
    <w:rsid w:val="3A646391"/>
    <w:rsid w:val="3B094290"/>
    <w:rsid w:val="3DD80B38"/>
    <w:rsid w:val="3DDE6A12"/>
    <w:rsid w:val="3F740A45"/>
    <w:rsid w:val="3FF4DDBF"/>
    <w:rsid w:val="41A76EB0"/>
    <w:rsid w:val="430E7CB4"/>
    <w:rsid w:val="447F6595"/>
    <w:rsid w:val="471A1161"/>
    <w:rsid w:val="48643D4D"/>
    <w:rsid w:val="4A477482"/>
    <w:rsid w:val="4D043409"/>
    <w:rsid w:val="4D187BED"/>
    <w:rsid w:val="4D6333F2"/>
    <w:rsid w:val="4DC40DEA"/>
    <w:rsid w:val="4E0F631A"/>
    <w:rsid w:val="4E4E19C6"/>
    <w:rsid w:val="4F073684"/>
    <w:rsid w:val="53DD2C05"/>
    <w:rsid w:val="57B95737"/>
    <w:rsid w:val="58912B5C"/>
    <w:rsid w:val="5B163AB7"/>
    <w:rsid w:val="5BA0433C"/>
    <w:rsid w:val="5BCA4851"/>
    <w:rsid w:val="5C077D05"/>
    <w:rsid w:val="5F30008D"/>
    <w:rsid w:val="619C7C5C"/>
    <w:rsid w:val="61DE034B"/>
    <w:rsid w:val="61FC694D"/>
    <w:rsid w:val="620B5EB0"/>
    <w:rsid w:val="628450C5"/>
    <w:rsid w:val="668343C9"/>
    <w:rsid w:val="67CA092F"/>
    <w:rsid w:val="6939071B"/>
    <w:rsid w:val="699658D9"/>
    <w:rsid w:val="6A7259FE"/>
    <w:rsid w:val="6A7D43A3"/>
    <w:rsid w:val="6B0B0DC2"/>
    <w:rsid w:val="6BBB1626"/>
    <w:rsid w:val="6C0E79A8"/>
    <w:rsid w:val="6DAA75C3"/>
    <w:rsid w:val="6DF332FA"/>
    <w:rsid w:val="6E7A4B96"/>
    <w:rsid w:val="6F0155A2"/>
    <w:rsid w:val="6FB9A623"/>
    <w:rsid w:val="702807DC"/>
    <w:rsid w:val="720D2CAA"/>
    <w:rsid w:val="73124222"/>
    <w:rsid w:val="7351309D"/>
    <w:rsid w:val="737FBBA7"/>
    <w:rsid w:val="73B07597"/>
    <w:rsid w:val="73B35FA0"/>
    <w:rsid w:val="73CEA505"/>
    <w:rsid w:val="75C17839"/>
    <w:rsid w:val="7641373C"/>
    <w:rsid w:val="76944F4E"/>
    <w:rsid w:val="782A3DBC"/>
    <w:rsid w:val="78C95383"/>
    <w:rsid w:val="79627585"/>
    <w:rsid w:val="79A33A55"/>
    <w:rsid w:val="79C03294"/>
    <w:rsid w:val="7AD02A5D"/>
    <w:rsid w:val="7B707D38"/>
    <w:rsid w:val="7BC435EE"/>
    <w:rsid w:val="7BCE0F02"/>
    <w:rsid w:val="7CF82385"/>
    <w:rsid w:val="7D6B4B36"/>
    <w:rsid w:val="7E5E68F9"/>
    <w:rsid w:val="7F3948E4"/>
    <w:rsid w:val="7FBF7A3C"/>
    <w:rsid w:val="7FBF8379"/>
    <w:rsid w:val="7FF6FDE4"/>
    <w:rsid w:val="7FF8BC10"/>
    <w:rsid w:val="9FFC85BA"/>
    <w:rsid w:val="B5FFEB84"/>
    <w:rsid w:val="CEFFFB97"/>
    <w:rsid w:val="EFFEBE60"/>
    <w:rsid w:val="F397D34F"/>
    <w:rsid w:val="F9FD25E8"/>
    <w:rsid w:val="FA7D53DF"/>
    <w:rsid w:val="FB8D4A2A"/>
    <w:rsid w:val="FD5DB109"/>
    <w:rsid w:val="FEF24F68"/>
    <w:rsid w:val="FFB71062"/>
    <w:rsid w:val="FFB73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table" w:customStyle="1" w:styleId="16">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7">
    <w:name w:val="Unresolved Mention"/>
    <w:basedOn w:val="10"/>
    <w:semiHidden/>
    <w:unhideWhenUsed/>
    <w:qFormat/>
    <w:uiPriority w:val="99"/>
    <w:rPr>
      <w:color w:val="605E5C"/>
      <w:shd w:val="clear" w:color="auto" w:fill="E1DFDD"/>
    </w:rPr>
  </w:style>
  <w:style w:type="paragraph" w:customStyle="1" w:styleId="1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2003</Words>
  <Characters>2102</Characters>
  <Lines>23</Lines>
  <Paragraphs>6</Paragraphs>
  <TotalTime>1</TotalTime>
  <ScaleCrop>false</ScaleCrop>
  <LinksUpToDate>false</LinksUpToDate>
  <CharactersWithSpaces>2103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2021-02-01T01:39:00Z</dcterms:created>
  <dc:creator>qzuser</dc:creator>
  <cp:lastModifiedBy>赵秀文</cp:lastModifiedBy>
  <cp:lastPrinted>2021-02-01T01:40:00Z</cp:lastPrinted>
  <dcterms:modified xsi:type="dcterms:W3CDTF">2026-01-13T09:20:54Z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DB1872DABD8C6AE17C9C656975A048B9_43</vt:lpwstr>
  </property>
  <property fmtid="{D5CDD505-2E9C-101B-9397-08002B2CF9AE}" pid="4" name="KSOTemplateDocerSaveRecord">
    <vt:lpwstr>eyJoZGlkIjoiZjQ5YmNjNGRiYmMyM2VhZTljMjQ3YTY0Nzk4MjJmOTMiLCJ1c2VySWQiOiI1MTg0NDc3MzkifQ==</vt:lpwstr>
  </property>
</Properties>
</file>