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adjustRightInd w:val="0"/>
        <w:snapToGrid w:val="0"/>
        <w:jc w:val="center"/>
        <w:outlineLvl w:val="0"/>
        <w:rPr>
          <w:rFonts w:hint="default" w:ascii="Times New Roman" w:hAnsi="Times New Roman" w:eastAsia="方正小标宋_GBK" w:cs="Times New Roman"/>
          <w:bCs/>
          <w:sz w:val="72"/>
          <w:szCs w:val="72"/>
        </w:rPr>
      </w:pPr>
      <w:r>
        <w:rPr>
          <w:rFonts w:hint="default" w:ascii="Times New Roman" w:hAnsi="Times New Roman" w:eastAsia="方正小标宋_GBK" w:cs="Times New Roman"/>
          <w:bCs/>
          <w:sz w:val="72"/>
          <w:szCs w:val="72"/>
        </w:rPr>
        <w:t>建设项目环境影响报告表</w:t>
      </w:r>
    </w:p>
    <w:p>
      <w:pPr>
        <w:adjustRightInd w:val="0"/>
        <w:snapToGrid w:val="0"/>
        <w:spacing w:before="192" w:beforeLines="80"/>
        <w:jc w:val="center"/>
        <w:rPr>
          <w:rFonts w:hint="default" w:ascii="Times New Roman" w:hAnsi="Times New Roman" w:eastAsia="楷体_GB2312" w:cs="Times New Roman"/>
          <w:bCs/>
          <w:sz w:val="48"/>
          <w:szCs w:val="48"/>
        </w:rPr>
      </w:pPr>
      <w:r>
        <w:rPr>
          <w:rFonts w:hint="default" w:ascii="Times New Roman" w:hAnsi="Times New Roman" w:eastAsia="楷体_GB2312" w:cs="Times New Roman"/>
          <w:bCs/>
          <w:sz w:val="48"/>
          <w:szCs w:val="48"/>
        </w:rPr>
        <w:t>（污染影响类）</w:t>
      </w:r>
    </w:p>
    <w:p>
      <w:pPr>
        <w:jc w:val="center"/>
        <w:rPr>
          <w:rFonts w:hint="default" w:ascii="Times New Roman" w:hAnsi="Times New Roman" w:eastAsia="仿宋" w:cs="Times New Roman"/>
          <w:sz w:val="52"/>
          <w:szCs w:val="52"/>
        </w:rPr>
      </w:pPr>
    </w:p>
    <w:p>
      <w:pPr>
        <w:ind w:firstLine="1040"/>
        <w:rPr>
          <w:rFonts w:hint="default" w:ascii="Times New Roman" w:hAnsi="Times New Roman" w:eastAsia="仿宋" w:cs="Times New Roman"/>
          <w:sz w:val="44"/>
          <w:szCs w:val="44"/>
        </w:rPr>
      </w:pPr>
    </w:p>
    <w:p>
      <w:pPr>
        <w:ind w:firstLine="1040"/>
        <w:rPr>
          <w:rFonts w:hint="default" w:ascii="Times New Roman" w:hAnsi="Times New Roman" w:eastAsia="仿宋" w:cs="Times New Roman"/>
          <w:sz w:val="44"/>
          <w:szCs w:val="44"/>
        </w:rPr>
      </w:pPr>
    </w:p>
    <w:p>
      <w:pPr>
        <w:ind w:firstLine="1040"/>
        <w:rPr>
          <w:rFonts w:hint="default" w:ascii="Times New Roman" w:hAnsi="Times New Roman" w:eastAsia="仿宋" w:cs="Times New Roman"/>
          <w:sz w:val="44"/>
          <w:szCs w:val="44"/>
        </w:rPr>
      </w:pPr>
    </w:p>
    <w:p>
      <w:pPr>
        <w:ind w:firstLine="1040"/>
        <w:rPr>
          <w:rFonts w:hint="default" w:ascii="Times New Roman" w:hAnsi="Times New Roman" w:eastAsia="仿宋" w:cs="Times New Roman"/>
          <w:sz w:val="44"/>
          <w:szCs w:val="44"/>
        </w:rPr>
      </w:pPr>
    </w:p>
    <w:p>
      <w:pPr>
        <w:ind w:firstLine="1040"/>
        <w:rPr>
          <w:rFonts w:hint="default" w:ascii="Times New Roman" w:hAnsi="Times New Roman" w:eastAsia="仿宋"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288" w:lineRule="auto"/>
        <w:ind w:firstLine="471"/>
        <w:textAlignment w:val="auto"/>
        <w:rPr>
          <w:rFonts w:hint="default" w:ascii="Times New Roman" w:hAnsi="Times New Roman" w:eastAsia="仿宋_GB2312" w:cs="Times New Roman"/>
          <w:sz w:val="36"/>
          <w:szCs w:val="36"/>
          <w:u w:val="single"/>
        </w:rPr>
      </w:pPr>
      <w:bookmarkStart w:id="0" w:name="_Hlk57884087"/>
      <w:r>
        <w:rPr>
          <w:rFonts w:hint="default" w:ascii="Times New Roman" w:hAnsi="Times New Roman" w:eastAsia="仿宋_GB2312" w:cs="Times New Roman"/>
          <w:sz w:val="36"/>
          <w:szCs w:val="36"/>
        </w:rPr>
        <w:t>项</w:t>
      </w:r>
      <w:r>
        <w:rPr>
          <w:rFonts w:hint="default" w:ascii="Times New Roman" w:hAnsi="Times New Roman" w:eastAsia="仿宋_GB2312" w:cs="Times New Roman"/>
          <w:sz w:val="36"/>
          <w:szCs w:val="36"/>
          <w:lang w:val="en-US" w:eastAsia="zh-CN"/>
        </w:rPr>
        <w:t xml:space="preserve">  </w:t>
      </w:r>
      <w:r>
        <w:rPr>
          <w:rFonts w:hint="default" w:ascii="Times New Roman" w:hAnsi="Times New Roman" w:eastAsia="仿宋_GB2312" w:cs="Times New Roman"/>
          <w:sz w:val="36"/>
          <w:szCs w:val="36"/>
        </w:rPr>
        <w:t>目</w:t>
      </w:r>
      <w:r>
        <w:rPr>
          <w:rFonts w:hint="default" w:ascii="Times New Roman" w:hAnsi="Times New Roman" w:eastAsia="仿宋_GB2312" w:cs="Times New Roman"/>
          <w:sz w:val="36"/>
          <w:szCs w:val="36"/>
          <w:lang w:val="en-US" w:eastAsia="zh-CN"/>
        </w:rPr>
        <w:t xml:space="preserve">  </w:t>
      </w:r>
      <w:r>
        <w:rPr>
          <w:rFonts w:hint="default" w:ascii="Times New Roman" w:hAnsi="Times New Roman" w:eastAsia="仿宋_GB2312" w:cs="Times New Roman"/>
          <w:sz w:val="36"/>
          <w:szCs w:val="36"/>
        </w:rPr>
        <w:t>名</w:t>
      </w:r>
      <w:r>
        <w:rPr>
          <w:rFonts w:hint="default" w:ascii="Times New Roman" w:hAnsi="Times New Roman" w:eastAsia="仿宋_GB2312" w:cs="Times New Roman"/>
          <w:sz w:val="36"/>
          <w:szCs w:val="36"/>
          <w:lang w:val="en-US" w:eastAsia="zh-CN"/>
        </w:rPr>
        <w:t xml:space="preserve">  </w:t>
      </w:r>
      <w:r>
        <w:rPr>
          <w:rFonts w:hint="default" w:ascii="Times New Roman" w:hAnsi="Times New Roman" w:eastAsia="仿宋_GB2312" w:cs="Times New Roman"/>
          <w:sz w:val="36"/>
          <w:szCs w:val="36"/>
        </w:rPr>
        <w:t>称：</w:t>
      </w:r>
      <w:r>
        <w:rPr>
          <w:rFonts w:hint="default" w:ascii="Times New Roman" w:hAnsi="Times New Roman" w:eastAsia="仿宋_GB2312" w:cs="Times New Roman"/>
          <w:sz w:val="36"/>
          <w:szCs w:val="36"/>
          <w:u w:val="single"/>
        </w:rPr>
        <w:t xml:space="preserve">        </w:t>
      </w:r>
      <w:r>
        <w:rPr>
          <w:rFonts w:hint="default" w:ascii="Times New Roman" w:hAnsi="Times New Roman" w:eastAsia="仿宋_GB2312" w:cs="Times New Roman"/>
          <w:sz w:val="36"/>
          <w:szCs w:val="36"/>
          <w:u w:val="single"/>
          <w:lang w:eastAsia="zh-CN"/>
        </w:rPr>
        <w:t>SOD食品项目</w:t>
      </w:r>
      <w:r>
        <w:rPr>
          <w:rFonts w:hint="default" w:ascii="Times New Roman" w:hAnsi="Times New Roman" w:eastAsia="仿宋_GB2312" w:cs="Times New Roman"/>
          <w:sz w:val="36"/>
          <w:szCs w:val="36"/>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firstLine="471"/>
        <w:textAlignment w:val="auto"/>
        <w:rPr>
          <w:rFonts w:hint="default" w:ascii="Times New Roman" w:hAnsi="Times New Roman" w:eastAsia="仿宋_GB2312" w:cs="Times New Roman"/>
          <w:sz w:val="36"/>
          <w:szCs w:val="36"/>
          <w:u w:val="single"/>
          <w:lang w:val="en-US" w:eastAsia="zh-CN"/>
        </w:rPr>
      </w:pPr>
      <w:r>
        <w:rPr>
          <w:rFonts w:hint="default" w:ascii="Times New Roman" w:hAnsi="Times New Roman" w:eastAsia="仿宋_GB2312" w:cs="Times New Roman"/>
          <w:sz w:val="36"/>
          <w:szCs w:val="36"/>
        </w:rPr>
        <w:t>建设单位（盖章）：</w:t>
      </w:r>
      <w:r>
        <w:rPr>
          <w:rFonts w:hint="default" w:ascii="Times New Roman" w:hAnsi="Times New Roman" w:eastAsia="仿宋_GB2312" w:cs="Times New Roman"/>
          <w:sz w:val="36"/>
          <w:szCs w:val="36"/>
          <w:u w:val="single"/>
          <w:lang w:eastAsia="zh-CN"/>
        </w:rPr>
        <w:t>山东浩斐生物科技有限公司</w:t>
      </w:r>
      <w:r>
        <w:rPr>
          <w:rFonts w:hint="eastAsia" w:eastAsia="仿宋_GB2312" w:cs="Times New Roman"/>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firstLine="471"/>
        <w:textAlignment w:val="auto"/>
        <w:rPr>
          <w:rFonts w:hint="default" w:ascii="Times New Roman" w:hAnsi="Times New Roman" w:eastAsia="仿宋_GB2312" w:cs="Times New Roman"/>
          <w:sz w:val="36"/>
          <w:szCs w:val="36"/>
          <w:u w:val="single"/>
        </w:rPr>
      </w:pPr>
      <w:r>
        <w:rPr>
          <w:rFonts w:hint="default" w:ascii="Times New Roman" w:hAnsi="Times New Roman" w:eastAsia="仿宋_GB2312" w:cs="Times New Roman"/>
          <w:sz w:val="36"/>
          <w:szCs w:val="36"/>
        </w:rPr>
        <w:t>编</w:t>
      </w:r>
      <w:r>
        <w:rPr>
          <w:rFonts w:hint="default" w:ascii="Times New Roman" w:hAnsi="Times New Roman" w:eastAsia="仿宋_GB2312" w:cs="Times New Roman"/>
          <w:sz w:val="36"/>
          <w:szCs w:val="36"/>
          <w:lang w:val="en-US" w:eastAsia="zh-CN"/>
        </w:rPr>
        <w:t xml:space="preserve">  </w:t>
      </w:r>
      <w:r>
        <w:rPr>
          <w:rFonts w:hint="default" w:ascii="Times New Roman" w:hAnsi="Times New Roman" w:eastAsia="仿宋_GB2312" w:cs="Times New Roman"/>
          <w:sz w:val="36"/>
          <w:szCs w:val="36"/>
        </w:rPr>
        <w:t>制</w:t>
      </w:r>
      <w:r>
        <w:rPr>
          <w:rFonts w:hint="default" w:ascii="Times New Roman" w:hAnsi="Times New Roman" w:eastAsia="仿宋_GB2312" w:cs="Times New Roman"/>
          <w:sz w:val="36"/>
          <w:szCs w:val="36"/>
          <w:lang w:val="en-US" w:eastAsia="zh-CN"/>
        </w:rPr>
        <w:t xml:space="preserve">  </w:t>
      </w:r>
      <w:r>
        <w:rPr>
          <w:rFonts w:hint="default" w:ascii="Times New Roman" w:hAnsi="Times New Roman" w:eastAsia="仿宋_GB2312" w:cs="Times New Roman"/>
          <w:sz w:val="36"/>
          <w:szCs w:val="36"/>
        </w:rPr>
        <w:t>日</w:t>
      </w:r>
      <w:r>
        <w:rPr>
          <w:rFonts w:hint="default" w:ascii="Times New Roman" w:hAnsi="Times New Roman" w:eastAsia="仿宋_GB2312" w:cs="Times New Roman"/>
          <w:sz w:val="36"/>
          <w:szCs w:val="36"/>
          <w:lang w:val="en-US" w:eastAsia="zh-CN"/>
        </w:rPr>
        <w:t xml:space="preserve">  </w:t>
      </w:r>
      <w:r>
        <w:rPr>
          <w:rFonts w:hint="default" w:ascii="Times New Roman" w:hAnsi="Times New Roman" w:eastAsia="仿宋_GB2312" w:cs="Times New Roman"/>
          <w:sz w:val="36"/>
          <w:szCs w:val="36"/>
        </w:rPr>
        <w:t>期：</w:t>
      </w:r>
      <w:r>
        <w:rPr>
          <w:rFonts w:hint="default" w:ascii="Times New Roman" w:hAnsi="Times New Roman" w:eastAsia="仿宋_GB2312" w:cs="Times New Roman"/>
          <w:sz w:val="36"/>
          <w:szCs w:val="36"/>
          <w:u w:val="single"/>
        </w:rPr>
        <w:t xml:space="preserve">   </w:t>
      </w:r>
      <w:r>
        <w:rPr>
          <w:rFonts w:hint="default" w:ascii="Times New Roman" w:hAnsi="Times New Roman" w:eastAsia="仿宋_GB2312" w:cs="Times New Roman"/>
          <w:sz w:val="36"/>
          <w:szCs w:val="36"/>
          <w:u w:val="single"/>
          <w:lang w:val="en-US" w:eastAsia="zh-CN"/>
        </w:rPr>
        <w:t xml:space="preserve"> </w:t>
      </w:r>
      <w:r>
        <w:rPr>
          <w:rFonts w:hint="default" w:ascii="Times New Roman" w:hAnsi="Times New Roman" w:eastAsia="仿宋_GB2312" w:cs="Times New Roman"/>
          <w:sz w:val="36"/>
          <w:szCs w:val="36"/>
          <w:u w:val="single"/>
        </w:rPr>
        <w:t xml:space="preserve">     202</w:t>
      </w:r>
      <w:r>
        <w:rPr>
          <w:rFonts w:hint="default" w:ascii="Times New Roman" w:hAnsi="Times New Roman" w:eastAsia="仿宋_GB2312" w:cs="Times New Roman"/>
          <w:sz w:val="36"/>
          <w:szCs w:val="36"/>
          <w:u w:val="single"/>
          <w:lang w:val="en-US" w:eastAsia="zh-CN"/>
        </w:rPr>
        <w:t>2</w:t>
      </w:r>
      <w:r>
        <w:rPr>
          <w:rFonts w:hint="default" w:ascii="Times New Roman" w:hAnsi="Times New Roman" w:eastAsia="仿宋_GB2312" w:cs="Times New Roman"/>
          <w:sz w:val="36"/>
          <w:szCs w:val="36"/>
          <w:u w:val="single"/>
        </w:rPr>
        <w:t>年</w:t>
      </w:r>
      <w:r>
        <w:rPr>
          <w:rFonts w:hint="eastAsia" w:eastAsia="仿宋_GB2312" w:cs="Times New Roman"/>
          <w:sz w:val="36"/>
          <w:szCs w:val="36"/>
          <w:u w:val="single"/>
          <w:lang w:val="en-US" w:eastAsia="zh-CN"/>
        </w:rPr>
        <w:t>8</w:t>
      </w:r>
      <w:r>
        <w:rPr>
          <w:rFonts w:hint="default" w:ascii="Times New Roman" w:hAnsi="Times New Roman" w:eastAsia="仿宋_GB2312" w:cs="Times New Roman"/>
          <w:sz w:val="36"/>
          <w:szCs w:val="36"/>
          <w:u w:val="single"/>
        </w:rPr>
        <w:t xml:space="preserve">月       </w:t>
      </w:r>
    </w:p>
    <w:bookmarkEnd w:id="0"/>
    <w:p>
      <w:pPr>
        <w:adjustRightInd w:val="0"/>
        <w:snapToGrid w:val="0"/>
        <w:spacing w:line="288" w:lineRule="auto"/>
        <w:ind w:firstLine="1040"/>
        <w:rPr>
          <w:rFonts w:hint="default" w:ascii="Times New Roman" w:hAnsi="Times New Roman" w:eastAsia="仿宋_GB2312" w:cs="Times New Roman"/>
          <w:sz w:val="36"/>
          <w:szCs w:val="36"/>
          <w:u w:val="single"/>
        </w:rPr>
      </w:pPr>
    </w:p>
    <w:p>
      <w:pPr>
        <w:adjustRightInd w:val="0"/>
        <w:snapToGrid w:val="0"/>
        <w:spacing w:line="288" w:lineRule="auto"/>
        <w:ind w:firstLine="1040"/>
        <w:rPr>
          <w:rFonts w:hint="default" w:ascii="Times New Roman" w:hAnsi="Times New Roman" w:eastAsia="仿宋_GB2312" w:cs="Times New Roman"/>
          <w:sz w:val="36"/>
          <w:szCs w:val="36"/>
        </w:rPr>
      </w:pPr>
    </w:p>
    <w:p>
      <w:pPr>
        <w:adjustRightInd w:val="0"/>
        <w:snapToGrid w:val="0"/>
        <w:spacing w:line="288" w:lineRule="auto"/>
        <w:rPr>
          <w:rFonts w:hint="default" w:ascii="Times New Roman" w:hAnsi="Times New Roman" w:eastAsia="仿宋_GB2312" w:cs="Times New Roman"/>
          <w:sz w:val="36"/>
          <w:szCs w:val="36"/>
        </w:rPr>
      </w:pPr>
    </w:p>
    <w:p>
      <w:pPr>
        <w:adjustRightInd w:val="0"/>
        <w:snapToGrid w:val="0"/>
        <w:spacing w:line="288" w:lineRule="auto"/>
        <w:jc w:val="center"/>
        <w:rPr>
          <w:rFonts w:hint="default" w:ascii="Times New Roman" w:hAnsi="Times New Roman" w:eastAsia="楷体_GB2312" w:cs="Times New Roman"/>
          <w:sz w:val="36"/>
          <w:szCs w:val="36"/>
        </w:rPr>
      </w:pPr>
    </w:p>
    <w:p>
      <w:pPr>
        <w:adjustRightInd w:val="0"/>
        <w:snapToGrid w:val="0"/>
        <w:spacing w:line="288" w:lineRule="auto"/>
        <w:jc w:val="center"/>
        <w:rPr>
          <w:rFonts w:hint="default" w:ascii="Times New Roman" w:hAnsi="Times New Roman" w:eastAsia="楷体_GB2312" w:cs="Times New Roman"/>
          <w:sz w:val="36"/>
          <w:szCs w:val="36"/>
        </w:rPr>
      </w:pPr>
    </w:p>
    <w:p>
      <w:pPr>
        <w:adjustRightInd w:val="0"/>
        <w:snapToGrid w:val="0"/>
        <w:spacing w:line="288" w:lineRule="auto"/>
        <w:jc w:val="center"/>
        <w:rPr>
          <w:rFonts w:hint="default" w:ascii="Times New Roman" w:hAnsi="Times New Roman" w:eastAsia="楷体_GB2312" w:cs="Times New Roman"/>
          <w:sz w:val="36"/>
          <w:szCs w:val="36"/>
        </w:rPr>
      </w:pPr>
      <w:r>
        <w:rPr>
          <w:rFonts w:hint="default" w:ascii="Times New Roman" w:hAnsi="Times New Roman" w:eastAsia="楷体_GB2312" w:cs="Times New Roman"/>
          <w:sz w:val="36"/>
          <w:szCs w:val="36"/>
        </w:rPr>
        <w:t>中华人民共和国生态环境部制</w:t>
      </w:r>
    </w:p>
    <w:p>
      <w:pPr>
        <w:adjustRightInd w:val="0"/>
        <w:snapToGrid w:val="0"/>
        <w:spacing w:line="288" w:lineRule="auto"/>
        <w:ind w:firstLine="1040"/>
        <w:rPr>
          <w:rFonts w:hint="default" w:ascii="Times New Roman" w:hAnsi="Times New Roman" w:eastAsia="仿宋_GB2312" w:cs="Times New Roman"/>
          <w:sz w:val="36"/>
          <w:szCs w:val="36"/>
        </w:rPr>
        <w:sectPr>
          <w:footerReference r:id="rId3" w:type="default"/>
          <w:footerReference r:id="rId4" w:type="even"/>
          <w:pgSz w:w="11906" w:h="16838"/>
          <w:pgMar w:top="1701" w:right="1531" w:bottom="1701" w:left="1531" w:header="851" w:footer="1077" w:gutter="0"/>
          <w:pgNumType w:start="3"/>
          <w:cols w:space="720" w:num="1"/>
          <w:docGrid w:linePitch="312" w:charSpace="0"/>
        </w:sectPr>
      </w:pPr>
    </w:p>
    <w:p>
      <w:pPr>
        <w:pStyle w:val="23"/>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一、建设项目基本情况</w:t>
      </w:r>
    </w:p>
    <w:tbl>
      <w:tblPr>
        <w:tblStyle w:val="26"/>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82"/>
        <w:gridCol w:w="1228"/>
        <w:gridCol w:w="2109"/>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1910"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建设项目名称</w:t>
            </w:r>
          </w:p>
        </w:tc>
        <w:tc>
          <w:tcPr>
            <w:tcW w:w="6960" w:type="dxa"/>
            <w:gridSpan w:val="3"/>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山东浩斐生物科技有限公司SOD食品项目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910"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项目代码</w:t>
            </w:r>
          </w:p>
        </w:tc>
        <w:tc>
          <w:tcPr>
            <w:tcW w:w="6960" w:type="dxa"/>
            <w:gridSpan w:val="3"/>
            <w:vAlign w:val="center"/>
          </w:tcPr>
          <w:p>
            <w:pPr>
              <w:adjustRightInd w:val="0"/>
              <w:snapToGrid w:val="0"/>
              <w:jc w:val="center"/>
              <w:rPr>
                <w:rFonts w:hint="default" w:ascii="Times New Roman" w:hAnsi="Times New Roman" w:cs="Times New Roman"/>
                <w:color w:val="auto"/>
                <w:szCs w:val="21"/>
              </w:rPr>
            </w:pPr>
            <w:r>
              <w:rPr>
                <w:rFonts w:hint="eastAsia" w:cs="Times New Roman"/>
                <w:color w:val="auto"/>
                <w:szCs w:val="21"/>
                <w:lang w:eastAsia="zh-CN"/>
              </w:rPr>
              <w:t>2207-370305-89-01-537708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1910"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建设单位联系人</w:t>
            </w:r>
          </w:p>
        </w:tc>
        <w:tc>
          <w:tcPr>
            <w:tcW w:w="2109"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于立堂</w:t>
            </w:r>
          </w:p>
        </w:tc>
        <w:tc>
          <w:tcPr>
            <w:tcW w:w="2212"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联系方式</w:t>
            </w:r>
          </w:p>
        </w:tc>
        <w:tc>
          <w:tcPr>
            <w:tcW w:w="2639"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13573368008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10"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建设地点</w:t>
            </w:r>
          </w:p>
        </w:tc>
        <w:tc>
          <w:tcPr>
            <w:tcW w:w="6960" w:type="dxa"/>
            <w:gridSpan w:val="3"/>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highlight w:val="none"/>
              </w:rPr>
              <w:t>临淄区农业高新技术示范区农圣路2号</w:t>
            </w:r>
            <w:r>
              <w:rPr>
                <w:rFonts w:hint="default" w:ascii="Times New Roman" w:hAnsi="Times New Roman" w:cs="Times New Roman"/>
                <w:color w:val="auto"/>
                <w:szCs w:val="21"/>
                <w:highlight w:val="none"/>
                <w:lang w:val="en-US" w:eastAsia="zh-CN"/>
              </w:rPr>
              <w:t>A区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10"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地理坐标</w:t>
            </w:r>
          </w:p>
        </w:tc>
        <w:tc>
          <w:tcPr>
            <w:tcW w:w="6960"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r>
              <w:rPr>
                <w:rFonts w:hint="default" w:ascii="Times New Roman" w:hAnsi="Times New Roman" w:cs="Times New Roman"/>
                <w:color w:val="auto"/>
                <w:szCs w:val="21"/>
                <w:u w:val="single"/>
              </w:rPr>
              <w:t>118</w:t>
            </w:r>
            <w:r>
              <w:rPr>
                <w:rFonts w:hint="default" w:ascii="Times New Roman" w:hAnsi="Times New Roman" w:cs="Times New Roman"/>
                <w:color w:val="auto"/>
                <w:szCs w:val="21"/>
              </w:rPr>
              <w:t>度</w:t>
            </w:r>
            <w:r>
              <w:rPr>
                <w:rFonts w:hint="default" w:ascii="Times New Roman" w:hAnsi="Times New Roman" w:cs="Times New Roman"/>
                <w:color w:val="auto"/>
                <w:szCs w:val="21"/>
                <w:u w:val="single"/>
              </w:rPr>
              <w:t>17</w:t>
            </w:r>
            <w:r>
              <w:rPr>
                <w:rFonts w:hint="default" w:ascii="Times New Roman" w:hAnsi="Times New Roman" w:cs="Times New Roman"/>
                <w:color w:val="auto"/>
                <w:szCs w:val="21"/>
              </w:rPr>
              <w:t>分</w:t>
            </w:r>
            <w:r>
              <w:rPr>
                <w:rFonts w:hint="eastAsia" w:ascii="Times New Roman" w:hAnsi="Times New Roman" w:cs="Times New Roman"/>
                <w:color w:val="auto"/>
                <w:szCs w:val="21"/>
                <w:u w:val="single"/>
                <w:lang w:val="en-US" w:eastAsia="zh-CN"/>
              </w:rPr>
              <w:t>58.610</w:t>
            </w:r>
            <w:r>
              <w:rPr>
                <w:rFonts w:hint="default" w:ascii="Times New Roman" w:hAnsi="Times New Roman" w:cs="Times New Roman"/>
                <w:color w:val="auto"/>
                <w:szCs w:val="21"/>
              </w:rPr>
              <w:t>秒，</w:t>
            </w:r>
            <w:r>
              <w:rPr>
                <w:rFonts w:hint="default" w:ascii="Times New Roman" w:hAnsi="Times New Roman" w:cs="Times New Roman"/>
                <w:color w:val="auto"/>
                <w:szCs w:val="21"/>
                <w:u w:val="single"/>
              </w:rPr>
              <w:t>36</w:t>
            </w:r>
            <w:r>
              <w:rPr>
                <w:rFonts w:hint="default" w:ascii="Times New Roman" w:hAnsi="Times New Roman" w:cs="Times New Roman"/>
                <w:color w:val="auto"/>
                <w:szCs w:val="21"/>
              </w:rPr>
              <w:t>度</w:t>
            </w:r>
            <w:r>
              <w:rPr>
                <w:rFonts w:hint="default" w:ascii="Times New Roman" w:hAnsi="Times New Roman" w:cs="Times New Roman"/>
                <w:color w:val="auto"/>
                <w:szCs w:val="21"/>
                <w:u w:val="single"/>
              </w:rPr>
              <w:t>51</w:t>
            </w:r>
            <w:r>
              <w:rPr>
                <w:rFonts w:hint="default" w:ascii="Times New Roman" w:hAnsi="Times New Roman" w:cs="Times New Roman"/>
                <w:color w:val="auto"/>
                <w:szCs w:val="21"/>
              </w:rPr>
              <w:t>分</w:t>
            </w:r>
            <w:r>
              <w:rPr>
                <w:rFonts w:hint="eastAsia" w:ascii="Times New Roman" w:hAnsi="Times New Roman" w:cs="Times New Roman"/>
                <w:color w:val="auto"/>
                <w:szCs w:val="21"/>
                <w:u w:val="single"/>
                <w:lang w:val="en-US" w:eastAsia="zh-CN"/>
              </w:rPr>
              <w:t>31.077</w:t>
            </w:r>
            <w:r>
              <w:rPr>
                <w:rFonts w:hint="default" w:ascii="Times New Roman" w:hAnsi="Times New Roman" w:cs="Times New Roman"/>
                <w:color w:val="auto"/>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910"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国民经济</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行业类别</w:t>
            </w:r>
          </w:p>
        </w:tc>
        <w:tc>
          <w:tcPr>
            <w:tcW w:w="2109"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C149</w:t>
            </w:r>
            <w:r>
              <w:rPr>
                <w:rFonts w:hint="default" w:ascii="Times New Roman" w:hAnsi="Times New Roman" w:cs="Times New Roman"/>
                <w:color w:val="auto"/>
                <w:szCs w:val="21"/>
                <w:lang w:val="en-US" w:eastAsia="zh-CN"/>
              </w:rPr>
              <w:t>2保健</w:t>
            </w:r>
            <w:r>
              <w:rPr>
                <w:rFonts w:hint="default" w:ascii="Times New Roman" w:hAnsi="Times New Roman" w:cs="Times New Roman"/>
                <w:color w:val="auto"/>
                <w:szCs w:val="21"/>
              </w:rPr>
              <w:t>食品制造</w:t>
            </w:r>
          </w:p>
        </w:tc>
        <w:tc>
          <w:tcPr>
            <w:tcW w:w="2212" w:type="dxa"/>
            <w:vAlign w:val="center"/>
          </w:tcPr>
          <w:p>
            <w:pPr>
              <w:adjustRightInd w:val="0"/>
              <w:snapToGrid w:val="0"/>
              <w:jc w:val="center"/>
              <w:rPr>
                <w:rFonts w:hint="default" w:ascii="Times New Roman" w:hAnsi="Times New Roman" w:cs="Times New Roman"/>
                <w:color w:val="auto"/>
                <w:szCs w:val="21"/>
              </w:rPr>
            </w:pPr>
            <w:bookmarkStart w:id="1" w:name="_Hlk49843745"/>
            <w:r>
              <w:rPr>
                <w:rFonts w:hint="default" w:ascii="Times New Roman" w:hAnsi="Times New Roman" w:cs="Times New Roman"/>
                <w:color w:val="auto"/>
                <w:szCs w:val="21"/>
              </w:rPr>
              <w:t>建设项目</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行业类别</w:t>
            </w:r>
            <w:bookmarkEnd w:id="1"/>
          </w:p>
        </w:tc>
        <w:tc>
          <w:tcPr>
            <w:tcW w:w="2639"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24、其他食品制造</w:t>
            </w:r>
            <w:r>
              <w:rPr>
                <w:rFonts w:hint="default" w:ascii="Times New Roman" w:hAnsi="Times New Roman" w:cs="Times New Roman"/>
                <w:color w:val="auto"/>
              </w:rPr>
              <w:t>149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910"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建设性质</w:t>
            </w:r>
          </w:p>
        </w:tc>
        <w:tc>
          <w:tcPr>
            <w:tcW w:w="2109" w:type="dxa"/>
            <w:vAlign w:val="center"/>
          </w:tcPr>
          <w:p>
            <w:pPr>
              <w:jc w:val="left"/>
              <w:rPr>
                <w:rFonts w:hint="default" w:ascii="Times New Roman" w:hAnsi="Times New Roman" w:cs="Times New Roman"/>
                <w:color w:val="auto"/>
                <w:szCs w:val="21"/>
              </w:rPr>
            </w:pPr>
            <w:r>
              <w:rPr>
                <w:rFonts w:hint="default" w:ascii="Times New Roman" w:hAnsi="Times New Roman" w:cs="Times New Roman"/>
                <w:color w:val="auto"/>
                <w:sz w:val="22"/>
              </w:rPr>
              <w:sym w:font="Wingdings 2" w:char="0052"/>
            </w:r>
            <w:r>
              <w:rPr>
                <w:rFonts w:hint="default" w:ascii="Times New Roman" w:hAnsi="Times New Roman" w:cs="Times New Roman"/>
                <w:color w:val="auto"/>
                <w:szCs w:val="21"/>
              </w:rPr>
              <w:t>新建</w:t>
            </w:r>
          </w:p>
          <w:p>
            <w:pPr>
              <w:jc w:val="left"/>
              <w:rPr>
                <w:rFonts w:hint="default" w:ascii="Times New Roman" w:hAnsi="Times New Roman" w:cs="Times New Roman"/>
                <w:color w:val="auto"/>
                <w:szCs w:val="21"/>
              </w:rPr>
            </w:pPr>
            <w:r>
              <w:rPr>
                <w:rFonts w:hint="default" w:ascii="Times New Roman" w:hAnsi="Times New Roman" w:cs="Times New Roman"/>
                <w:color w:val="auto"/>
                <w:sz w:val="22"/>
              </w:rPr>
              <w:t>□</w:t>
            </w:r>
            <w:r>
              <w:rPr>
                <w:rFonts w:hint="default" w:ascii="Times New Roman" w:hAnsi="Times New Roman" w:cs="Times New Roman"/>
                <w:color w:val="auto"/>
                <w:szCs w:val="21"/>
              </w:rPr>
              <w:t>改建</w:t>
            </w:r>
          </w:p>
          <w:p>
            <w:pPr>
              <w:jc w:val="left"/>
              <w:rPr>
                <w:rFonts w:hint="default" w:ascii="Times New Roman" w:hAnsi="Times New Roman" w:cs="Times New Roman"/>
                <w:color w:val="auto"/>
                <w:szCs w:val="21"/>
              </w:rPr>
            </w:pPr>
            <w:r>
              <w:rPr>
                <w:rFonts w:hint="default" w:ascii="Times New Roman" w:hAnsi="Times New Roman" w:cs="Times New Roman"/>
                <w:color w:val="auto"/>
                <w:sz w:val="22"/>
              </w:rPr>
              <w:t>□</w:t>
            </w:r>
            <w:r>
              <w:rPr>
                <w:rFonts w:hint="default" w:ascii="Times New Roman" w:hAnsi="Times New Roman" w:cs="Times New Roman"/>
                <w:color w:val="auto"/>
                <w:szCs w:val="21"/>
              </w:rPr>
              <w:t>扩建</w:t>
            </w:r>
          </w:p>
          <w:p>
            <w:pPr>
              <w:jc w:val="left"/>
              <w:rPr>
                <w:rFonts w:hint="default" w:ascii="Times New Roman" w:hAnsi="Times New Roman" w:cs="Times New Roman"/>
                <w:color w:val="auto"/>
                <w:szCs w:val="21"/>
              </w:rPr>
            </w:pPr>
            <w:r>
              <w:rPr>
                <w:rFonts w:hint="default" w:ascii="Times New Roman" w:hAnsi="Times New Roman" w:cs="Times New Roman"/>
                <w:color w:val="auto"/>
                <w:sz w:val="22"/>
              </w:rPr>
              <w:sym w:font="Wingdings 2" w:char="00A3"/>
            </w:r>
            <w:r>
              <w:rPr>
                <w:rFonts w:hint="default" w:ascii="Times New Roman" w:hAnsi="Times New Roman" w:cs="Times New Roman"/>
                <w:color w:val="auto"/>
                <w:szCs w:val="21"/>
              </w:rPr>
              <w:t>技术改造</w:t>
            </w:r>
          </w:p>
        </w:tc>
        <w:tc>
          <w:tcPr>
            <w:tcW w:w="2212"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建设项目</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申报情形</w:t>
            </w:r>
          </w:p>
        </w:tc>
        <w:tc>
          <w:tcPr>
            <w:tcW w:w="2639" w:type="dxa"/>
            <w:vAlign w:val="center"/>
          </w:tcPr>
          <w:p>
            <w:pPr>
              <w:jc w:val="left"/>
              <w:rPr>
                <w:rFonts w:hint="default" w:ascii="Times New Roman" w:hAnsi="Times New Roman" w:cs="Times New Roman"/>
                <w:color w:val="auto"/>
                <w:szCs w:val="21"/>
              </w:rPr>
            </w:pPr>
            <w:r>
              <w:rPr>
                <w:rFonts w:hint="default" w:ascii="Times New Roman" w:hAnsi="Times New Roman" w:cs="Times New Roman"/>
                <w:color w:val="auto"/>
                <w:sz w:val="22"/>
              </w:rPr>
              <w:t>☑</w:t>
            </w:r>
            <w:r>
              <w:rPr>
                <w:rFonts w:hint="default" w:ascii="Times New Roman" w:hAnsi="Times New Roman" w:cs="Times New Roman"/>
                <w:color w:val="auto"/>
                <w:szCs w:val="21"/>
              </w:rPr>
              <w:t xml:space="preserve">首次申报项目             </w:t>
            </w:r>
          </w:p>
          <w:p>
            <w:pPr>
              <w:jc w:val="left"/>
              <w:rPr>
                <w:rFonts w:hint="default" w:ascii="Times New Roman" w:hAnsi="Times New Roman" w:cs="Times New Roman"/>
                <w:color w:val="auto"/>
                <w:szCs w:val="21"/>
              </w:rPr>
            </w:pPr>
            <w:r>
              <w:rPr>
                <w:rFonts w:hint="default" w:ascii="Times New Roman" w:hAnsi="Times New Roman" w:cs="Times New Roman"/>
                <w:color w:val="auto"/>
                <w:sz w:val="22"/>
              </w:rPr>
              <w:t>□</w:t>
            </w:r>
            <w:r>
              <w:rPr>
                <w:rFonts w:hint="default" w:ascii="Times New Roman" w:hAnsi="Times New Roman" w:cs="Times New Roman"/>
                <w:color w:val="auto"/>
                <w:szCs w:val="21"/>
              </w:rPr>
              <w:t>不予批准后再次申报项目</w:t>
            </w:r>
          </w:p>
          <w:p>
            <w:pPr>
              <w:jc w:val="left"/>
              <w:rPr>
                <w:rFonts w:hint="default" w:ascii="Times New Roman" w:hAnsi="Times New Roman" w:cs="Times New Roman"/>
                <w:color w:val="auto"/>
                <w:szCs w:val="21"/>
              </w:rPr>
            </w:pPr>
            <w:r>
              <w:rPr>
                <w:rFonts w:hint="default" w:ascii="Times New Roman" w:hAnsi="Times New Roman" w:cs="Times New Roman"/>
                <w:color w:val="auto"/>
                <w:sz w:val="22"/>
              </w:rPr>
              <w:t>□</w:t>
            </w:r>
            <w:r>
              <w:rPr>
                <w:rFonts w:hint="default" w:ascii="Times New Roman" w:hAnsi="Times New Roman" w:cs="Times New Roman"/>
                <w:color w:val="auto"/>
                <w:szCs w:val="21"/>
              </w:rPr>
              <w:t xml:space="preserve">超五年重新审核项目     </w:t>
            </w:r>
          </w:p>
          <w:p>
            <w:pPr>
              <w:jc w:val="left"/>
              <w:rPr>
                <w:rFonts w:hint="default" w:ascii="Times New Roman" w:hAnsi="Times New Roman" w:cs="Times New Roman"/>
                <w:color w:val="auto"/>
                <w:szCs w:val="21"/>
              </w:rPr>
            </w:pPr>
            <w:r>
              <w:rPr>
                <w:rFonts w:hint="default" w:ascii="Times New Roman" w:hAnsi="Times New Roman" w:cs="Times New Roman"/>
                <w:color w:val="auto"/>
                <w:sz w:val="22"/>
              </w:rPr>
              <w:t>□</w:t>
            </w:r>
            <w:r>
              <w:rPr>
                <w:rFonts w:hint="default" w:ascii="Times New Roman" w:hAnsi="Times New Roman" w:cs="Times New Roman"/>
                <w:color w:val="auto"/>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910"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项目备案部门（选填）</w:t>
            </w:r>
          </w:p>
        </w:tc>
        <w:tc>
          <w:tcPr>
            <w:tcW w:w="2109"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临淄区工业和信息化局</w:t>
            </w:r>
          </w:p>
        </w:tc>
        <w:tc>
          <w:tcPr>
            <w:tcW w:w="2212"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项目备案文号（选填）</w:t>
            </w:r>
          </w:p>
        </w:tc>
        <w:tc>
          <w:tcPr>
            <w:tcW w:w="2639" w:type="dxa"/>
            <w:vAlign w:val="center"/>
          </w:tcPr>
          <w:p>
            <w:pPr>
              <w:adjustRightInd w:val="0"/>
              <w:snapToGrid w:val="0"/>
              <w:jc w:val="center"/>
              <w:rPr>
                <w:rFonts w:hint="default" w:ascii="Times New Roman" w:hAnsi="Times New Roman" w:cs="Times New Roman"/>
                <w:color w:val="auto"/>
                <w:szCs w:val="21"/>
              </w:rPr>
            </w:pPr>
            <w:r>
              <w:rPr>
                <w:rFonts w:hint="eastAsia" w:cs="Times New Roman"/>
                <w:color w:val="auto"/>
                <w:szCs w:val="21"/>
                <w:lang w:eastAsia="zh-CN"/>
              </w:rPr>
              <w:t>2207-370305-89-01-537708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10"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总投资（万元）</w:t>
            </w:r>
          </w:p>
        </w:tc>
        <w:tc>
          <w:tcPr>
            <w:tcW w:w="2109" w:type="dxa"/>
            <w:vAlign w:val="center"/>
          </w:tcPr>
          <w:p>
            <w:pPr>
              <w:adjustRightInd w:val="0"/>
              <w:snapToGrid w:val="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21</w:t>
            </w:r>
            <w:r>
              <w:rPr>
                <w:rFonts w:hint="default" w:ascii="Times New Roman" w:hAnsi="Times New Roman" w:cs="Times New Roman"/>
                <w:color w:val="auto"/>
                <w:szCs w:val="21"/>
              </w:rPr>
              <w:t>00.00</w:t>
            </w:r>
          </w:p>
        </w:tc>
        <w:tc>
          <w:tcPr>
            <w:tcW w:w="2212"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环保投资（万元）</w:t>
            </w:r>
          </w:p>
        </w:tc>
        <w:tc>
          <w:tcPr>
            <w:tcW w:w="2639" w:type="dxa"/>
            <w:vAlign w:val="center"/>
          </w:tcPr>
          <w:p>
            <w:pPr>
              <w:adjustRightInd w:val="0"/>
              <w:snapToGrid w:val="0"/>
              <w:jc w:val="center"/>
              <w:rPr>
                <w:rFonts w:hint="default" w:ascii="Times New Roman" w:hAnsi="Times New Roman" w:cs="Times New Roman"/>
                <w:color w:val="auto"/>
                <w:szCs w:val="21"/>
              </w:rPr>
            </w:pPr>
            <w:r>
              <w:rPr>
                <w:rFonts w:hint="eastAsia" w:cs="Times New Roman"/>
                <w:color w:val="auto"/>
                <w:szCs w:val="21"/>
                <w:lang w:val="en-US" w:eastAsia="zh-CN"/>
              </w:rPr>
              <w:t>21</w:t>
            </w:r>
            <w:r>
              <w:rPr>
                <w:rFonts w:hint="default" w:ascii="Times New Roman" w:hAnsi="Times New Roman" w:cs="Times New Roman"/>
                <w:color w:val="auto"/>
                <w:szCs w:val="21"/>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10"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环保投资占比（%）</w:t>
            </w:r>
          </w:p>
        </w:tc>
        <w:tc>
          <w:tcPr>
            <w:tcW w:w="2109"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c>
          <w:tcPr>
            <w:tcW w:w="2212"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施工工期</w:t>
            </w:r>
          </w:p>
        </w:tc>
        <w:tc>
          <w:tcPr>
            <w:tcW w:w="2639" w:type="dxa"/>
            <w:vAlign w:val="center"/>
          </w:tcPr>
          <w:p>
            <w:pPr>
              <w:adjustRightInd w:val="0"/>
              <w:snapToGrid w:val="0"/>
              <w:jc w:val="center"/>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10"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是否开工建设</w:t>
            </w:r>
          </w:p>
        </w:tc>
        <w:tc>
          <w:tcPr>
            <w:tcW w:w="2109" w:type="dxa"/>
            <w:vAlign w:val="center"/>
          </w:tcPr>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 w:val="22"/>
              </w:rPr>
              <w:t>☑</w:t>
            </w:r>
            <w:r>
              <w:rPr>
                <w:rFonts w:hint="default" w:ascii="Times New Roman" w:hAnsi="Times New Roman" w:cs="Times New Roman"/>
                <w:color w:val="auto"/>
                <w:szCs w:val="21"/>
              </w:rPr>
              <w:t>否</w:t>
            </w:r>
          </w:p>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 w:val="22"/>
              </w:rPr>
              <w:t>□</w:t>
            </w:r>
            <w:r>
              <w:rPr>
                <w:rFonts w:hint="default" w:ascii="Times New Roman" w:hAnsi="Times New Roman" w:cs="Times New Roman"/>
                <w:color w:val="auto"/>
                <w:szCs w:val="21"/>
              </w:rPr>
              <w:t>是：</w:t>
            </w:r>
            <w:r>
              <w:rPr>
                <w:rFonts w:hint="default" w:ascii="Times New Roman" w:hAnsi="Times New Roman" w:cs="Times New Roman"/>
                <w:color w:val="auto"/>
                <w:szCs w:val="21"/>
                <w:u w:val="single"/>
              </w:rPr>
              <w:t xml:space="preserve">             </w:t>
            </w:r>
          </w:p>
        </w:tc>
        <w:tc>
          <w:tcPr>
            <w:tcW w:w="2212"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pacing w:val="-6"/>
                <w:szCs w:val="21"/>
              </w:rPr>
              <w:t>用地面积（m</w:t>
            </w:r>
            <w:r>
              <w:rPr>
                <w:rFonts w:hint="default" w:ascii="Times New Roman" w:hAnsi="Times New Roman" w:cs="Times New Roman"/>
                <w:color w:val="auto"/>
                <w:spacing w:val="-6"/>
                <w:szCs w:val="21"/>
                <w:vertAlign w:val="superscript"/>
              </w:rPr>
              <w:t>2</w:t>
            </w:r>
            <w:r>
              <w:rPr>
                <w:rFonts w:hint="default" w:ascii="Times New Roman" w:hAnsi="Times New Roman" w:cs="Times New Roman"/>
                <w:color w:val="auto"/>
                <w:spacing w:val="-6"/>
                <w:szCs w:val="21"/>
              </w:rPr>
              <w:t>）</w:t>
            </w:r>
          </w:p>
        </w:tc>
        <w:tc>
          <w:tcPr>
            <w:tcW w:w="263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4030.81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82"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专项评价设置情况</w:t>
            </w:r>
          </w:p>
        </w:tc>
        <w:tc>
          <w:tcPr>
            <w:tcW w:w="8188" w:type="dxa"/>
            <w:gridSpan w:val="4"/>
            <w:vAlign w:val="center"/>
          </w:tcPr>
          <w:p>
            <w:pPr>
              <w:autoSpaceDE w:val="0"/>
              <w:autoSpaceDN w:val="0"/>
              <w:adjustRightInd w:val="0"/>
              <w:snapToGrid w:val="0"/>
              <w:spacing w:line="36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根据《建设项目环境影响报告表编制技术指南（污染影响类）》（试行）中表总体要求，结合本项目实际，无需开展大气、地表水、环境风险、生态、海洋、地下水、土壤、声环境专项评价。具体见下表：</w:t>
            </w:r>
          </w:p>
          <w:p>
            <w:pPr>
              <w:pStyle w:val="40"/>
              <w:spacing w:line="36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表1  项目专项评价设置情况一览表</w:t>
            </w:r>
          </w:p>
          <w:tbl>
            <w:tblPr>
              <w:tblStyle w:val="26"/>
              <w:tblW w:w="79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4530"/>
              <w:gridCol w:w="20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4"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4530"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设置原则</w:t>
                  </w:r>
                </w:p>
              </w:tc>
              <w:tc>
                <w:tcPr>
                  <w:tcW w:w="2008"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本项目情况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4"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大气</w:t>
                  </w:r>
                </w:p>
              </w:tc>
              <w:tc>
                <w:tcPr>
                  <w:tcW w:w="4530"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排放废气含有毒有害污染物、二噁英、苯并[a]芘、氰化物、氯气且厂界外500米范围内有环境空气保护目标的建设项目。</w:t>
                  </w:r>
                </w:p>
              </w:tc>
              <w:tc>
                <w:tcPr>
                  <w:tcW w:w="200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不涉及，无需设置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4"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地表水</w:t>
                  </w:r>
                </w:p>
              </w:tc>
              <w:tc>
                <w:tcPr>
                  <w:tcW w:w="4530"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新增工业废水直排建设项目（槽罐车外送污水处理厂的除外）；新增废水直排的污水集中处理厂。</w:t>
                  </w:r>
                </w:p>
              </w:tc>
              <w:tc>
                <w:tcPr>
                  <w:tcW w:w="200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不涉及，无需设置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4"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环境风险</w:t>
                  </w:r>
                </w:p>
              </w:tc>
              <w:tc>
                <w:tcPr>
                  <w:tcW w:w="4530"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有毒有害和易燃易爆危险物质存储量超过临界量的建设项目。</w:t>
                  </w:r>
                </w:p>
              </w:tc>
              <w:tc>
                <w:tcPr>
                  <w:tcW w:w="200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不涉及，无需设置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4"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生态</w:t>
                  </w:r>
                </w:p>
              </w:tc>
              <w:tc>
                <w:tcPr>
                  <w:tcW w:w="4530"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取水口下游500米范围内有重要水生生物的自然产卵场、索饵场、越冬场和洄游通道的新增河道取水的污染类建设项目。</w:t>
                  </w:r>
                </w:p>
              </w:tc>
              <w:tc>
                <w:tcPr>
                  <w:tcW w:w="200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不涉及，无需设置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4"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海洋</w:t>
                  </w:r>
                </w:p>
              </w:tc>
              <w:tc>
                <w:tcPr>
                  <w:tcW w:w="4530"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直接向海排放污染物的海洋工程建设项目。</w:t>
                  </w:r>
                </w:p>
              </w:tc>
              <w:tc>
                <w:tcPr>
                  <w:tcW w:w="200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不涉及，无需设置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4"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土壤、声环境</w:t>
                  </w:r>
                </w:p>
              </w:tc>
              <w:tc>
                <w:tcPr>
                  <w:tcW w:w="4530" w:type="dxa"/>
                  <w:tcBorders>
                    <w:tl2br w:val="nil"/>
                    <w:tr2bl w:val="nil"/>
                  </w:tcBorders>
                  <w:vAlign w:val="center"/>
                </w:tcPr>
                <w:p>
                  <w:pPr>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不开展专项评价</w:t>
                  </w:r>
                  <w:r>
                    <w:rPr>
                      <w:rFonts w:hint="eastAsia" w:cs="Times New Roman"/>
                      <w:color w:val="auto"/>
                      <w:szCs w:val="21"/>
                      <w:lang w:eastAsia="zh-CN"/>
                    </w:rPr>
                    <w:t>。</w:t>
                  </w:r>
                </w:p>
              </w:tc>
              <w:tc>
                <w:tcPr>
                  <w:tcW w:w="200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4"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地下水</w:t>
                  </w:r>
                </w:p>
              </w:tc>
              <w:tc>
                <w:tcPr>
                  <w:tcW w:w="4530"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原则上不开展专项评价，涉及集中式饮用水水源和热水、矿泉水、温泉等特殊地下水资源保护区的开展地下水专项评价工作。</w:t>
                  </w:r>
                </w:p>
              </w:tc>
              <w:tc>
                <w:tcPr>
                  <w:tcW w:w="200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不涉及，无需设置</w:t>
                  </w:r>
                </w:p>
              </w:tc>
            </w:tr>
          </w:tbl>
          <w:p>
            <w:pPr>
              <w:pStyle w:val="2"/>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82"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规划情况</w:t>
            </w:r>
          </w:p>
        </w:tc>
        <w:tc>
          <w:tcPr>
            <w:tcW w:w="8188" w:type="dxa"/>
            <w:gridSpan w:val="4"/>
            <w:vAlign w:val="center"/>
          </w:tcPr>
          <w:p>
            <w:pPr>
              <w:keepNext w:val="0"/>
              <w:keepLines w:val="0"/>
              <w:pageBreakBefore w:val="0"/>
              <w:kinsoku/>
              <w:wordWrap/>
              <w:overflowPunct/>
              <w:topLinePunct w:val="0"/>
              <w:autoSpaceDE w:val="0"/>
              <w:autoSpaceDN w:val="0"/>
              <w:bidi w:val="0"/>
              <w:adjustRightInd w:val="0"/>
              <w:snapToGrid w:val="0"/>
              <w:spacing w:line="360" w:lineRule="auto"/>
              <w:ind w:firstLine="422" w:firstLineChars="200"/>
              <w:textAlignment w:val="auto"/>
              <w:rPr>
                <w:rFonts w:hint="eastAsia" w:ascii="Times New Roman" w:hAnsi="Times New Roman" w:eastAsia="宋体" w:cs="Times New Roman"/>
                <w:b w:val="0"/>
                <w:bCs w:val="0"/>
                <w:color w:val="auto"/>
                <w:szCs w:val="21"/>
                <w:lang w:eastAsia="zh-CN"/>
              </w:rPr>
            </w:pPr>
            <w:r>
              <w:rPr>
                <w:rFonts w:hint="default" w:ascii="Times New Roman" w:hAnsi="Times New Roman" w:cs="Times New Roman"/>
                <w:b/>
                <w:bCs/>
                <w:color w:val="auto"/>
                <w:szCs w:val="21"/>
              </w:rPr>
              <w:t>1.名称</w:t>
            </w:r>
            <w:r>
              <w:rPr>
                <w:rFonts w:hint="default" w:ascii="Times New Roman" w:hAnsi="Times New Roman" w:cs="Times New Roman"/>
                <w:b w:val="0"/>
                <w:bCs w:val="0"/>
                <w:color w:val="auto"/>
                <w:szCs w:val="21"/>
              </w:rPr>
              <w:t>：</w:t>
            </w:r>
            <w:r>
              <w:rPr>
                <w:rFonts w:hint="default" w:ascii="Times New Roman" w:hAnsi="Times New Roman" w:cs="Times New Roman"/>
                <w:b w:val="0"/>
                <w:bCs w:val="0"/>
                <w:color w:val="auto"/>
              </w:rPr>
              <w:t>临淄经济开发区新医药产业园</w:t>
            </w:r>
            <w:r>
              <w:rPr>
                <w:rFonts w:hint="default" w:ascii="Times New Roman" w:hAnsi="Times New Roman" w:cs="Times New Roman"/>
                <w:b w:val="0"/>
                <w:bCs w:val="0"/>
                <w:color w:val="auto"/>
                <w:lang w:val="en-US" w:eastAsia="zh-CN"/>
              </w:rPr>
              <w:t>控制性详细规划</w:t>
            </w:r>
            <w:r>
              <w:rPr>
                <w:rFonts w:hint="default" w:ascii="Times New Roman" w:hAnsi="Times New Roman" w:cs="Times New Roman"/>
                <w:b w:val="0"/>
                <w:bCs w:val="0"/>
                <w:color w:val="auto"/>
                <w:szCs w:val="21"/>
              </w:rPr>
              <w:t>；《关于重新调整临淄经济开发区三个产业园区规划范围和产业定位的批复》</w:t>
            </w:r>
            <w:r>
              <w:rPr>
                <w:rFonts w:hint="eastAsia" w:cs="Times New Roman"/>
                <w:b w:val="0"/>
                <w:bCs w:val="0"/>
                <w:color w:val="auto"/>
                <w:szCs w:val="21"/>
                <w:lang w:eastAsia="zh-CN"/>
              </w:rPr>
              <w:t>；</w:t>
            </w:r>
          </w:p>
          <w:p>
            <w:pPr>
              <w:keepNext w:val="0"/>
              <w:keepLines w:val="0"/>
              <w:pageBreakBefore w:val="0"/>
              <w:kinsoku/>
              <w:wordWrap/>
              <w:overflowPunct/>
              <w:topLinePunct w:val="0"/>
              <w:autoSpaceDE w:val="0"/>
              <w:autoSpaceDN w:val="0"/>
              <w:bidi w:val="0"/>
              <w:adjustRightInd w:val="0"/>
              <w:snapToGrid w:val="0"/>
              <w:spacing w:line="360" w:lineRule="auto"/>
              <w:ind w:firstLine="422" w:firstLineChars="200"/>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2.</w:t>
            </w:r>
            <w:r>
              <w:rPr>
                <w:rFonts w:hint="default" w:ascii="Times New Roman" w:hAnsi="Times New Roman" w:cs="Times New Roman"/>
                <w:b/>
                <w:bCs/>
                <w:color w:val="auto"/>
                <w:szCs w:val="21"/>
                <w:lang w:val="en-US" w:eastAsia="zh-CN"/>
              </w:rPr>
              <w:t>审批机关</w:t>
            </w:r>
            <w:r>
              <w:rPr>
                <w:rFonts w:hint="default" w:ascii="Times New Roman" w:hAnsi="Times New Roman" w:cs="Times New Roman"/>
                <w:b w:val="0"/>
                <w:bCs w:val="0"/>
                <w:color w:val="auto"/>
                <w:szCs w:val="21"/>
              </w:rPr>
              <w:t>：</w:t>
            </w:r>
            <w:r>
              <w:rPr>
                <w:rFonts w:hint="default" w:ascii="Times New Roman" w:hAnsi="Times New Roman" w:cs="Times New Roman"/>
                <w:b w:val="0"/>
                <w:bCs w:val="0"/>
                <w:color w:val="auto"/>
                <w:szCs w:val="21"/>
                <w:lang w:val="en-US" w:eastAsia="zh-CN"/>
              </w:rPr>
              <w:t>临淄区人民政府；</w:t>
            </w:r>
          </w:p>
          <w:p>
            <w:pPr>
              <w:keepNext w:val="0"/>
              <w:keepLines w:val="0"/>
              <w:pageBreakBefore w:val="0"/>
              <w:kinsoku/>
              <w:wordWrap/>
              <w:overflowPunct/>
              <w:topLinePunct w:val="0"/>
              <w:autoSpaceDE w:val="0"/>
              <w:autoSpaceDN w:val="0"/>
              <w:bidi w:val="0"/>
              <w:adjustRightInd w:val="0"/>
              <w:snapToGrid w:val="0"/>
              <w:spacing w:line="360" w:lineRule="auto"/>
              <w:ind w:firstLine="422" w:firstLineChars="200"/>
              <w:textAlignment w:val="auto"/>
              <w:rPr>
                <w:rFonts w:hint="default" w:ascii="Times New Roman" w:hAnsi="Times New Roman" w:cs="Times New Roman"/>
                <w:color w:val="auto"/>
              </w:rPr>
            </w:pPr>
            <w:r>
              <w:rPr>
                <w:rFonts w:hint="default" w:ascii="Times New Roman" w:hAnsi="Times New Roman" w:cs="Times New Roman"/>
                <w:b/>
                <w:bCs/>
                <w:color w:val="auto"/>
                <w:szCs w:val="21"/>
              </w:rPr>
              <w:t>2.</w:t>
            </w:r>
            <w:r>
              <w:rPr>
                <w:rFonts w:hint="default" w:ascii="Times New Roman" w:hAnsi="Times New Roman" w:cs="Times New Roman"/>
                <w:b/>
                <w:bCs/>
                <w:color w:val="auto"/>
                <w:szCs w:val="21"/>
                <w:lang w:val="en-US" w:eastAsia="zh-CN"/>
              </w:rPr>
              <w:t>审批</w:t>
            </w:r>
            <w:r>
              <w:rPr>
                <w:rFonts w:hint="eastAsia" w:cs="Times New Roman"/>
                <w:b/>
                <w:bCs/>
                <w:color w:val="auto"/>
                <w:szCs w:val="21"/>
                <w:lang w:val="en-US" w:eastAsia="zh-CN"/>
              </w:rPr>
              <w:t>文号</w:t>
            </w:r>
            <w:r>
              <w:rPr>
                <w:rFonts w:hint="default" w:ascii="Times New Roman" w:hAnsi="Times New Roman" w:cs="Times New Roman"/>
                <w:b w:val="0"/>
                <w:bCs w:val="0"/>
                <w:color w:val="auto"/>
                <w:szCs w:val="21"/>
              </w:rPr>
              <w:t>：临政字[2021]87号</w:t>
            </w:r>
            <w:r>
              <w:rPr>
                <w:rFonts w:hint="eastAsia" w:cs="Times New Roman"/>
                <w:b w:val="0"/>
                <w:bCs w:val="0"/>
                <w:color w:val="auto"/>
                <w:szCs w:val="21"/>
                <w:lang w:eastAsia="zh-CN"/>
              </w:rPr>
              <w:t>（</w:t>
            </w:r>
            <w:r>
              <w:rPr>
                <w:rFonts w:hint="eastAsia" w:cs="Times New Roman"/>
                <w:b w:val="0"/>
                <w:bCs w:val="0"/>
                <w:color w:val="auto"/>
                <w:szCs w:val="21"/>
                <w:lang w:val="en-US" w:eastAsia="zh-CN"/>
              </w:rPr>
              <w:t>2021年10月11日</w:t>
            </w:r>
            <w:r>
              <w:rPr>
                <w:rFonts w:hint="eastAsia" w:cs="Times New Roman"/>
                <w:b w:val="0"/>
                <w:bCs w:val="0"/>
                <w:color w:val="auto"/>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82"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规划环境影响</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评价情况</w:t>
            </w:r>
          </w:p>
        </w:tc>
        <w:tc>
          <w:tcPr>
            <w:tcW w:w="8188"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textAlignment w:val="auto"/>
              <w:rPr>
                <w:rFonts w:hint="default" w:ascii="Times New Roman" w:hAnsi="Times New Roman" w:cs="Times New Roman"/>
                <w:b w:val="0"/>
                <w:bCs w:val="0"/>
                <w:color w:val="auto"/>
                <w:szCs w:val="21"/>
              </w:rPr>
            </w:pPr>
            <w:r>
              <w:rPr>
                <w:rFonts w:hint="default" w:ascii="Times New Roman" w:hAnsi="Times New Roman" w:cs="Times New Roman"/>
                <w:b/>
                <w:bCs/>
                <w:color w:val="auto"/>
                <w:szCs w:val="21"/>
              </w:rPr>
              <w:t>1.名称</w:t>
            </w:r>
            <w:r>
              <w:rPr>
                <w:rFonts w:hint="default" w:ascii="Times New Roman" w:hAnsi="Times New Roman" w:cs="Times New Roman"/>
                <w:b w:val="0"/>
                <w:bCs w:val="0"/>
                <w:color w:val="auto"/>
                <w:szCs w:val="21"/>
              </w:rPr>
              <w:t>：</w:t>
            </w:r>
            <w:r>
              <w:rPr>
                <w:rFonts w:hint="default" w:ascii="Times New Roman" w:hAnsi="Times New Roman" w:cs="Times New Roman"/>
                <w:b w:val="0"/>
                <w:bCs w:val="0"/>
                <w:color w:val="auto"/>
              </w:rPr>
              <w:t>临淄经济开发区新医药产业园</w:t>
            </w:r>
            <w:r>
              <w:rPr>
                <w:rFonts w:hint="default" w:ascii="Times New Roman" w:hAnsi="Times New Roman" w:cs="Times New Roman"/>
                <w:b w:val="0"/>
                <w:bCs w:val="0"/>
                <w:color w:val="auto"/>
                <w:lang w:val="en-US" w:eastAsia="zh-CN"/>
              </w:rPr>
              <w:t>控制性详细规划环境影响报告书</w:t>
            </w:r>
            <w:r>
              <w:rPr>
                <w:rFonts w:hint="default" w:ascii="Times New Roman" w:hAnsi="Times New Roman" w:cs="Times New Roman"/>
                <w:b w:val="0"/>
                <w:bCs w:val="0"/>
                <w:color w:val="auto"/>
                <w:szCs w:val="21"/>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textAlignment w:val="auto"/>
              <w:rPr>
                <w:rFonts w:hint="default" w:ascii="Times New Roman" w:hAnsi="Times New Roman" w:cs="Times New Roman"/>
                <w:b w:val="0"/>
                <w:bCs w:val="0"/>
                <w:color w:val="auto"/>
                <w:szCs w:val="21"/>
              </w:rPr>
            </w:pPr>
            <w:r>
              <w:rPr>
                <w:rFonts w:hint="default" w:ascii="Times New Roman" w:hAnsi="Times New Roman" w:cs="Times New Roman"/>
                <w:b/>
                <w:bCs/>
                <w:color w:val="auto"/>
                <w:szCs w:val="21"/>
              </w:rPr>
              <w:t>2.</w:t>
            </w:r>
            <w:r>
              <w:rPr>
                <w:rFonts w:hint="default" w:ascii="Times New Roman" w:hAnsi="Times New Roman" w:cs="Times New Roman"/>
                <w:b/>
                <w:bCs/>
                <w:color w:val="auto"/>
                <w:szCs w:val="21"/>
                <w:lang w:val="en-US" w:eastAsia="zh-CN"/>
              </w:rPr>
              <w:t>审批机关</w:t>
            </w:r>
            <w:r>
              <w:rPr>
                <w:rFonts w:hint="default" w:ascii="Times New Roman" w:hAnsi="Times New Roman" w:cs="Times New Roman"/>
                <w:b w:val="0"/>
                <w:bCs w:val="0"/>
                <w:color w:val="auto"/>
                <w:szCs w:val="21"/>
              </w:rPr>
              <w:t>：</w:t>
            </w:r>
            <w:r>
              <w:rPr>
                <w:rFonts w:hint="default" w:ascii="Times New Roman" w:hAnsi="Times New Roman" w:cs="Times New Roman"/>
                <w:b w:val="0"/>
                <w:bCs w:val="0"/>
                <w:color w:val="auto"/>
                <w:szCs w:val="21"/>
                <w:lang w:val="en-US" w:eastAsia="zh-CN"/>
              </w:rPr>
              <w:t>淄博市生态环境局临淄分局；</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textAlignment w:val="auto"/>
              <w:rPr>
                <w:rFonts w:hint="default" w:ascii="Times New Roman" w:hAnsi="Times New Roman" w:cs="Times New Roman"/>
                <w:color w:val="auto"/>
                <w:kern w:val="0"/>
                <w:szCs w:val="21"/>
              </w:rPr>
            </w:pPr>
            <w:r>
              <w:rPr>
                <w:rFonts w:hint="default" w:ascii="Times New Roman" w:hAnsi="Times New Roman" w:cs="Times New Roman"/>
                <w:b/>
                <w:bCs/>
                <w:color w:val="auto"/>
                <w:kern w:val="2"/>
                <w:sz w:val="21"/>
                <w:szCs w:val="21"/>
              </w:rPr>
              <w:t>3.</w:t>
            </w:r>
            <w:r>
              <w:rPr>
                <w:rFonts w:hint="default" w:ascii="Times New Roman" w:hAnsi="Times New Roman" w:cs="Times New Roman"/>
                <w:b/>
                <w:bCs/>
                <w:color w:val="auto"/>
                <w:kern w:val="2"/>
                <w:sz w:val="21"/>
                <w:szCs w:val="21"/>
                <w:lang w:val="en-US" w:eastAsia="zh-CN"/>
              </w:rPr>
              <w:t>审批文号</w:t>
            </w:r>
            <w:r>
              <w:rPr>
                <w:rFonts w:hint="default" w:ascii="Times New Roman" w:hAnsi="Times New Roman" w:cs="Times New Roman"/>
                <w:b w:val="0"/>
                <w:bCs w:val="0"/>
                <w:color w:val="auto"/>
                <w:kern w:val="2"/>
                <w:sz w:val="21"/>
                <w:szCs w:val="21"/>
              </w:rPr>
              <w:t>：</w:t>
            </w:r>
            <w:r>
              <w:rPr>
                <w:rFonts w:hint="default" w:ascii="Times New Roman" w:hAnsi="Times New Roman" w:cs="Times New Roman"/>
                <w:b w:val="0"/>
                <w:bCs w:val="0"/>
                <w:color w:val="auto"/>
                <w:kern w:val="2"/>
                <w:sz w:val="21"/>
                <w:szCs w:val="21"/>
                <w:lang w:val="en-US" w:eastAsia="zh-CN"/>
              </w:rPr>
              <w:t>关于转发</w:t>
            </w:r>
            <w:r>
              <w:rPr>
                <w:rFonts w:hint="default" w:ascii="Times New Roman" w:hAnsi="Times New Roman" w:cs="Times New Roman"/>
                <w:b w:val="0"/>
                <w:bCs w:val="0"/>
                <w:color w:val="auto"/>
              </w:rPr>
              <w:t>临淄经济开发区新医药产业园</w:t>
            </w:r>
            <w:r>
              <w:rPr>
                <w:rFonts w:hint="default" w:ascii="Times New Roman" w:hAnsi="Times New Roman" w:cs="Times New Roman"/>
                <w:b w:val="0"/>
                <w:bCs w:val="0"/>
                <w:color w:val="auto"/>
                <w:lang w:val="en-US" w:eastAsia="zh-CN"/>
              </w:rPr>
              <w:t>控制性详细规划环境影响报告书的审查意见的函</w:t>
            </w:r>
            <w:r>
              <w:rPr>
                <w:rFonts w:hint="eastAsia" w:ascii="Times New Roman" w:hAnsi="Times New Roman" w:cs="Times New Roman"/>
                <w:b w:val="0"/>
                <w:bCs w:val="0"/>
                <w:color w:val="auto"/>
                <w:lang w:val="en-US" w:eastAsia="zh-CN"/>
              </w:rPr>
              <w:t>（2021.12.24）</w:t>
            </w:r>
            <w:r>
              <w:rPr>
                <w:rFonts w:hint="default" w:ascii="Times New Roman" w:hAnsi="Times New Roman" w:cs="Times New Roman"/>
                <w:b w:val="0"/>
                <w:bCs w:val="0"/>
                <w:color w:val="auto"/>
                <w:kern w:val="2"/>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规划及规划环境影响评价符合性分析</w:t>
            </w:r>
          </w:p>
        </w:tc>
        <w:tc>
          <w:tcPr>
            <w:tcW w:w="8188" w:type="dxa"/>
            <w:gridSpan w:val="4"/>
            <w:vAlign w:val="center"/>
          </w:tcPr>
          <w:p>
            <w:pPr>
              <w:autoSpaceDE w:val="0"/>
              <w:autoSpaceDN w:val="0"/>
              <w:adjustRightInd w:val="0"/>
              <w:snapToGrid w:val="0"/>
              <w:spacing w:line="360" w:lineRule="auto"/>
              <w:ind w:firstLine="422" w:firstLineChars="200"/>
              <w:rPr>
                <w:rFonts w:hint="default" w:ascii="Times New Roman" w:hAnsi="Times New Roman" w:eastAsia="宋体" w:cs="Times New Roman"/>
                <w:color w:val="auto"/>
                <w:lang w:val="en-US" w:eastAsia="zh-CN"/>
              </w:rPr>
            </w:pPr>
            <w:r>
              <w:rPr>
                <w:rFonts w:hint="default" w:ascii="Times New Roman" w:hAnsi="Times New Roman" w:cs="Times New Roman"/>
                <w:b/>
                <w:bCs/>
                <w:color w:val="auto"/>
              </w:rPr>
              <w:t>1.规划符合性</w:t>
            </w:r>
            <w:r>
              <w:rPr>
                <w:rFonts w:hint="default" w:ascii="Times New Roman" w:hAnsi="Times New Roman" w:cs="Times New Roman"/>
                <w:b/>
                <w:bCs/>
                <w:color w:val="auto"/>
                <w:lang w:val="en-US" w:eastAsia="zh-CN"/>
              </w:rPr>
              <w:t>分析</w:t>
            </w:r>
          </w:p>
          <w:p>
            <w:pPr>
              <w:autoSpaceDE w:val="0"/>
              <w:autoSpaceDN w:val="0"/>
              <w:adjustRightInd w:val="0"/>
              <w:snapToGrid w:val="0"/>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color w:val="auto"/>
              </w:rPr>
              <w:t>本项目</w:t>
            </w:r>
            <w:r>
              <w:rPr>
                <w:rFonts w:hint="eastAsia" w:ascii="Times New Roman" w:hAnsi="Times New Roman" w:cs="Times New Roman"/>
                <w:color w:val="auto"/>
                <w:szCs w:val="21"/>
                <w:lang w:eastAsia="zh-CN"/>
              </w:rPr>
              <w:t>位于</w:t>
            </w:r>
            <w:r>
              <w:rPr>
                <w:rFonts w:hint="default" w:ascii="Times New Roman" w:hAnsi="Times New Roman" w:cs="Times New Roman"/>
                <w:bCs/>
                <w:color w:val="auto"/>
                <w:szCs w:val="21"/>
              </w:rPr>
              <w:t>临淄经济开发区新医药产业园</w:t>
            </w:r>
            <w:r>
              <w:rPr>
                <w:rFonts w:hint="eastAsia" w:ascii="Times New Roman" w:hAnsi="Times New Roman" w:cs="Times New Roman"/>
                <w:bCs/>
                <w:color w:val="auto"/>
                <w:szCs w:val="21"/>
                <w:lang w:eastAsia="zh-CN"/>
              </w:rPr>
              <w:t>内，该园区</w:t>
            </w:r>
            <w:r>
              <w:rPr>
                <w:rFonts w:hint="default" w:ascii="Times New Roman" w:hAnsi="Times New Roman" w:cs="Times New Roman"/>
                <w:bCs/>
                <w:color w:val="auto"/>
                <w:szCs w:val="21"/>
                <w:lang w:val="en-US" w:eastAsia="zh-CN"/>
              </w:rPr>
              <w:t>最新规划面积1030.78公顷</w:t>
            </w:r>
            <w:r>
              <w:rPr>
                <w:rFonts w:hint="eastAsia" w:ascii="Times New Roman" w:hAnsi="Times New Roman" w:cs="Times New Roman"/>
                <w:bCs/>
                <w:color w:val="auto"/>
                <w:szCs w:val="21"/>
                <w:lang w:eastAsia="zh-CN"/>
              </w:rPr>
              <w:t>，</w:t>
            </w:r>
            <w:r>
              <w:rPr>
                <w:rFonts w:hint="default" w:ascii="Times New Roman" w:hAnsi="Times New Roman" w:cs="Times New Roman"/>
                <w:bCs/>
                <w:color w:val="auto"/>
                <w:szCs w:val="21"/>
              </w:rPr>
              <w:t>包括</w:t>
            </w:r>
            <w:r>
              <w:rPr>
                <w:rFonts w:hint="eastAsia" w:ascii="Times New Roman" w:hAnsi="Times New Roman" w:cs="Times New Roman"/>
                <w:bCs/>
                <w:color w:val="auto"/>
                <w:szCs w:val="21"/>
                <w:lang w:eastAsia="zh-CN"/>
              </w:rPr>
              <w:t>原</w:t>
            </w:r>
            <w:r>
              <w:rPr>
                <w:rFonts w:hint="default" w:ascii="Times New Roman" w:hAnsi="Times New Roman" w:cs="Times New Roman"/>
                <w:bCs/>
                <w:color w:val="auto"/>
                <w:szCs w:val="21"/>
              </w:rPr>
              <w:t>规划的8.6km</w:t>
            </w:r>
            <w:r>
              <w:rPr>
                <w:rFonts w:hint="default" w:ascii="Times New Roman" w:hAnsi="Times New Roman" w:cs="Times New Roman"/>
                <w:bCs/>
                <w:color w:val="auto"/>
                <w:szCs w:val="21"/>
                <w:vertAlign w:val="superscript"/>
              </w:rPr>
              <w:t>2</w:t>
            </w:r>
            <w:r>
              <w:rPr>
                <w:rFonts w:hint="default" w:ascii="Times New Roman" w:hAnsi="Times New Roman" w:cs="Times New Roman"/>
                <w:bCs/>
                <w:color w:val="auto"/>
                <w:szCs w:val="21"/>
              </w:rPr>
              <w:t>范围及西侧向北扩区范围。规划范围北至梧台路、西至博临路、南至青银高速、东至辛河路-张皇路-鹏达环保东侧。调整后规划主导产业定位为健康医药产业、智能制造产业、食品加工产业、环境治理及废弃资源综合利用产业，并配套规划服务区。</w:t>
            </w:r>
          </w:p>
          <w:p>
            <w:pPr>
              <w:spacing w:line="36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本项目</w:t>
            </w:r>
            <w:r>
              <w:rPr>
                <w:rFonts w:hint="default" w:ascii="Times New Roman" w:hAnsi="Times New Roman" w:cs="Times New Roman"/>
                <w:color w:val="auto"/>
                <w:szCs w:val="21"/>
              </w:rPr>
              <w:t>为</w:t>
            </w:r>
            <w:r>
              <w:rPr>
                <w:rFonts w:hint="default" w:ascii="Times New Roman" w:hAnsi="Times New Roman" w:cs="Times New Roman"/>
                <w:color w:val="auto"/>
                <w:szCs w:val="21"/>
                <w:lang w:eastAsia="zh-CN"/>
              </w:rPr>
              <w:t>SOD食品项目</w:t>
            </w:r>
            <w:r>
              <w:rPr>
                <w:rFonts w:hint="default" w:ascii="Times New Roman" w:hAnsi="Times New Roman" w:cs="Times New Roman"/>
                <w:color w:val="auto"/>
                <w:szCs w:val="21"/>
              </w:rPr>
              <w:t>，项目建设符合园区产业定位</w:t>
            </w:r>
            <w:r>
              <w:rPr>
                <w:rFonts w:hint="default" w:ascii="Times New Roman" w:hAnsi="Times New Roman" w:cs="Times New Roman"/>
                <w:color w:val="auto"/>
                <w:kern w:val="0"/>
              </w:rPr>
              <w:t>。</w:t>
            </w:r>
          </w:p>
          <w:p>
            <w:pPr>
              <w:autoSpaceDE w:val="0"/>
              <w:autoSpaceDN w:val="0"/>
              <w:adjustRightInd w:val="0"/>
              <w:snapToGrid w:val="0"/>
              <w:spacing w:line="360" w:lineRule="auto"/>
              <w:ind w:firstLine="422" w:firstLineChars="200"/>
              <w:rPr>
                <w:rFonts w:hint="default" w:ascii="Times New Roman" w:hAnsi="Times New Roman" w:cs="Times New Roman"/>
                <w:color w:val="auto"/>
              </w:rPr>
            </w:pPr>
            <w:r>
              <w:rPr>
                <w:rFonts w:hint="default" w:ascii="Times New Roman" w:hAnsi="Times New Roman" w:cs="Times New Roman"/>
                <w:b/>
                <w:bCs/>
                <w:color w:val="auto"/>
              </w:rPr>
              <w:t>2.规划环境影响评价符合性分析</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default" w:ascii="Times New Roman" w:hAnsi="Times New Roman" w:cs="Times New Roman"/>
                <w:color w:val="auto"/>
                <w:lang w:val="en-US" w:eastAsia="zh-CN"/>
              </w:rPr>
            </w:pPr>
            <w:r>
              <w:rPr>
                <w:rFonts w:hint="default" w:ascii="Times New Roman" w:hAnsi="Times New Roman" w:cs="Times New Roman"/>
                <w:b w:val="0"/>
                <w:bCs w:val="0"/>
                <w:color w:val="auto"/>
                <w:lang w:val="en-US" w:eastAsia="zh-CN"/>
              </w:rPr>
              <w:t>目前</w:t>
            </w:r>
            <w:r>
              <w:rPr>
                <w:rFonts w:hint="default" w:ascii="Times New Roman" w:hAnsi="Times New Roman" w:cs="Times New Roman"/>
                <w:color w:val="auto"/>
                <w:lang w:val="en-US" w:eastAsia="zh-CN"/>
              </w:rPr>
              <w:t>园区规划环评最新批复为：《</w:t>
            </w:r>
            <w:r>
              <w:rPr>
                <w:rFonts w:hint="default" w:ascii="Times New Roman" w:hAnsi="Times New Roman" w:cs="Times New Roman"/>
                <w:b w:val="0"/>
                <w:bCs w:val="0"/>
                <w:color w:val="auto"/>
              </w:rPr>
              <w:t>临淄经济开发区新医药产业园</w:t>
            </w:r>
            <w:r>
              <w:rPr>
                <w:rFonts w:hint="default" w:ascii="Times New Roman" w:hAnsi="Times New Roman" w:cs="Times New Roman"/>
                <w:b w:val="0"/>
                <w:bCs w:val="0"/>
                <w:color w:val="auto"/>
                <w:lang w:val="en-US" w:eastAsia="zh-CN"/>
              </w:rPr>
              <w:t>控制性详细规划环境影响报告书</w:t>
            </w:r>
            <w:r>
              <w:rPr>
                <w:rFonts w:hint="default" w:ascii="Times New Roman" w:hAnsi="Times New Roman" w:cs="Times New Roman"/>
                <w:color w:val="auto"/>
                <w:lang w:val="en-US" w:eastAsia="zh-CN"/>
              </w:rPr>
              <w:t>的审查意见》，本项目建设与“审查意见”的符合性见下表。</w:t>
            </w:r>
          </w:p>
          <w:p>
            <w:pPr>
              <w:spacing w:line="36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表</w:t>
            </w:r>
            <w:r>
              <w:rPr>
                <w:rFonts w:hint="default" w:ascii="Times New Roman" w:hAnsi="Times New Roman" w:cs="Times New Roman"/>
                <w:b/>
                <w:color w:val="auto"/>
                <w:sz w:val="21"/>
                <w:szCs w:val="21"/>
                <w:lang w:val="en-US" w:eastAsia="zh-CN"/>
              </w:rPr>
              <w:t xml:space="preserve">2  </w:t>
            </w:r>
            <w:r>
              <w:rPr>
                <w:rFonts w:hint="default" w:ascii="Times New Roman" w:hAnsi="Times New Roman" w:cs="Times New Roman"/>
                <w:b/>
                <w:color w:val="auto"/>
                <w:sz w:val="21"/>
                <w:szCs w:val="21"/>
              </w:rPr>
              <w:t>项目与《临淄经济开发区新医药产业园控制性详细规划环境影响报告书的审查意见》符合性</w:t>
            </w:r>
          </w:p>
          <w:tbl>
            <w:tblPr>
              <w:tblStyle w:val="26"/>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9"/>
              <w:gridCol w:w="690"/>
              <w:gridCol w:w="3900"/>
              <w:gridCol w:w="1740"/>
              <w:gridCol w:w="9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tcBorders>
                    <w:tl2br w:val="nil"/>
                    <w:tr2bl w:val="nil"/>
                  </w:tcBorders>
                  <w:noWrap w:val="0"/>
                  <w:vAlign w:val="center"/>
                </w:tcPr>
                <w:p>
                  <w:pPr>
                    <w:spacing w:line="240" w:lineRule="atLeast"/>
                    <w:ind w:firstLine="0" w:firstLineChars="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4590" w:type="dxa"/>
                  <w:gridSpan w:val="2"/>
                  <w:tcBorders>
                    <w:tl2br w:val="nil"/>
                    <w:tr2bl w:val="nil"/>
                  </w:tcBorders>
                  <w:noWrap w:val="0"/>
                  <w:vAlign w:val="center"/>
                </w:tcPr>
                <w:p>
                  <w:pPr>
                    <w:spacing w:line="240" w:lineRule="atLeast"/>
                    <w:ind w:firstLine="0" w:firstLineChars="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审查意见</w:t>
                  </w:r>
                </w:p>
              </w:tc>
              <w:tc>
                <w:tcPr>
                  <w:tcW w:w="1740" w:type="dxa"/>
                  <w:tcBorders>
                    <w:tl2br w:val="nil"/>
                    <w:tr2bl w:val="nil"/>
                  </w:tcBorders>
                  <w:noWrap w:val="0"/>
                  <w:vAlign w:val="center"/>
                </w:tcPr>
                <w:p>
                  <w:pPr>
                    <w:spacing w:line="240" w:lineRule="atLeast"/>
                    <w:ind w:firstLine="0" w:firstLineChars="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项目情况</w:t>
                  </w:r>
                </w:p>
              </w:tc>
              <w:tc>
                <w:tcPr>
                  <w:tcW w:w="972" w:type="dxa"/>
                  <w:tcBorders>
                    <w:tl2br w:val="nil"/>
                    <w:tr2bl w:val="nil"/>
                  </w:tcBorders>
                  <w:noWrap w:val="0"/>
                  <w:vAlign w:val="center"/>
                </w:tcPr>
                <w:p>
                  <w:pPr>
                    <w:spacing w:line="240" w:lineRule="atLeast"/>
                    <w:ind w:firstLine="0" w:firstLineChars="0"/>
                    <w:jc w:val="center"/>
                    <w:rPr>
                      <w:rFonts w:hint="default" w:ascii="Times New Roman" w:hAnsi="Times New Roman" w:eastAsia="宋体" w:cs="Times New Roman"/>
                      <w:b/>
                      <w:bCs/>
                      <w:color w:val="auto"/>
                      <w:szCs w:val="21"/>
                      <w:lang w:val="en-US" w:eastAsia="zh-CN"/>
                    </w:rPr>
                  </w:pPr>
                  <w:r>
                    <w:rPr>
                      <w:rFonts w:hint="default" w:ascii="Times New Roman" w:hAnsi="Times New Roman" w:cs="Times New Roman"/>
                      <w:b/>
                      <w:bCs/>
                      <w:color w:val="auto"/>
                      <w:szCs w:val="21"/>
                    </w:rPr>
                    <w:t>符合</w:t>
                  </w:r>
                  <w:r>
                    <w:rPr>
                      <w:rFonts w:hint="default" w:ascii="Times New Roman" w:hAnsi="Times New Roman" w:cs="Times New Roman"/>
                      <w:b/>
                      <w:bCs/>
                      <w:color w:val="auto"/>
                      <w:szCs w:val="21"/>
                      <w:lang w:val="en-US" w:eastAsia="zh-CN"/>
                    </w:rPr>
                    <w:t>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tcBorders>
                    <w:tl2br w:val="nil"/>
                    <w:tr2bl w:val="nil"/>
                  </w:tcBorders>
                  <w:noWrap w:val="0"/>
                  <w:vAlign w:val="center"/>
                </w:tcPr>
                <w:p>
                  <w:pPr>
                    <w:spacing w:line="240" w:lineRule="atLeast"/>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一</w:t>
                  </w:r>
                </w:p>
              </w:tc>
              <w:tc>
                <w:tcPr>
                  <w:tcW w:w="690" w:type="dxa"/>
                  <w:tcBorders>
                    <w:tl2br w:val="nil"/>
                    <w:tr2bl w:val="nil"/>
                  </w:tcBorders>
                  <w:noWrap w:val="0"/>
                  <w:vAlign w:val="center"/>
                </w:tcPr>
                <w:p>
                  <w:pPr>
                    <w:spacing w:line="240" w:lineRule="atLeast"/>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产业定位</w:t>
                  </w:r>
                </w:p>
              </w:tc>
              <w:tc>
                <w:tcPr>
                  <w:tcW w:w="3900" w:type="dxa"/>
                  <w:tcBorders>
                    <w:tl2br w:val="nil"/>
                    <w:tr2bl w:val="nil"/>
                  </w:tcBorders>
                  <w:noWrap w:val="0"/>
                  <w:vAlign w:val="center"/>
                </w:tcPr>
                <w:p>
                  <w:pPr>
                    <w:spacing w:line="240" w:lineRule="atLeast"/>
                    <w:ind w:firstLine="0" w:firstLineChars="0"/>
                    <w:rPr>
                      <w:rFonts w:hint="default" w:ascii="Times New Roman" w:hAnsi="Times New Roman" w:eastAsia="宋体" w:cs="Times New Roman"/>
                      <w:color w:val="auto"/>
                      <w:szCs w:val="21"/>
                      <w:lang w:val="en-US" w:eastAsia="zh-CN"/>
                    </w:rPr>
                  </w:pPr>
                  <w:r>
                    <w:rPr>
                      <w:rFonts w:hint="default" w:ascii="Times New Roman" w:hAnsi="Times New Roman" w:cs="Times New Roman"/>
                      <w:bCs/>
                      <w:color w:val="auto"/>
                      <w:szCs w:val="21"/>
                    </w:rPr>
                    <w:t>健康医药产业、智能制造产业、食品加工产业、环境治理及废弃资源综合利用产业</w:t>
                  </w:r>
                  <w:r>
                    <w:rPr>
                      <w:rFonts w:hint="default" w:ascii="Times New Roman" w:hAnsi="Times New Roman" w:cs="Times New Roman"/>
                      <w:bCs/>
                      <w:color w:val="auto"/>
                      <w:szCs w:val="21"/>
                      <w:lang w:eastAsia="zh-CN"/>
                    </w:rPr>
                    <w:t>。</w:t>
                  </w:r>
                </w:p>
              </w:tc>
              <w:tc>
                <w:tcPr>
                  <w:tcW w:w="1740" w:type="dxa"/>
                  <w:tcBorders>
                    <w:tl2br w:val="nil"/>
                    <w:tr2bl w:val="nil"/>
                  </w:tcBorders>
                  <w:noWrap w:val="0"/>
                  <w:vAlign w:val="center"/>
                </w:tcPr>
                <w:p>
                  <w:pPr>
                    <w:spacing w:line="240" w:lineRule="atLeast"/>
                    <w:ind w:firstLine="0" w:firstLineChars="0"/>
                    <w:jc w:val="left"/>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项目为</w:t>
                  </w:r>
                  <w:r>
                    <w:rPr>
                      <w:rFonts w:hint="default" w:ascii="Times New Roman" w:hAnsi="Times New Roman" w:cs="Times New Roman"/>
                      <w:color w:val="auto"/>
                      <w:szCs w:val="21"/>
                      <w:lang w:eastAsia="zh-CN"/>
                    </w:rPr>
                    <w:t>SOD食品项目。</w:t>
                  </w:r>
                </w:p>
              </w:tc>
              <w:tc>
                <w:tcPr>
                  <w:tcW w:w="972" w:type="dxa"/>
                  <w:tcBorders>
                    <w:tl2br w:val="nil"/>
                    <w:tr2bl w:val="nil"/>
                  </w:tcBorders>
                  <w:noWrap w:val="0"/>
                  <w:vAlign w:val="center"/>
                </w:tcPr>
                <w:p>
                  <w:pPr>
                    <w:spacing w:line="240" w:lineRule="atLeast"/>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tcBorders>
                    <w:tl2br w:val="nil"/>
                    <w:tr2bl w:val="nil"/>
                  </w:tcBorders>
                  <w:noWrap w:val="0"/>
                  <w:vAlign w:val="center"/>
                </w:tcPr>
                <w:p>
                  <w:pPr>
                    <w:spacing w:line="240" w:lineRule="atLeast"/>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二</w:t>
                  </w:r>
                </w:p>
              </w:tc>
              <w:tc>
                <w:tcPr>
                  <w:tcW w:w="690" w:type="dxa"/>
                  <w:tcBorders>
                    <w:tl2br w:val="nil"/>
                    <w:tr2bl w:val="nil"/>
                  </w:tcBorders>
                  <w:noWrap w:val="0"/>
                  <w:vAlign w:val="center"/>
                </w:tcPr>
                <w:p>
                  <w:pPr>
                    <w:spacing w:line="240" w:lineRule="atLeast"/>
                    <w:ind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用地规模</w:t>
                  </w:r>
                </w:p>
              </w:tc>
              <w:tc>
                <w:tcPr>
                  <w:tcW w:w="3900" w:type="dxa"/>
                  <w:tcBorders>
                    <w:tl2br w:val="nil"/>
                    <w:tr2bl w:val="nil"/>
                  </w:tcBorders>
                  <w:noWrap w:val="0"/>
                  <w:vAlign w:val="center"/>
                </w:tcPr>
                <w:p>
                  <w:pPr>
                    <w:spacing w:line="240" w:lineRule="atLeast"/>
                    <w:ind w:firstLine="0" w:firstLineChars="0"/>
                    <w:rPr>
                      <w:rFonts w:hint="default" w:ascii="Times New Roman" w:hAnsi="Times New Roman" w:cs="Times New Roman"/>
                      <w:color w:val="auto"/>
                      <w:szCs w:val="21"/>
                    </w:rPr>
                  </w:pPr>
                  <w:r>
                    <w:rPr>
                      <w:rFonts w:hint="default" w:ascii="Times New Roman" w:hAnsi="Times New Roman" w:cs="Times New Roman"/>
                      <w:color w:val="auto"/>
                      <w:szCs w:val="21"/>
                    </w:rPr>
                    <w:t>产业园区规划范围内涉及基本农田保护区、一般农田及农林用地，部分用地不符合现行上位规划，在新一轮国土空间规划批复后，需进行相应调整，后期产业园区规划实施应在法定上位规划指导下开发建设。</w:t>
                  </w:r>
                </w:p>
              </w:tc>
              <w:tc>
                <w:tcPr>
                  <w:tcW w:w="1740" w:type="dxa"/>
                  <w:tcBorders>
                    <w:tl2br w:val="nil"/>
                    <w:tr2bl w:val="nil"/>
                  </w:tcBorders>
                  <w:noWrap w:val="0"/>
                  <w:vAlign w:val="center"/>
                </w:tcPr>
                <w:p>
                  <w:pPr>
                    <w:spacing w:line="240" w:lineRule="atLeast"/>
                    <w:ind w:firstLine="0" w:firstLineChars="0"/>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项目用地类型为工业用地</w:t>
                  </w:r>
                  <w:r>
                    <w:rPr>
                      <w:rFonts w:hint="default" w:ascii="Times New Roman" w:hAnsi="Times New Roman" w:cs="Times New Roman"/>
                      <w:color w:val="auto"/>
                      <w:szCs w:val="21"/>
                      <w:lang w:val="en-US" w:eastAsia="zh-CN"/>
                    </w:rPr>
                    <w:t>。</w:t>
                  </w:r>
                </w:p>
              </w:tc>
              <w:tc>
                <w:tcPr>
                  <w:tcW w:w="972" w:type="dxa"/>
                  <w:tcBorders>
                    <w:tl2br w:val="nil"/>
                    <w:tr2bl w:val="nil"/>
                  </w:tcBorders>
                  <w:noWrap w:val="0"/>
                  <w:vAlign w:val="center"/>
                </w:tcPr>
                <w:p>
                  <w:pPr>
                    <w:spacing w:line="240" w:lineRule="atLeast"/>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Merge w:val="restart"/>
                  <w:tcBorders>
                    <w:tl2br w:val="nil"/>
                    <w:tr2bl w:val="nil"/>
                  </w:tcBorders>
                  <w:noWrap w:val="0"/>
                  <w:vAlign w:val="center"/>
                </w:tcPr>
                <w:p>
                  <w:pPr>
                    <w:spacing w:line="240" w:lineRule="atLeast"/>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三</w:t>
                  </w:r>
                </w:p>
              </w:tc>
              <w:tc>
                <w:tcPr>
                  <w:tcW w:w="690" w:type="dxa"/>
                  <w:vMerge w:val="restart"/>
                  <w:tcBorders>
                    <w:tl2br w:val="nil"/>
                    <w:tr2bl w:val="nil"/>
                  </w:tcBorders>
                  <w:noWrap w:val="0"/>
                  <w:vAlign w:val="center"/>
                </w:tcPr>
                <w:p>
                  <w:pPr>
                    <w:spacing w:line="240" w:lineRule="atLeast"/>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基础设施</w:t>
                  </w:r>
                </w:p>
              </w:tc>
              <w:tc>
                <w:tcPr>
                  <w:tcW w:w="3900" w:type="dxa"/>
                  <w:tcBorders>
                    <w:tl2br w:val="nil"/>
                    <w:tr2bl w:val="nil"/>
                  </w:tcBorders>
                  <w:noWrap w:val="0"/>
                  <w:vAlign w:val="center"/>
                </w:tcPr>
                <w:p>
                  <w:pPr>
                    <w:spacing w:line="240" w:lineRule="atLeast"/>
                    <w:ind w:firstLine="0" w:firstLineChars="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规划园区废水</w:t>
                  </w:r>
                  <w:r>
                    <w:rPr>
                      <w:rFonts w:hint="eastAsia" w:cs="Times New Roman"/>
                      <w:color w:val="auto"/>
                      <w:szCs w:val="21"/>
                      <w:lang w:val="en-US" w:eastAsia="zh-CN"/>
                    </w:rPr>
                    <w:t>目前</w:t>
                  </w:r>
                  <w:r>
                    <w:rPr>
                      <w:rFonts w:hint="default" w:ascii="Times New Roman" w:hAnsi="Times New Roman" w:cs="Times New Roman"/>
                      <w:color w:val="auto"/>
                      <w:szCs w:val="21"/>
                      <w:lang w:val="en-US" w:eastAsia="zh-CN"/>
                    </w:rPr>
                    <w:t>依托齐城污水处理厂处理</w:t>
                  </w:r>
                  <w:r>
                    <w:rPr>
                      <w:rFonts w:hint="eastAsia" w:cs="Times New Roman"/>
                      <w:color w:val="auto"/>
                      <w:szCs w:val="21"/>
                      <w:lang w:val="en-US" w:eastAsia="zh-CN"/>
                    </w:rPr>
                    <w:t>，计划拟新建污水处理厂处理园区内工业废水。</w:t>
                  </w:r>
                </w:p>
              </w:tc>
              <w:tc>
                <w:tcPr>
                  <w:tcW w:w="1740" w:type="dxa"/>
                  <w:tcBorders>
                    <w:tl2br w:val="nil"/>
                    <w:tr2bl w:val="nil"/>
                  </w:tcBorders>
                  <w:noWrap w:val="0"/>
                  <w:vAlign w:val="center"/>
                </w:tcPr>
                <w:p>
                  <w:pPr>
                    <w:spacing w:line="240" w:lineRule="atLeast"/>
                    <w:ind w:firstLine="0" w:firstLineChars="0"/>
                    <w:jc w:val="left"/>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项目</w:t>
                  </w:r>
                  <w:r>
                    <w:rPr>
                      <w:rFonts w:hint="default" w:ascii="Times New Roman" w:hAnsi="Times New Roman" w:cs="Times New Roman"/>
                      <w:color w:val="auto"/>
                      <w:szCs w:val="21"/>
                      <w:lang w:eastAsia="zh-CN"/>
                    </w:rPr>
                    <w:t>废水无外排。</w:t>
                  </w:r>
                </w:p>
              </w:tc>
              <w:tc>
                <w:tcPr>
                  <w:tcW w:w="972" w:type="dxa"/>
                  <w:tcBorders>
                    <w:tl2br w:val="nil"/>
                    <w:tr2bl w:val="nil"/>
                  </w:tcBorders>
                  <w:noWrap w:val="0"/>
                  <w:vAlign w:val="center"/>
                </w:tcPr>
                <w:p>
                  <w:pPr>
                    <w:spacing w:line="240" w:lineRule="atLeast"/>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Merge w:val="continue"/>
                  <w:tcBorders>
                    <w:tl2br w:val="nil"/>
                    <w:tr2bl w:val="nil"/>
                  </w:tcBorders>
                  <w:noWrap w:val="0"/>
                  <w:vAlign w:val="center"/>
                </w:tcPr>
                <w:p>
                  <w:pPr>
                    <w:spacing w:line="240" w:lineRule="atLeast"/>
                    <w:ind w:firstLine="0" w:firstLineChars="0"/>
                    <w:jc w:val="center"/>
                    <w:rPr>
                      <w:rFonts w:hint="default" w:ascii="Times New Roman" w:hAnsi="Times New Roman" w:cs="Times New Roman"/>
                      <w:color w:val="auto"/>
                      <w:szCs w:val="21"/>
                    </w:rPr>
                  </w:pPr>
                </w:p>
              </w:tc>
              <w:tc>
                <w:tcPr>
                  <w:tcW w:w="690" w:type="dxa"/>
                  <w:vMerge w:val="continue"/>
                  <w:tcBorders>
                    <w:tl2br w:val="nil"/>
                    <w:tr2bl w:val="nil"/>
                  </w:tcBorders>
                  <w:noWrap w:val="0"/>
                  <w:vAlign w:val="center"/>
                </w:tcPr>
                <w:p>
                  <w:pPr>
                    <w:spacing w:line="240" w:lineRule="atLeast"/>
                    <w:ind w:firstLine="0" w:firstLineChars="0"/>
                    <w:jc w:val="center"/>
                    <w:rPr>
                      <w:rFonts w:hint="default" w:ascii="Times New Roman" w:hAnsi="Times New Roman" w:cs="Times New Roman"/>
                      <w:color w:val="auto"/>
                      <w:szCs w:val="21"/>
                    </w:rPr>
                  </w:pPr>
                </w:p>
              </w:tc>
              <w:tc>
                <w:tcPr>
                  <w:tcW w:w="3900" w:type="dxa"/>
                  <w:tcBorders>
                    <w:tl2br w:val="nil"/>
                    <w:tr2bl w:val="nil"/>
                  </w:tcBorders>
                  <w:noWrap w:val="0"/>
                  <w:vAlign w:val="center"/>
                </w:tcPr>
                <w:p>
                  <w:pPr>
                    <w:spacing w:line="240" w:lineRule="atLeast"/>
                    <w:ind w:firstLine="0" w:firstLineChars="0"/>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确定园区供热热源规划</w:t>
                  </w:r>
                  <w:r>
                    <w:rPr>
                      <w:rFonts w:hint="default" w:ascii="Times New Roman" w:hAnsi="Times New Roman" w:cs="Times New Roman"/>
                      <w:color w:val="auto"/>
                      <w:szCs w:val="21"/>
                      <w:lang w:eastAsia="zh-CN"/>
                    </w:rPr>
                    <w:t>，</w:t>
                  </w:r>
                  <w:r>
                    <w:rPr>
                      <w:rFonts w:hint="eastAsia" w:cs="Times New Roman"/>
                      <w:color w:val="auto"/>
                      <w:szCs w:val="21"/>
                      <w:lang w:val="en-US" w:eastAsia="zh-CN"/>
                    </w:rPr>
                    <w:t>明确园区内不符合相关政策的现有分散供热方式的淘汰方案。</w:t>
                  </w:r>
                </w:p>
              </w:tc>
              <w:tc>
                <w:tcPr>
                  <w:tcW w:w="1740" w:type="dxa"/>
                  <w:tcBorders>
                    <w:tl2br w:val="nil"/>
                    <w:tr2bl w:val="nil"/>
                  </w:tcBorders>
                  <w:noWrap w:val="0"/>
                  <w:vAlign w:val="center"/>
                </w:tcPr>
                <w:p>
                  <w:pPr>
                    <w:spacing w:line="240" w:lineRule="atLeast"/>
                    <w:ind w:firstLine="0" w:firstLineChars="0"/>
                    <w:jc w:val="left"/>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项目</w:t>
                  </w:r>
                  <w:r>
                    <w:rPr>
                      <w:rFonts w:hint="eastAsia" w:cs="Times New Roman"/>
                      <w:color w:val="auto"/>
                      <w:szCs w:val="21"/>
                      <w:lang w:val="en-US" w:eastAsia="zh-CN"/>
                    </w:rPr>
                    <w:t>不涉及供热</w:t>
                  </w:r>
                  <w:r>
                    <w:rPr>
                      <w:rFonts w:hint="default" w:ascii="Times New Roman" w:hAnsi="Times New Roman" w:cs="Times New Roman"/>
                      <w:color w:val="auto"/>
                      <w:szCs w:val="21"/>
                      <w:lang w:val="en-US" w:eastAsia="zh-CN"/>
                    </w:rPr>
                    <w:t>。</w:t>
                  </w:r>
                </w:p>
              </w:tc>
              <w:tc>
                <w:tcPr>
                  <w:tcW w:w="972" w:type="dxa"/>
                  <w:tcBorders>
                    <w:tl2br w:val="nil"/>
                    <w:tr2bl w:val="nil"/>
                  </w:tcBorders>
                  <w:noWrap w:val="0"/>
                  <w:vAlign w:val="center"/>
                </w:tcPr>
                <w:p>
                  <w:pPr>
                    <w:spacing w:line="240" w:lineRule="atLeast"/>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color w:val="auto"/>
                <w:lang w:eastAsia="zh-CN"/>
              </w:rPr>
            </w:pPr>
            <w:r>
              <w:rPr>
                <w:rFonts w:hint="default" w:ascii="Times New Roman" w:hAnsi="Times New Roman" w:cs="Times New Roman"/>
                <w:color w:val="auto"/>
                <w:sz w:val="21"/>
                <w:szCs w:val="21"/>
                <w:highlight w:val="none"/>
                <w:lang w:eastAsia="zh-CN"/>
              </w:rPr>
              <w:t>本</w:t>
            </w:r>
            <w:r>
              <w:rPr>
                <w:rFonts w:hint="default" w:ascii="Times New Roman" w:hAnsi="Times New Roman" w:cs="Times New Roman"/>
                <w:color w:val="auto"/>
                <w:sz w:val="21"/>
                <w:szCs w:val="21"/>
                <w:highlight w:val="none"/>
              </w:rPr>
              <w:t>项目</w:t>
            </w:r>
            <w:r>
              <w:rPr>
                <w:rFonts w:hint="default" w:ascii="Times New Roman" w:hAnsi="Times New Roman" w:cs="Times New Roman"/>
                <w:color w:val="auto"/>
                <w:sz w:val="21"/>
                <w:szCs w:val="21"/>
                <w:highlight w:val="none"/>
                <w:lang w:eastAsia="zh-CN"/>
              </w:rPr>
              <w:t>建设位于</w:t>
            </w:r>
            <w:r>
              <w:rPr>
                <w:rFonts w:hint="default" w:ascii="Times New Roman" w:hAnsi="Times New Roman" w:cs="Times New Roman"/>
                <w:b w:val="0"/>
                <w:bCs w:val="0"/>
                <w:color w:val="auto"/>
              </w:rPr>
              <w:t>临淄经济开发区新医药产业园</w:t>
            </w:r>
            <w:r>
              <w:rPr>
                <w:rFonts w:hint="default" w:ascii="Times New Roman" w:hAnsi="Times New Roman" w:cs="Times New Roman"/>
                <w:b w:val="0"/>
                <w:bCs w:val="0"/>
                <w:color w:val="auto"/>
                <w:lang w:eastAsia="zh-CN"/>
              </w:rPr>
              <w:t>内，</w:t>
            </w:r>
            <w:r>
              <w:rPr>
                <w:rFonts w:hint="default" w:ascii="Times New Roman" w:hAnsi="Times New Roman" w:cs="Times New Roman"/>
                <w:color w:val="auto"/>
                <w:sz w:val="21"/>
                <w:szCs w:val="21"/>
                <w:highlight w:val="none"/>
              </w:rPr>
              <w:t>符合“报告书”审查意见</w:t>
            </w:r>
            <w:r>
              <w:rPr>
                <w:rFonts w:hint="default" w:ascii="Times New Roman" w:hAnsi="Times New Roman" w:cs="Times New Roman"/>
                <w:color w:val="auto"/>
                <w:sz w:val="21"/>
                <w:szCs w:val="21"/>
                <w:highlight w:val="none"/>
                <w:lang w:eastAsia="zh-CN"/>
              </w:rPr>
              <w:t>。</w:t>
            </w:r>
          </w:p>
          <w:p>
            <w:pPr>
              <w:autoSpaceDE w:val="0"/>
              <w:autoSpaceDN w:val="0"/>
              <w:adjustRightInd w:val="0"/>
              <w:snapToGrid w:val="0"/>
              <w:spacing w:line="360" w:lineRule="auto"/>
              <w:ind w:firstLine="420" w:firstLineChars="200"/>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65" w:hRule="atLeast"/>
          <w:jc w:val="center"/>
        </w:trPr>
        <w:tc>
          <w:tcPr>
            <w:tcW w:w="682"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其他符合性分析</w:t>
            </w:r>
          </w:p>
        </w:tc>
        <w:tc>
          <w:tcPr>
            <w:tcW w:w="8188" w:type="dxa"/>
            <w:gridSpan w:val="4"/>
            <w:vAlign w:val="center"/>
          </w:tcPr>
          <w:p>
            <w:pPr>
              <w:spacing w:line="360" w:lineRule="auto"/>
              <w:ind w:firstLine="422" w:firstLineChars="200"/>
              <w:rPr>
                <w:rFonts w:hint="default" w:ascii="Times New Roman" w:hAnsi="Times New Roman" w:cs="Times New Roman"/>
                <w:bCs/>
                <w:color w:val="auto"/>
                <w:szCs w:val="21"/>
              </w:rPr>
            </w:pPr>
            <w:r>
              <w:rPr>
                <w:rFonts w:hint="default" w:ascii="Times New Roman" w:hAnsi="Times New Roman" w:cs="Times New Roman"/>
                <w:b/>
                <w:color w:val="auto"/>
                <w:szCs w:val="21"/>
              </w:rPr>
              <w:t>1.产业政策符合性</w:t>
            </w:r>
          </w:p>
          <w:p>
            <w:pPr>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本项目产品、工艺和生产能力均不属于国家发展和改革委员会发布的《产业结构调整指导目录（2019年本）》“鼓励类”、“淘汰类”和“限制类”中的项目，为允许建设项目，符合国家产业政策。</w:t>
            </w:r>
          </w:p>
          <w:p>
            <w:pPr>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国家关于《淘汰落后生产能力、工艺和产品目录》（第一批）、（第二批）、（第三批）中对本项目的生产工艺技术、规模均未做出淘汰和限制的规定。</w:t>
            </w:r>
          </w:p>
          <w:p>
            <w:pPr>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本项目所用设备、生产工艺不属于淄博市《全市重点淘汰的落后工艺技术、装备及产品目录》中落后的工艺技术、装备及产品项目，不属于淄博市人民政府办公厅发布的《关于印发淄博市产业结构调整指导意见和指导目录的通知》（淄政办发〔2011〕35号）中鼓励发展类、限制发展类和淘汰类之列，故本项目属允许类项目，符合淄博市的产业政策。</w:t>
            </w:r>
          </w:p>
          <w:p>
            <w:pPr>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本项目属于</w:t>
            </w:r>
            <w:r>
              <w:rPr>
                <w:rFonts w:hint="default" w:ascii="Times New Roman" w:hAnsi="Times New Roman" w:cs="Times New Roman"/>
                <w:color w:val="auto"/>
                <w:szCs w:val="21"/>
              </w:rPr>
              <w:t>C1491营养食品制造，</w:t>
            </w:r>
            <w:r>
              <w:rPr>
                <w:rFonts w:hint="default" w:ascii="Times New Roman" w:hAnsi="Times New Roman" w:cs="Times New Roman"/>
                <w:bCs/>
                <w:color w:val="auto"/>
                <w:szCs w:val="21"/>
              </w:rPr>
              <w:t>不属于《关于印发山东省“两高”项目管理名录的通知》（鲁发改工业[2021]487号）文件和《山东省人民政府办公厅关于加强“两高”项目管理的通知》（鲁政办字[2021]57号）文件中所述的“两高”项目。</w:t>
            </w:r>
          </w:p>
          <w:p>
            <w:pPr>
              <w:spacing w:line="360" w:lineRule="auto"/>
              <w:ind w:firstLine="420" w:firstLineChars="200"/>
              <w:rPr>
                <w:rFonts w:hint="default" w:ascii="Times New Roman" w:hAnsi="Times New Roman" w:eastAsia="宋体" w:cs="Times New Roman"/>
                <w:bCs/>
                <w:color w:val="auto"/>
                <w:szCs w:val="21"/>
                <w:lang w:eastAsia="zh-CN"/>
              </w:rPr>
            </w:pPr>
            <w:r>
              <w:rPr>
                <w:rFonts w:hint="default" w:ascii="Times New Roman" w:hAnsi="Times New Roman" w:cs="Times New Roman"/>
                <w:bCs/>
                <w:color w:val="auto"/>
                <w:kern w:val="36"/>
                <w:szCs w:val="21"/>
                <w:lang w:bidi="ar"/>
              </w:rPr>
              <w:t>项目于202</w:t>
            </w:r>
            <w:r>
              <w:rPr>
                <w:rFonts w:hint="eastAsia" w:cs="Times New Roman"/>
                <w:bCs/>
                <w:color w:val="auto"/>
                <w:kern w:val="36"/>
                <w:szCs w:val="21"/>
                <w:lang w:val="en-US" w:eastAsia="zh-CN" w:bidi="ar"/>
              </w:rPr>
              <w:t>2</w:t>
            </w:r>
            <w:r>
              <w:rPr>
                <w:rFonts w:hint="default" w:ascii="Times New Roman" w:hAnsi="Times New Roman" w:cs="Times New Roman"/>
                <w:bCs/>
                <w:color w:val="auto"/>
                <w:kern w:val="36"/>
                <w:szCs w:val="21"/>
                <w:lang w:bidi="ar"/>
              </w:rPr>
              <w:t>年</w:t>
            </w:r>
            <w:r>
              <w:rPr>
                <w:rFonts w:hint="eastAsia" w:cs="Times New Roman"/>
                <w:bCs/>
                <w:color w:val="auto"/>
                <w:kern w:val="36"/>
                <w:szCs w:val="21"/>
                <w:lang w:val="en-US" w:eastAsia="zh-CN" w:bidi="ar"/>
              </w:rPr>
              <w:t>7</w:t>
            </w:r>
            <w:r>
              <w:rPr>
                <w:rFonts w:hint="default" w:ascii="Times New Roman" w:hAnsi="Times New Roman" w:cs="Times New Roman"/>
                <w:bCs/>
                <w:color w:val="auto"/>
                <w:kern w:val="36"/>
                <w:szCs w:val="21"/>
                <w:lang w:bidi="ar"/>
              </w:rPr>
              <w:t>月</w:t>
            </w:r>
            <w:r>
              <w:rPr>
                <w:rFonts w:hint="eastAsia" w:cs="Times New Roman"/>
                <w:bCs/>
                <w:color w:val="auto"/>
                <w:kern w:val="36"/>
                <w:szCs w:val="21"/>
                <w:lang w:val="en-US" w:eastAsia="zh-CN" w:bidi="ar"/>
              </w:rPr>
              <w:t>27</w:t>
            </w:r>
            <w:r>
              <w:rPr>
                <w:rFonts w:hint="default" w:ascii="Times New Roman" w:hAnsi="Times New Roman" w:cs="Times New Roman"/>
                <w:bCs/>
                <w:color w:val="auto"/>
                <w:kern w:val="36"/>
                <w:szCs w:val="21"/>
                <w:lang w:bidi="ar"/>
              </w:rPr>
              <w:t>日取得了临淄区工业和信息化局立项备案证明，备案项目代码：</w:t>
            </w:r>
            <w:r>
              <w:rPr>
                <w:rFonts w:hint="eastAsia" w:cs="Times New Roman"/>
                <w:color w:val="auto"/>
                <w:szCs w:val="21"/>
                <w:lang w:eastAsia="zh-CN"/>
              </w:rPr>
              <w:t>2207-370305-89-01-537708</w:t>
            </w:r>
            <w:r>
              <w:rPr>
                <w:rFonts w:hint="default" w:ascii="Times New Roman" w:hAnsi="Times New Roman" w:cs="Times New Roman"/>
                <w:bCs/>
                <w:color w:val="auto"/>
                <w:kern w:val="36"/>
                <w:szCs w:val="21"/>
                <w:lang w:bidi="ar"/>
              </w:rPr>
              <w:t>，具体证明详见附件。</w:t>
            </w:r>
          </w:p>
          <w:p>
            <w:pPr>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综上所述，本项目的建设符合国家及淄博市产业政策的要求。</w:t>
            </w:r>
          </w:p>
          <w:p>
            <w:pPr>
              <w:spacing w:line="360" w:lineRule="auto"/>
              <w:ind w:firstLine="422" w:firstLineChars="200"/>
              <w:rPr>
                <w:rFonts w:hint="default" w:ascii="Times New Roman" w:hAnsi="Times New Roman" w:cs="Times New Roman"/>
                <w:b/>
                <w:color w:val="auto"/>
                <w:szCs w:val="21"/>
                <w:lang w:val="en-US" w:eastAsia="zh-CN"/>
              </w:rPr>
            </w:pPr>
            <w:r>
              <w:rPr>
                <w:rFonts w:hint="default" w:ascii="Times New Roman" w:hAnsi="Times New Roman" w:cs="Times New Roman"/>
                <w:b/>
                <w:color w:val="auto"/>
                <w:szCs w:val="21"/>
                <w:lang w:val="en-US" w:eastAsia="zh-CN"/>
              </w:rPr>
              <w:t>2.用地符合性分析</w:t>
            </w:r>
          </w:p>
          <w:p>
            <w:pPr>
              <w:spacing w:line="36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本项目位于淄博市临淄区农业高新技术示范区农圣路2号</w:t>
            </w:r>
            <w:r>
              <w:rPr>
                <w:rFonts w:hint="default" w:ascii="Times New Roman" w:hAnsi="Times New Roman" w:cs="Times New Roman"/>
                <w:color w:val="auto"/>
                <w:szCs w:val="21"/>
              </w:rPr>
              <w:t>内</w:t>
            </w:r>
            <w:r>
              <w:rPr>
                <w:rFonts w:hint="default" w:ascii="Times New Roman" w:hAnsi="Times New Roman" w:cs="Times New Roman"/>
                <w:color w:val="auto"/>
              </w:rPr>
              <w:t>，在闲置厂区内进行建设（有合法用地手续，土地证号为：</w:t>
            </w:r>
            <w:r>
              <w:rPr>
                <w:rFonts w:hint="eastAsia" w:cs="Times New Roman"/>
                <w:color w:val="auto"/>
                <w:lang w:val="en-US" w:eastAsia="zh-CN"/>
              </w:rPr>
              <w:t>鲁</w:t>
            </w:r>
            <w:r>
              <w:rPr>
                <w:rFonts w:hint="default" w:ascii="Times New Roman" w:hAnsi="Times New Roman" w:cs="Times New Roman"/>
                <w:color w:val="auto"/>
              </w:rPr>
              <w:t>（20</w:t>
            </w:r>
            <w:r>
              <w:rPr>
                <w:rFonts w:hint="eastAsia" w:cs="Times New Roman"/>
                <w:color w:val="auto"/>
                <w:lang w:val="en-US" w:eastAsia="zh-CN"/>
              </w:rPr>
              <w:t>21</w:t>
            </w:r>
            <w:r>
              <w:rPr>
                <w:rFonts w:hint="default" w:ascii="Times New Roman" w:hAnsi="Times New Roman" w:cs="Times New Roman"/>
                <w:color w:val="auto"/>
              </w:rPr>
              <w:t>）</w:t>
            </w:r>
            <w:r>
              <w:rPr>
                <w:rFonts w:hint="eastAsia" w:cs="Times New Roman"/>
                <w:color w:val="auto"/>
                <w:lang w:val="en-US" w:eastAsia="zh-CN"/>
              </w:rPr>
              <w:t>淄博临淄区不动产权</w:t>
            </w:r>
            <w:r>
              <w:rPr>
                <w:rFonts w:hint="default" w:ascii="Times New Roman" w:hAnsi="Times New Roman" w:cs="Times New Roman"/>
                <w:color w:val="auto"/>
              </w:rPr>
              <w:t>第</w:t>
            </w:r>
            <w:r>
              <w:rPr>
                <w:rFonts w:hint="eastAsia" w:cs="Times New Roman"/>
                <w:color w:val="auto"/>
                <w:lang w:val="en-US" w:eastAsia="zh-CN"/>
              </w:rPr>
              <w:t>0043128</w:t>
            </w:r>
            <w:r>
              <w:rPr>
                <w:rFonts w:hint="default" w:ascii="Times New Roman" w:hAnsi="Times New Roman" w:cs="Times New Roman"/>
                <w:color w:val="auto"/>
              </w:rPr>
              <w:t>号，见附件），不新征土地。厂区东侧为林地，南侧为农圣路，西侧为山东齐源因子科技有限公司，北侧为</w:t>
            </w:r>
            <w:r>
              <w:rPr>
                <w:rFonts w:hint="eastAsia" w:cs="Times New Roman"/>
                <w:color w:val="auto"/>
                <w:lang w:eastAsia="zh-CN"/>
              </w:rPr>
              <w:t>淄博欧齐塑胶有限公司</w:t>
            </w:r>
            <w:r>
              <w:rPr>
                <w:rFonts w:hint="default" w:ascii="Times New Roman" w:hAnsi="Times New Roman" w:cs="Times New Roman"/>
                <w:color w:val="auto"/>
              </w:rPr>
              <w:t>。</w:t>
            </w:r>
          </w:p>
          <w:p>
            <w:pPr>
              <w:spacing w:line="360" w:lineRule="auto"/>
              <w:ind w:firstLine="420" w:firstLineChars="200"/>
              <w:rPr>
                <w:rFonts w:hint="default" w:ascii="Times New Roman" w:hAnsi="Times New Roman" w:cs="Times New Roman"/>
                <w:color w:val="auto"/>
              </w:rPr>
            </w:pPr>
            <w:r>
              <w:rPr>
                <w:rFonts w:hint="default" w:ascii="Times New Roman" w:hAnsi="Times New Roman" w:cs="Times New Roman"/>
                <w:bCs/>
                <w:color w:val="auto"/>
                <w:szCs w:val="21"/>
              </w:rPr>
              <w:t>根据凤凰镇土地利用总体规划（2017-2035年）及土地利用规划图（见附图），本项目用地类型为工业用地。</w:t>
            </w:r>
            <w:r>
              <w:rPr>
                <w:rFonts w:hint="default" w:ascii="Times New Roman" w:hAnsi="Times New Roman" w:cs="Times New Roman"/>
                <w:color w:val="auto"/>
              </w:rPr>
              <w:t>本项目用地不属于《限制用地项目目录（2012年本）》和《禁止用地项目目录（2012年本）》中相应用地，不属于《山东省禁止限制供地项目目录及建设用地集约利用控制标准》中山东省禁止、限制供地项目用地。</w:t>
            </w:r>
          </w:p>
          <w:p>
            <w:pPr>
              <w:spacing w:line="360" w:lineRule="auto"/>
              <w:ind w:firstLine="422" w:firstLineChars="200"/>
              <w:rPr>
                <w:rFonts w:hint="default" w:ascii="Times New Roman" w:hAnsi="Times New Roman" w:cs="Times New Roman"/>
                <w:b/>
                <w:color w:val="auto"/>
                <w:szCs w:val="21"/>
              </w:rPr>
            </w:pPr>
            <w:r>
              <w:rPr>
                <w:rFonts w:hint="default" w:ascii="Times New Roman" w:hAnsi="Times New Roman" w:cs="Times New Roman"/>
                <w:b/>
                <w:color w:val="auto"/>
                <w:szCs w:val="21"/>
                <w:lang w:val="en-US" w:eastAsia="zh-CN"/>
              </w:rPr>
              <w:t>3</w:t>
            </w:r>
            <w:r>
              <w:rPr>
                <w:rFonts w:hint="default" w:ascii="Times New Roman" w:hAnsi="Times New Roman" w:cs="Times New Roman"/>
                <w:b/>
                <w:color w:val="auto"/>
                <w:szCs w:val="21"/>
              </w:rPr>
              <w:t>.“三线一单”符合性分析</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（1）与生态保护红线的符合性</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根据《山东省生态保护红线规划》，临淄区内生态保护红线主要有：</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1）临淄淄河两侧水源涵养生态保护红线区，面积为0.44km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，Ⅰ类红线区范围是以开采井为圆心，半径30m 的圆形区域，生态功能为水源涵养；</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2）汞山生物多样性维护生态保护红线区，位于乙烯南路以南，辛化路以西，临淄与张店分界线以东，东海路以北，面积为10.54km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，生态功能为生物多样性维护、土壤保持，包括汞山森林公园、垢皋林场。</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本项目位于临淄区农业高新技术示范区农圣路2号内，本项目的实施未涉及生态保护红线，不在生态保护红线区，不涉及占用或穿越生态保护红线。选址符合山东省生态保护红线规划要求。本项目与生态保护红线位置关系图见附图</w:t>
            </w:r>
            <w:r>
              <w:rPr>
                <w:rFonts w:hint="eastAsia" w:cs="Times New Roman"/>
                <w:color w:val="auto"/>
                <w:szCs w:val="21"/>
                <w:lang w:val="en-US" w:eastAsia="zh-CN"/>
              </w:rPr>
              <w:t>6、</w:t>
            </w:r>
            <w:r>
              <w:rPr>
                <w:rFonts w:hint="default" w:ascii="Times New Roman" w:hAnsi="Times New Roman" w:cs="Times New Roman"/>
                <w:color w:val="auto"/>
                <w:szCs w:val="21"/>
              </w:rPr>
              <w:t>附图</w:t>
            </w:r>
            <w:r>
              <w:rPr>
                <w:rFonts w:hint="eastAsia" w:cs="Times New Roman"/>
                <w:color w:val="auto"/>
                <w:szCs w:val="21"/>
                <w:lang w:val="en-US" w:eastAsia="zh-CN"/>
              </w:rPr>
              <w:t>7</w:t>
            </w:r>
            <w:r>
              <w:rPr>
                <w:rFonts w:hint="default" w:ascii="Times New Roman" w:hAnsi="Times New Roman" w:cs="Times New Roman"/>
                <w:color w:val="auto"/>
                <w:szCs w:val="21"/>
              </w:rPr>
              <w:t>。</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（2）与环境质量底线的符合性</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项目所在地环境空气现状指标不满足《环境空气质量标准》（GB3095-2012）二级标准，乌河评价河段水质满足《地表水环境质量标准》(GB3838-2002) Ⅴ类标准水质要求，地下水环境质量标准满足《地下水质量标准》Ⅲ类标准，区域噪声符合《声环境质量标准》（GB3096-2008）2类标准要求。该项目建有完善的废气、废水、噪声及固废处理设施，并确保达标排放</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详见后述</w:t>
            </w:r>
            <w:r>
              <w:rPr>
                <w:rFonts w:hint="default" w:ascii="Times New Roman" w:hAnsi="Times New Roman" w:cs="Times New Roman"/>
                <w:color w:val="auto"/>
                <w:szCs w:val="21"/>
                <w:lang w:eastAsia="zh-CN"/>
              </w:rPr>
              <w:t>环境保护措施监督检查清单）</w:t>
            </w:r>
            <w:r>
              <w:rPr>
                <w:rFonts w:hint="default" w:ascii="Times New Roman" w:hAnsi="Times New Roman" w:cs="Times New Roman"/>
                <w:color w:val="auto"/>
                <w:szCs w:val="21"/>
              </w:rPr>
              <w:t>，不会降低项目所在地周围的环境功能，因此项目建设不会对当地环境质量底线造成影响。</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（3）与资源利用上</w:t>
            </w:r>
            <w:r>
              <w:rPr>
                <w:rFonts w:hint="eastAsia" w:cs="Times New Roman"/>
                <w:color w:val="auto"/>
                <w:szCs w:val="21"/>
                <w:lang w:val="en-US" w:eastAsia="zh-CN"/>
              </w:rPr>
              <w:t>线</w:t>
            </w:r>
            <w:r>
              <w:rPr>
                <w:rFonts w:hint="default" w:ascii="Times New Roman" w:hAnsi="Times New Roman" w:cs="Times New Roman"/>
                <w:color w:val="auto"/>
                <w:szCs w:val="21"/>
              </w:rPr>
              <w:t>的符合性</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项目运营过程中需要消耗一定量的水、电，本项目周围配套设施较为完善，公共设施方便，项目资源消耗量相对于区域资源利用总量较少，符合资源利用上线要求。</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（4）</w:t>
            </w:r>
            <w:r>
              <w:rPr>
                <w:rFonts w:hint="default" w:ascii="Times New Roman" w:hAnsi="Times New Roman" w:cs="Times New Roman"/>
                <w:color w:val="auto"/>
                <w:szCs w:val="21"/>
                <w:lang w:eastAsia="zh-CN"/>
              </w:rPr>
              <w:t>生态环境准入</w:t>
            </w:r>
            <w:r>
              <w:rPr>
                <w:rFonts w:hint="default" w:ascii="Times New Roman" w:hAnsi="Times New Roman" w:cs="Times New Roman"/>
                <w:color w:val="auto"/>
                <w:szCs w:val="21"/>
              </w:rPr>
              <w:t>清单</w:t>
            </w:r>
          </w:p>
          <w:p>
            <w:pPr>
              <w:autoSpaceDE w:val="0"/>
              <w:autoSpaceDN w:val="0"/>
              <w:adjustRightInd w:val="0"/>
              <w:snapToGrid w:val="0"/>
              <w:spacing w:line="360" w:lineRule="auto"/>
              <w:ind w:firstLine="420" w:firstLineChars="200"/>
              <w:rPr>
                <w:rFonts w:hint="default" w:ascii="Times New Roman" w:hAnsi="Times New Roman" w:cs="Times New Roman"/>
                <w:color w:val="auto"/>
                <w:kern w:val="0"/>
                <w:szCs w:val="21"/>
              </w:rPr>
            </w:pPr>
            <w:r>
              <w:rPr>
                <w:rFonts w:hint="eastAsia"/>
                <w:color w:val="auto"/>
                <w:szCs w:val="21"/>
                <w:lang w:val="en"/>
              </w:rPr>
              <w:t>根据《</w:t>
            </w:r>
            <w:r>
              <w:rPr>
                <w:color w:val="auto"/>
                <w:szCs w:val="21"/>
                <w:lang w:val="en"/>
              </w:rPr>
              <w:t>淄博市人民政府关于印发淄博市“三线一单”生态环境分区管控方案的通知</w:t>
            </w:r>
            <w:r>
              <w:rPr>
                <w:rFonts w:hint="eastAsia"/>
                <w:color w:val="auto"/>
                <w:szCs w:val="21"/>
                <w:lang w:val="en"/>
              </w:rPr>
              <w:t>》（淄政字〔2021〕49号）</w:t>
            </w:r>
            <w:r>
              <w:rPr>
                <w:rFonts w:hint="eastAsia"/>
                <w:color w:val="auto"/>
                <w:szCs w:val="21"/>
                <w:lang w:val="en" w:eastAsia="zh-CN"/>
              </w:rPr>
              <w:t>及</w:t>
            </w:r>
            <w:r>
              <w:rPr>
                <w:rFonts w:hint="eastAsia"/>
                <w:color w:val="auto"/>
                <w:szCs w:val="21"/>
                <w:lang w:val="en"/>
              </w:rPr>
              <w:t>淄博市生态环境委员会办公室关于印发《淄博市“三线一单”生态环境准入清单》的通知（淄环委办〔2021〕24号）</w:t>
            </w:r>
            <w:r>
              <w:rPr>
                <w:rFonts w:hint="eastAsia"/>
                <w:color w:val="auto"/>
                <w:szCs w:val="21"/>
              </w:rPr>
              <w:t>内容</w:t>
            </w:r>
            <w:r>
              <w:rPr>
                <w:rFonts w:hint="eastAsia"/>
                <w:color w:val="auto"/>
                <w:szCs w:val="21"/>
                <w:lang w:val="en"/>
              </w:rPr>
              <w:t>，</w:t>
            </w:r>
            <w:r>
              <w:rPr>
                <w:rFonts w:hint="default" w:ascii="Times New Roman" w:hAnsi="Times New Roman" w:cs="Times New Roman"/>
                <w:color w:val="auto"/>
                <w:szCs w:val="21"/>
                <w:lang w:val="en"/>
              </w:rPr>
              <w:t>本项目位于淄博市</w:t>
            </w:r>
            <w:r>
              <w:rPr>
                <w:rFonts w:hint="default" w:ascii="Times New Roman" w:hAnsi="Times New Roman" w:cs="Times New Roman"/>
                <w:bCs/>
                <w:color w:val="auto"/>
                <w:szCs w:val="21"/>
              </w:rPr>
              <w:t>临淄区农业高新技术示范区农圣路2号</w:t>
            </w:r>
            <w:r>
              <w:rPr>
                <w:rFonts w:hint="default" w:ascii="Times New Roman" w:hAnsi="Times New Roman" w:cs="Times New Roman"/>
                <w:bCs/>
                <w:color w:val="auto"/>
                <w:szCs w:val="21"/>
                <w:lang w:eastAsia="zh-CN"/>
              </w:rPr>
              <w:t>，属于凤凰镇管辖</w:t>
            </w:r>
            <w:r>
              <w:rPr>
                <w:rFonts w:hint="default" w:ascii="Times New Roman" w:hAnsi="Times New Roman" w:cs="Times New Roman"/>
                <w:color w:val="auto"/>
                <w:szCs w:val="21"/>
                <w:lang w:val="en"/>
              </w:rPr>
              <w:t>，</w:t>
            </w:r>
            <w:r>
              <w:rPr>
                <w:rFonts w:hint="default" w:ascii="Times New Roman" w:hAnsi="Times New Roman" w:cs="Times New Roman"/>
                <w:color w:val="auto"/>
                <w:szCs w:val="21"/>
                <w:lang w:val="zh-CN"/>
              </w:rPr>
              <w:t>属于重点管控区，重点管控</w:t>
            </w:r>
            <w:r>
              <w:rPr>
                <w:rFonts w:hint="default" w:ascii="Times New Roman" w:hAnsi="Times New Roman" w:cs="Times New Roman"/>
                <w:color w:val="auto"/>
                <w:kern w:val="0"/>
                <w:szCs w:val="21"/>
              </w:rPr>
              <w:t>单元要求及符合性见下表：</w:t>
            </w:r>
          </w:p>
          <w:p>
            <w:pPr>
              <w:autoSpaceDE w:val="0"/>
              <w:autoSpaceDN w:val="0"/>
              <w:adjustRightInd w:val="0"/>
              <w:snapToGrid w:val="0"/>
              <w:spacing w:line="360" w:lineRule="auto"/>
              <w:jc w:val="center"/>
              <w:rPr>
                <w:b/>
                <w:bCs/>
                <w:color w:val="auto"/>
                <w:kern w:val="0"/>
                <w:szCs w:val="21"/>
              </w:rPr>
            </w:pPr>
            <w:r>
              <w:rPr>
                <w:rFonts w:hint="default" w:ascii="Times New Roman" w:hAnsi="Times New Roman" w:cs="Times New Roman"/>
                <w:b/>
                <w:bCs/>
                <w:color w:val="auto"/>
                <w:kern w:val="0"/>
                <w:szCs w:val="21"/>
              </w:rPr>
              <w:t>表</w:t>
            </w:r>
            <w:r>
              <w:rPr>
                <w:rFonts w:hint="default" w:ascii="Times New Roman" w:hAnsi="Times New Roman" w:cs="Times New Roman"/>
                <w:b/>
                <w:bCs/>
                <w:color w:val="auto"/>
                <w:kern w:val="0"/>
                <w:szCs w:val="21"/>
                <w:lang w:val="en-US" w:eastAsia="zh-CN"/>
              </w:rPr>
              <w:t>3</w:t>
            </w:r>
            <w:r>
              <w:rPr>
                <w:rFonts w:hint="default" w:ascii="Times New Roman" w:hAnsi="Times New Roman" w:cs="Times New Roman"/>
                <w:b/>
                <w:bCs/>
                <w:color w:val="auto"/>
                <w:kern w:val="0"/>
                <w:szCs w:val="21"/>
              </w:rPr>
              <w:t xml:space="preserve">  </w:t>
            </w:r>
            <w:r>
              <w:rPr>
                <w:rFonts w:hint="eastAsia"/>
                <w:b/>
                <w:bCs/>
                <w:color w:val="auto"/>
                <w:kern w:val="0"/>
                <w:szCs w:val="21"/>
              </w:rPr>
              <w:t>淄博市“三线一单”生态环境准入清单</w:t>
            </w:r>
            <w:r>
              <w:rPr>
                <w:rFonts w:hint="eastAsia"/>
                <w:b/>
                <w:bCs/>
                <w:color w:val="auto"/>
                <w:kern w:val="0"/>
                <w:szCs w:val="21"/>
                <w:lang w:eastAsia="zh-CN"/>
              </w:rPr>
              <w:t>（</w:t>
            </w:r>
            <w:r>
              <w:rPr>
                <w:rFonts w:hint="default" w:ascii="Times New Roman" w:hAnsi="Times New Roman" w:cs="Times New Roman"/>
                <w:b/>
                <w:bCs/>
                <w:color w:val="auto"/>
                <w:szCs w:val="21"/>
                <w:lang w:eastAsia="zh-CN"/>
              </w:rPr>
              <w:t>凤凰镇</w:t>
            </w:r>
            <w:r>
              <w:rPr>
                <w:rFonts w:hint="eastAsia"/>
                <w:b/>
                <w:bCs/>
                <w:color w:val="auto"/>
                <w:kern w:val="0"/>
                <w:szCs w:val="21"/>
                <w:lang w:eastAsia="zh-CN"/>
              </w:rPr>
              <w:t>）要</w:t>
            </w:r>
            <w:r>
              <w:rPr>
                <w:b/>
                <w:bCs/>
                <w:color w:val="auto"/>
                <w:kern w:val="0"/>
                <w:szCs w:val="21"/>
              </w:rPr>
              <w:t>求及符合性分析一览表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
              <w:gridCol w:w="4808"/>
              <w:gridCol w:w="1987"/>
              <w:gridCol w:w="6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7" w:type="pct"/>
                  <w:tcBorders>
                    <w:tl2br w:val="nil"/>
                    <w:tr2bl w:val="nil"/>
                  </w:tcBorders>
                  <w:noWrap w:val="0"/>
                  <w:vAlign w:val="center"/>
                </w:tcPr>
                <w:p>
                  <w:pPr>
                    <w:pStyle w:val="2"/>
                    <w:snapToGrid w:val="0"/>
                    <w:spacing w:before="24" w:after="24" w:line="240" w:lineRule="exact"/>
                    <w:ind w:left="0" w:leftChars="0" w:firstLine="0" w:firstLineChars="0"/>
                    <w:jc w:val="center"/>
                    <w:rPr>
                      <w:rFonts w:hint="eastAsia"/>
                      <w:b/>
                      <w:bCs/>
                      <w:color w:val="auto"/>
                      <w:sz w:val="21"/>
                      <w:szCs w:val="21"/>
                      <w:highlight w:val="none"/>
                    </w:rPr>
                  </w:pPr>
                  <w:r>
                    <w:rPr>
                      <w:rFonts w:hint="eastAsia"/>
                      <w:b/>
                      <w:bCs/>
                      <w:color w:val="auto"/>
                      <w:sz w:val="21"/>
                      <w:szCs w:val="21"/>
                      <w:highlight w:val="none"/>
                    </w:rPr>
                    <w:t>分类</w:t>
                  </w:r>
                </w:p>
              </w:tc>
              <w:tc>
                <w:tcPr>
                  <w:tcW w:w="3026" w:type="pct"/>
                  <w:tcBorders>
                    <w:tl2br w:val="nil"/>
                    <w:tr2bl w:val="nil"/>
                  </w:tcBorders>
                  <w:noWrap w:val="0"/>
                  <w:vAlign w:val="center"/>
                </w:tcPr>
                <w:p>
                  <w:pPr>
                    <w:pStyle w:val="2"/>
                    <w:snapToGrid w:val="0"/>
                    <w:spacing w:before="24" w:after="24" w:line="240" w:lineRule="exact"/>
                    <w:ind w:left="0" w:leftChars="0" w:firstLine="0" w:firstLineChars="0"/>
                    <w:jc w:val="center"/>
                    <w:rPr>
                      <w:b/>
                      <w:bCs/>
                      <w:color w:val="auto"/>
                      <w:sz w:val="21"/>
                      <w:szCs w:val="21"/>
                      <w:highlight w:val="none"/>
                    </w:rPr>
                  </w:pPr>
                  <w:r>
                    <w:rPr>
                      <w:b/>
                      <w:bCs/>
                      <w:color w:val="auto"/>
                      <w:sz w:val="21"/>
                      <w:szCs w:val="21"/>
                      <w:highlight w:val="none"/>
                    </w:rPr>
                    <w:t>文件要求</w:t>
                  </w:r>
                </w:p>
              </w:tc>
              <w:tc>
                <w:tcPr>
                  <w:tcW w:w="1250" w:type="pct"/>
                  <w:tcBorders>
                    <w:tl2br w:val="nil"/>
                    <w:tr2bl w:val="nil"/>
                  </w:tcBorders>
                  <w:noWrap w:val="0"/>
                  <w:vAlign w:val="center"/>
                </w:tcPr>
                <w:p>
                  <w:pPr>
                    <w:pStyle w:val="2"/>
                    <w:snapToGrid w:val="0"/>
                    <w:spacing w:before="24" w:after="24" w:line="240" w:lineRule="exact"/>
                    <w:ind w:left="0" w:leftChars="0" w:firstLine="0" w:firstLineChars="0"/>
                    <w:jc w:val="center"/>
                    <w:rPr>
                      <w:b/>
                      <w:bCs/>
                      <w:color w:val="auto"/>
                      <w:sz w:val="21"/>
                      <w:szCs w:val="21"/>
                      <w:highlight w:val="none"/>
                    </w:rPr>
                  </w:pPr>
                  <w:r>
                    <w:rPr>
                      <w:b/>
                      <w:bCs/>
                      <w:color w:val="auto"/>
                      <w:sz w:val="21"/>
                      <w:szCs w:val="21"/>
                      <w:highlight w:val="none"/>
                    </w:rPr>
                    <w:t>本项目情况</w:t>
                  </w:r>
                </w:p>
              </w:tc>
              <w:tc>
                <w:tcPr>
                  <w:tcW w:w="414" w:type="pct"/>
                  <w:tcBorders>
                    <w:tl2br w:val="nil"/>
                    <w:tr2bl w:val="nil"/>
                  </w:tcBorders>
                  <w:noWrap w:val="0"/>
                  <w:vAlign w:val="center"/>
                </w:tcPr>
                <w:p>
                  <w:pPr>
                    <w:pStyle w:val="2"/>
                    <w:snapToGrid w:val="0"/>
                    <w:spacing w:before="24" w:after="24" w:line="240" w:lineRule="exact"/>
                    <w:ind w:left="0" w:leftChars="0" w:firstLine="0" w:firstLineChars="0"/>
                    <w:jc w:val="center"/>
                    <w:rPr>
                      <w:b/>
                      <w:bCs/>
                      <w:color w:val="auto"/>
                      <w:sz w:val="21"/>
                      <w:szCs w:val="21"/>
                      <w:highlight w:val="none"/>
                    </w:rPr>
                  </w:pPr>
                  <w:r>
                    <w:rPr>
                      <w:b/>
                      <w:bCs/>
                      <w:color w:val="auto"/>
                      <w:sz w:val="21"/>
                      <w:szCs w:val="21"/>
                      <w:highlight w:val="none"/>
                    </w:rPr>
                    <w:t>符合情况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7" w:type="pct"/>
                  <w:tcBorders>
                    <w:tl2br w:val="nil"/>
                    <w:tr2bl w:val="nil"/>
                  </w:tcBorders>
                  <w:noWrap w:val="0"/>
                  <w:vAlign w:val="center"/>
                </w:tcPr>
                <w:p>
                  <w:pPr>
                    <w:pStyle w:val="2"/>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空间布局约束</w:t>
                  </w:r>
                </w:p>
              </w:tc>
              <w:tc>
                <w:tcPr>
                  <w:tcW w:w="3026" w:type="pct"/>
                  <w:tcBorders>
                    <w:tl2br w:val="nil"/>
                    <w:tr2bl w:val="nil"/>
                  </w:tcBorders>
                  <w:noWrap w:val="0"/>
                  <w:vAlign w:val="center"/>
                </w:tcPr>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rPr>
                    <w:t>1.禁止新建、扩建《产业结构调整指导目录》（现行）明确的淘汰类项目和引入《市场准入负面清单》（现行）禁止准入类事项；鼓励对列入《产业结构调整指导目录》的限制类、淘汰类工业项目进行淘汰和提升改造。</w:t>
                  </w:r>
                </w:p>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rPr>
                    <w:t>2.严格控制钢铁、焦化、电解铝、水泥和平板玻璃等行业新增产能，列入去产能的煤电、钢铁等企业按期退出。</w:t>
                  </w:r>
                </w:p>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rPr>
                    <w:t>3.按《土壤污染防治行动计划》的要求管理：严格控制在优先保护类耕地集中区域新建有色金属冶炼、石油加工、化工、焦化、电镀、制革等行业企业。对永久基本农田实行严格保护，确保其面积不减少、土壤环境质量不下降，除法律规定的重点建设项目选址确实无法避让外，其他任何建设不得占用。</w:t>
                  </w:r>
                </w:p>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rPr>
                    <w:t>4.按《山东省水利厅关于公布我省地下水限采区和禁采区的通知》要求，执行超采区管控要求。</w:t>
                  </w:r>
                </w:p>
                <w:p>
                  <w:pPr>
                    <w:pStyle w:val="2"/>
                    <w:snapToGrid w:val="0"/>
                    <w:spacing w:before="24" w:after="24" w:line="240" w:lineRule="exact"/>
                    <w:ind w:left="0" w:leftChars="0" w:firstLine="0" w:firstLineChars="0"/>
                    <w:jc w:val="left"/>
                    <w:rPr>
                      <w:color w:val="auto"/>
                      <w:sz w:val="21"/>
                      <w:szCs w:val="21"/>
                      <w:highlight w:val="none"/>
                    </w:rPr>
                  </w:pPr>
                  <w:r>
                    <w:rPr>
                      <w:rFonts w:hint="eastAsia"/>
                      <w:color w:val="auto"/>
                      <w:sz w:val="21"/>
                      <w:szCs w:val="21"/>
                      <w:highlight w:val="none"/>
                    </w:rPr>
                    <w:t>5.污水处理设施不健全、未正常运行或污水管网未覆盖的地区，未配套污水处理设施的项目不得建设。</w:t>
                  </w:r>
                </w:p>
              </w:tc>
              <w:tc>
                <w:tcPr>
                  <w:tcW w:w="1250" w:type="pct"/>
                  <w:tcBorders>
                    <w:tl2br w:val="nil"/>
                    <w:tr2bl w:val="nil"/>
                  </w:tcBorders>
                  <w:noWrap w:val="0"/>
                  <w:vAlign w:val="center"/>
                </w:tcPr>
                <w:p>
                  <w:pPr>
                    <w:pStyle w:val="2"/>
                    <w:snapToGrid w:val="0"/>
                    <w:spacing w:before="24" w:after="24" w:line="240" w:lineRule="exact"/>
                    <w:ind w:left="0" w:leftChars="0" w:firstLine="0" w:firstLineChars="0"/>
                    <w:jc w:val="left"/>
                    <w:rPr>
                      <w:color w:val="auto"/>
                      <w:sz w:val="21"/>
                      <w:szCs w:val="21"/>
                      <w:highlight w:val="none"/>
                    </w:rPr>
                  </w:pPr>
                  <w:r>
                    <w:rPr>
                      <w:rFonts w:hint="eastAsia"/>
                      <w:color w:val="auto"/>
                      <w:sz w:val="21"/>
                      <w:szCs w:val="21"/>
                      <w:highlight w:val="none"/>
                    </w:rPr>
                    <w:t>1.</w:t>
                  </w:r>
                  <w:r>
                    <w:rPr>
                      <w:color w:val="auto"/>
                      <w:sz w:val="21"/>
                      <w:szCs w:val="21"/>
                      <w:highlight w:val="none"/>
                    </w:rPr>
                    <w:t>本项目不属于落后产能及淘汰类项目；</w:t>
                  </w:r>
                  <w:r>
                    <w:rPr>
                      <w:rFonts w:hint="eastAsia"/>
                      <w:color w:val="auto"/>
                      <w:sz w:val="21"/>
                      <w:szCs w:val="21"/>
                      <w:highlight w:val="none"/>
                    </w:rPr>
                    <w:t>2.</w:t>
                  </w:r>
                  <w:r>
                    <w:rPr>
                      <w:rFonts w:hint="eastAsia"/>
                      <w:color w:val="auto"/>
                      <w:sz w:val="21"/>
                      <w:szCs w:val="21"/>
                      <w:highlight w:val="none"/>
                      <w:lang w:val="en-US" w:eastAsia="zh-CN"/>
                    </w:rPr>
                    <w:t>本项目不属于</w:t>
                  </w:r>
                  <w:r>
                    <w:rPr>
                      <w:rFonts w:hint="eastAsia"/>
                      <w:color w:val="auto"/>
                      <w:sz w:val="21"/>
                      <w:szCs w:val="21"/>
                      <w:highlight w:val="none"/>
                    </w:rPr>
                    <w:t>钢铁、焦化、电解铝、水泥和平板玻璃等行业；3.</w:t>
                  </w:r>
                  <w:r>
                    <w:rPr>
                      <w:color w:val="auto"/>
                      <w:sz w:val="21"/>
                      <w:szCs w:val="21"/>
                      <w:highlight w:val="none"/>
                    </w:rPr>
                    <w:t>本次在现有</w:t>
                  </w:r>
                  <w:r>
                    <w:rPr>
                      <w:rFonts w:hint="eastAsia"/>
                      <w:color w:val="auto"/>
                      <w:sz w:val="21"/>
                      <w:szCs w:val="21"/>
                      <w:highlight w:val="none"/>
                      <w:lang w:eastAsia="zh-CN"/>
                    </w:rPr>
                    <w:t>厂区</w:t>
                  </w:r>
                  <w:r>
                    <w:rPr>
                      <w:rFonts w:hint="eastAsia"/>
                      <w:color w:val="auto"/>
                      <w:sz w:val="21"/>
                      <w:szCs w:val="21"/>
                      <w:highlight w:val="none"/>
                      <w:lang w:val="en-US" w:eastAsia="zh-CN"/>
                    </w:rPr>
                    <w:t>建设</w:t>
                  </w:r>
                  <w:r>
                    <w:rPr>
                      <w:rFonts w:hint="eastAsia"/>
                      <w:color w:val="auto"/>
                      <w:sz w:val="21"/>
                      <w:szCs w:val="21"/>
                      <w:highlight w:val="none"/>
                    </w:rPr>
                    <w:t>，不会改变现有生态空间，</w:t>
                  </w:r>
                  <w:r>
                    <w:rPr>
                      <w:rFonts w:hint="eastAsia"/>
                      <w:color w:val="auto"/>
                      <w:sz w:val="21"/>
                      <w:szCs w:val="21"/>
                      <w:highlight w:val="none"/>
                      <w:lang w:eastAsia="zh-CN"/>
                    </w:rPr>
                    <w:t>不占用永久基本农田</w:t>
                  </w:r>
                  <w:r>
                    <w:rPr>
                      <w:color w:val="auto"/>
                      <w:sz w:val="21"/>
                      <w:szCs w:val="21"/>
                      <w:highlight w:val="none"/>
                    </w:rPr>
                    <w:t>；</w:t>
                  </w:r>
                  <w:r>
                    <w:rPr>
                      <w:rFonts w:hint="eastAsia"/>
                      <w:color w:val="auto"/>
                      <w:sz w:val="21"/>
                      <w:szCs w:val="21"/>
                      <w:highlight w:val="none"/>
                      <w:lang w:val="en-US" w:eastAsia="zh-CN"/>
                    </w:rPr>
                    <w:t>4</w:t>
                  </w:r>
                  <w:r>
                    <w:rPr>
                      <w:rFonts w:hint="eastAsia"/>
                      <w:color w:val="auto"/>
                      <w:sz w:val="21"/>
                      <w:szCs w:val="21"/>
                      <w:highlight w:val="none"/>
                    </w:rPr>
                    <w:t>.</w:t>
                  </w:r>
                  <w:r>
                    <w:rPr>
                      <w:color w:val="auto"/>
                      <w:sz w:val="21"/>
                      <w:szCs w:val="21"/>
                      <w:highlight w:val="none"/>
                    </w:rPr>
                    <w:t>本项目</w:t>
                  </w:r>
                  <w:r>
                    <w:rPr>
                      <w:rFonts w:hint="eastAsia"/>
                      <w:color w:val="auto"/>
                      <w:sz w:val="21"/>
                      <w:szCs w:val="21"/>
                      <w:highlight w:val="none"/>
                      <w:lang w:eastAsia="zh-CN"/>
                    </w:rPr>
                    <w:t>用水依托厂区现有用水管网；</w:t>
                  </w:r>
                  <w:r>
                    <w:rPr>
                      <w:rFonts w:hint="eastAsia"/>
                      <w:color w:val="auto"/>
                      <w:sz w:val="21"/>
                      <w:szCs w:val="21"/>
                      <w:highlight w:val="none"/>
                      <w:lang w:val="en-US" w:eastAsia="zh-CN"/>
                    </w:rPr>
                    <w:t>5.本项目仅生活污水，经厂区化粪池处理后由环卫部门定期处理</w:t>
                  </w:r>
                  <w:r>
                    <w:rPr>
                      <w:color w:val="auto"/>
                      <w:sz w:val="21"/>
                      <w:szCs w:val="21"/>
                      <w:highlight w:val="none"/>
                    </w:rPr>
                    <w:t>。</w:t>
                  </w:r>
                </w:p>
              </w:tc>
              <w:tc>
                <w:tcPr>
                  <w:tcW w:w="414" w:type="pct"/>
                  <w:tcBorders>
                    <w:tl2br w:val="nil"/>
                    <w:tr2bl w:val="nil"/>
                  </w:tcBorders>
                  <w:noWrap w:val="0"/>
                  <w:vAlign w:val="center"/>
                </w:tcPr>
                <w:p>
                  <w:pPr>
                    <w:pStyle w:val="2"/>
                    <w:snapToGrid w:val="0"/>
                    <w:spacing w:before="24" w:after="24" w:line="240" w:lineRule="exact"/>
                    <w:ind w:left="0" w:leftChars="0" w:firstLine="0" w:firstLineChars="0"/>
                    <w:jc w:val="center"/>
                    <w:rPr>
                      <w:color w:val="auto"/>
                      <w:sz w:val="21"/>
                      <w:szCs w:val="21"/>
                      <w:highlight w:val="none"/>
                    </w:rPr>
                  </w:pPr>
                  <w:r>
                    <w:rPr>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7" w:type="pct"/>
                  <w:tcBorders>
                    <w:tl2br w:val="nil"/>
                    <w:tr2bl w:val="nil"/>
                  </w:tcBorders>
                  <w:noWrap w:val="0"/>
                  <w:vAlign w:val="center"/>
                </w:tcPr>
                <w:p>
                  <w:pPr>
                    <w:pStyle w:val="2"/>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污染物排放管控</w:t>
                  </w:r>
                </w:p>
              </w:tc>
              <w:tc>
                <w:tcPr>
                  <w:tcW w:w="3026" w:type="pct"/>
                  <w:tcBorders>
                    <w:tl2br w:val="nil"/>
                    <w:tr2bl w:val="nil"/>
                  </w:tcBorders>
                  <w:noWrap w:val="0"/>
                  <w:vAlign w:val="center"/>
                </w:tcPr>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rPr>
                    <w:t>1.严格控制“两高”项目，确需建设的需严格执行产能、煤耗、能耗、碳排放、污染物排放减量替代制度。</w:t>
                  </w:r>
                </w:p>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rPr>
                    <w:t>2.落实主要污染物总量控制和排污许可制度。新（改、扩）建工业项目生产工艺应达到国内先进水平，主要污染物治理要达到国内同行业先进水平，实施主要污染物总量等量或倍量替代。</w:t>
                  </w:r>
                </w:p>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rPr>
                    <w:t>3.废水应当按照分类收集、分质处理的要求进行预处理，达到行业排放标准或是综合排放标准后方可排放。</w:t>
                  </w:r>
                </w:p>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rPr>
                    <w:t>4.禁止工业废水和生活污水未经处理直排环境；原则上除工业污水集中处理设施、城镇污水处理厂外不得新建入河排污口。</w:t>
                  </w:r>
                </w:p>
                <w:p>
                  <w:pPr>
                    <w:pStyle w:val="2"/>
                    <w:snapToGrid w:val="0"/>
                    <w:spacing w:before="24" w:after="24" w:line="240" w:lineRule="exact"/>
                    <w:ind w:left="0" w:leftChars="0" w:firstLine="0" w:firstLineChars="0"/>
                    <w:jc w:val="left"/>
                    <w:rPr>
                      <w:color w:val="auto"/>
                      <w:sz w:val="21"/>
                      <w:szCs w:val="21"/>
                      <w:highlight w:val="none"/>
                    </w:rPr>
                  </w:pPr>
                  <w:r>
                    <w:rPr>
                      <w:rFonts w:hint="eastAsia"/>
                      <w:color w:val="auto"/>
                      <w:sz w:val="21"/>
                      <w:szCs w:val="21"/>
                      <w:highlight w:val="none"/>
                    </w:rPr>
                    <w:t>5.化工、包装印刷、表面涂装、建材、塑料加工等严格按照淄博市行业环境管控要求，实施源头替代，建立健全治理设施，确保污染物稳定达标排放，做到持证排污。</w:t>
                  </w:r>
                </w:p>
              </w:tc>
              <w:tc>
                <w:tcPr>
                  <w:tcW w:w="1250" w:type="pct"/>
                  <w:tcBorders>
                    <w:tl2br w:val="nil"/>
                    <w:tr2bl w:val="nil"/>
                  </w:tcBorders>
                  <w:noWrap w:val="0"/>
                  <w:vAlign w:val="center"/>
                </w:tcPr>
                <w:p>
                  <w:pPr>
                    <w:pStyle w:val="2"/>
                    <w:snapToGrid w:val="0"/>
                    <w:spacing w:before="24" w:after="24" w:line="240" w:lineRule="exact"/>
                    <w:ind w:left="0" w:leftChars="0" w:firstLine="0" w:firstLineChars="0"/>
                    <w:jc w:val="left"/>
                    <w:rPr>
                      <w:rFonts w:hint="eastAsia"/>
                      <w:color w:val="auto"/>
                      <w:sz w:val="21"/>
                      <w:szCs w:val="21"/>
                      <w:highlight w:val="none"/>
                      <w:lang w:eastAsia="zh-CN"/>
                    </w:rPr>
                  </w:pPr>
                  <w:r>
                    <w:rPr>
                      <w:rFonts w:hint="eastAsia"/>
                      <w:color w:val="auto"/>
                      <w:sz w:val="21"/>
                      <w:szCs w:val="21"/>
                      <w:highlight w:val="none"/>
                      <w:lang w:val="en-US" w:eastAsia="zh-CN"/>
                    </w:rPr>
                    <w:t>1.</w:t>
                  </w:r>
                  <w:r>
                    <w:rPr>
                      <w:color w:val="auto"/>
                      <w:sz w:val="21"/>
                      <w:szCs w:val="21"/>
                      <w:highlight w:val="none"/>
                    </w:rPr>
                    <w:t>本项目不属于两高项目</w:t>
                  </w:r>
                  <w:r>
                    <w:rPr>
                      <w:rFonts w:hint="eastAsia"/>
                      <w:color w:val="auto"/>
                      <w:sz w:val="21"/>
                      <w:szCs w:val="21"/>
                      <w:highlight w:val="none"/>
                      <w:lang w:eastAsia="zh-CN"/>
                    </w:rPr>
                    <w:t>；</w:t>
                  </w:r>
                  <w:r>
                    <w:rPr>
                      <w:rFonts w:hint="eastAsia"/>
                      <w:color w:val="auto"/>
                      <w:sz w:val="21"/>
                      <w:szCs w:val="21"/>
                      <w:highlight w:val="none"/>
                      <w:lang w:val="en-US" w:eastAsia="zh-CN"/>
                    </w:rPr>
                    <w:t>2.严格落实</w:t>
                  </w:r>
                  <w:r>
                    <w:rPr>
                      <w:rFonts w:hint="eastAsia"/>
                      <w:color w:val="auto"/>
                      <w:sz w:val="21"/>
                      <w:szCs w:val="21"/>
                      <w:highlight w:val="none"/>
                    </w:rPr>
                    <w:t>主要污染物总量控制和排污许可制度</w:t>
                  </w:r>
                  <w:r>
                    <w:rPr>
                      <w:rFonts w:hint="eastAsia"/>
                      <w:color w:val="auto"/>
                      <w:sz w:val="21"/>
                      <w:szCs w:val="21"/>
                      <w:highlight w:val="none"/>
                      <w:lang w:eastAsia="zh-CN"/>
                    </w:rPr>
                    <w:t>；</w:t>
                  </w:r>
                </w:p>
                <w:p>
                  <w:pPr>
                    <w:pStyle w:val="2"/>
                    <w:snapToGrid w:val="0"/>
                    <w:spacing w:before="24" w:after="24" w:line="240" w:lineRule="exact"/>
                    <w:ind w:left="0" w:leftChars="0" w:firstLine="0" w:firstLineChars="0"/>
                    <w:jc w:val="left"/>
                    <w:rPr>
                      <w:rFonts w:hint="eastAsia" w:ascii="Times New Roman" w:hAnsi="Times New Roman" w:cs="Times New Roman"/>
                      <w:color w:val="auto"/>
                      <w:sz w:val="21"/>
                      <w:szCs w:val="21"/>
                      <w:lang w:eastAsia="zh-CN"/>
                    </w:rPr>
                  </w:pPr>
                  <w:r>
                    <w:rPr>
                      <w:rFonts w:hint="eastAsia"/>
                      <w:color w:val="auto"/>
                      <w:sz w:val="21"/>
                      <w:szCs w:val="21"/>
                      <w:highlight w:val="none"/>
                      <w:lang w:val="en-US" w:eastAsia="zh-CN"/>
                    </w:rPr>
                    <w:t>3-4.本项目仅生活污水，经厂区化粪池处理后由环卫部门定期处理</w:t>
                  </w:r>
                  <w:r>
                    <w:rPr>
                      <w:rFonts w:hint="eastAsia" w:ascii="Times New Roman" w:hAnsi="Times New Roman" w:cs="Times New Roman"/>
                      <w:color w:val="auto"/>
                      <w:sz w:val="21"/>
                      <w:szCs w:val="21"/>
                      <w:lang w:eastAsia="zh-CN"/>
                    </w:rPr>
                    <w:t>；</w:t>
                  </w:r>
                </w:p>
                <w:p>
                  <w:pPr>
                    <w:pStyle w:val="2"/>
                    <w:snapToGrid w:val="0"/>
                    <w:spacing w:before="24" w:after="24" w:line="240" w:lineRule="exact"/>
                    <w:ind w:left="0" w:leftChars="0" w:firstLine="0" w:firstLineChars="0"/>
                    <w:jc w:val="left"/>
                    <w:rPr>
                      <w:color w:val="auto"/>
                      <w:sz w:val="21"/>
                      <w:szCs w:val="21"/>
                      <w:highlight w:val="none"/>
                    </w:rPr>
                  </w:pPr>
                  <w:r>
                    <w:rPr>
                      <w:rFonts w:hint="eastAsia"/>
                      <w:color w:val="auto"/>
                      <w:sz w:val="21"/>
                      <w:szCs w:val="21"/>
                      <w:highlight w:val="none"/>
                      <w:lang w:val="en-US" w:eastAsia="zh-CN"/>
                    </w:rPr>
                    <w:t>5.严格执行各类污染治理措施，确保污染物达标排放。</w:t>
                  </w:r>
                </w:p>
              </w:tc>
              <w:tc>
                <w:tcPr>
                  <w:tcW w:w="414" w:type="pct"/>
                  <w:tcBorders>
                    <w:tl2br w:val="nil"/>
                    <w:tr2bl w:val="nil"/>
                  </w:tcBorders>
                  <w:noWrap w:val="0"/>
                  <w:vAlign w:val="center"/>
                </w:tcPr>
                <w:p>
                  <w:pPr>
                    <w:pStyle w:val="2"/>
                    <w:snapToGrid w:val="0"/>
                    <w:spacing w:before="24" w:after="24" w:line="240" w:lineRule="exact"/>
                    <w:ind w:left="0" w:leftChars="0" w:firstLine="0" w:firstLineChars="0"/>
                    <w:jc w:val="center"/>
                    <w:rPr>
                      <w:color w:val="auto"/>
                      <w:sz w:val="21"/>
                      <w:szCs w:val="21"/>
                      <w:highlight w:val="none"/>
                    </w:rPr>
                  </w:pPr>
                  <w:r>
                    <w:rPr>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7" w:type="pct"/>
                  <w:tcBorders>
                    <w:tl2br w:val="nil"/>
                    <w:tr2bl w:val="nil"/>
                  </w:tcBorders>
                  <w:noWrap w:val="0"/>
                  <w:vAlign w:val="center"/>
                </w:tcPr>
                <w:p>
                  <w:pPr>
                    <w:pStyle w:val="2"/>
                    <w:snapToGrid w:val="0"/>
                    <w:spacing w:before="24" w:after="24" w:line="240" w:lineRule="exact"/>
                    <w:ind w:left="0" w:leftChars="0" w:firstLine="0" w:firstLineChars="0"/>
                    <w:jc w:val="left"/>
                    <w:rPr>
                      <w:color w:val="auto"/>
                      <w:sz w:val="21"/>
                      <w:szCs w:val="21"/>
                      <w:highlight w:val="none"/>
                    </w:rPr>
                  </w:pPr>
                  <w:r>
                    <w:rPr>
                      <w:rFonts w:hint="eastAsia"/>
                      <w:color w:val="auto"/>
                      <w:sz w:val="21"/>
                      <w:szCs w:val="21"/>
                      <w:highlight w:val="none"/>
                    </w:rPr>
                    <w:t>环境风险防控</w:t>
                  </w:r>
                </w:p>
              </w:tc>
              <w:tc>
                <w:tcPr>
                  <w:tcW w:w="3026" w:type="pct"/>
                  <w:tcBorders>
                    <w:tl2br w:val="nil"/>
                    <w:tr2bl w:val="nil"/>
                  </w:tcBorders>
                  <w:noWrap w:val="0"/>
                  <w:vAlign w:val="center"/>
                </w:tcPr>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rPr>
                    <w:t>1.紧邻居住、科教、医院等环境敏感点的工业用地，禁止新建环境风险潜势等级高建设项目。</w:t>
                  </w:r>
                </w:p>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lang w:val="en-US" w:eastAsia="zh-CN"/>
                    </w:rPr>
                    <w:t>2</w:t>
                  </w:r>
                  <w:r>
                    <w:rPr>
                      <w:rFonts w:hint="eastAsia"/>
                      <w:color w:val="auto"/>
                      <w:sz w:val="21"/>
                      <w:szCs w:val="21"/>
                      <w:highlight w:val="none"/>
                    </w:rPr>
                    <w:t>.企业应按照《企业事业单位突发环境事件应急预案备案管理办法（试行）》等要求，依法依规编制环境应急预案并定期开展演练。</w:t>
                  </w:r>
                </w:p>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lang w:val="en-US" w:eastAsia="zh-CN"/>
                    </w:rPr>
                    <w:t>3</w:t>
                  </w:r>
                  <w:r>
                    <w:rPr>
                      <w:rFonts w:hint="eastAsia"/>
                      <w:color w:val="auto"/>
                      <w:sz w:val="21"/>
                      <w:szCs w:val="21"/>
                      <w:highlight w:val="none"/>
                    </w:rPr>
                    <w:t>.建立各企业危险废物的贮存、申报、经营许可、转移及处置管理制度，并负责对危废相应活动的全程监管和环境安全保障。</w:t>
                  </w:r>
                </w:p>
                <w:p>
                  <w:pPr>
                    <w:pStyle w:val="2"/>
                    <w:snapToGrid w:val="0"/>
                    <w:spacing w:before="24" w:after="24" w:line="240" w:lineRule="exact"/>
                    <w:ind w:left="0" w:leftChars="0" w:firstLine="0" w:firstLineChars="0"/>
                    <w:jc w:val="left"/>
                    <w:rPr>
                      <w:color w:val="auto"/>
                      <w:sz w:val="21"/>
                      <w:szCs w:val="21"/>
                      <w:highlight w:val="none"/>
                    </w:rPr>
                  </w:pPr>
                  <w:r>
                    <w:rPr>
                      <w:rFonts w:hint="eastAsia"/>
                      <w:color w:val="auto"/>
                      <w:sz w:val="21"/>
                      <w:szCs w:val="21"/>
                      <w:highlight w:val="none"/>
                      <w:lang w:val="en-US" w:eastAsia="zh-CN"/>
                    </w:rPr>
                    <w:t>4</w:t>
                  </w:r>
                  <w:r>
                    <w:rPr>
                      <w:rFonts w:hint="eastAsia"/>
                      <w:color w:val="auto"/>
                      <w:sz w:val="21"/>
                      <w:szCs w:val="21"/>
                      <w:highlight w:val="none"/>
                    </w:rPr>
                    <w:t>.重点企业应采取防腐防渗等有效措施，建立完善三级防护体系，实施管网架空，防止因渗漏污染土壤、地下水以及因事故废水直排污染地表水。</w:t>
                  </w:r>
                </w:p>
              </w:tc>
              <w:tc>
                <w:tcPr>
                  <w:tcW w:w="1250" w:type="pct"/>
                  <w:tcBorders>
                    <w:tl2br w:val="nil"/>
                    <w:tr2bl w:val="nil"/>
                  </w:tcBorders>
                  <w:noWrap w:val="0"/>
                  <w:vAlign w:val="center"/>
                </w:tcPr>
                <w:p>
                  <w:pPr>
                    <w:pStyle w:val="2"/>
                    <w:snapToGrid w:val="0"/>
                    <w:spacing w:before="24" w:after="24" w:line="240" w:lineRule="exact"/>
                    <w:ind w:left="0" w:leftChars="0" w:firstLine="0" w:firstLineChars="0"/>
                    <w:jc w:val="left"/>
                    <w:rPr>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lang w:eastAsia="zh-CN"/>
                    </w:rPr>
                    <w:t>本项目厂区周边无紧邻环境敏感点，且不属于</w:t>
                  </w:r>
                  <w:r>
                    <w:rPr>
                      <w:rFonts w:hint="eastAsia"/>
                      <w:color w:val="auto"/>
                      <w:sz w:val="21"/>
                      <w:szCs w:val="21"/>
                      <w:highlight w:val="none"/>
                    </w:rPr>
                    <w:t>风</w:t>
                  </w:r>
                  <w:r>
                    <w:rPr>
                      <w:color w:val="auto"/>
                      <w:sz w:val="21"/>
                      <w:szCs w:val="21"/>
                      <w:highlight w:val="none"/>
                    </w:rPr>
                    <w:t>险潜势等级高</w:t>
                  </w:r>
                  <w:r>
                    <w:rPr>
                      <w:rFonts w:hint="eastAsia"/>
                      <w:color w:val="auto"/>
                      <w:sz w:val="21"/>
                      <w:szCs w:val="21"/>
                      <w:highlight w:val="none"/>
                      <w:lang w:eastAsia="zh-CN"/>
                    </w:rPr>
                    <w:t>建设项目</w:t>
                  </w:r>
                  <w:r>
                    <w:rPr>
                      <w:rFonts w:hint="eastAsia"/>
                      <w:color w:val="auto"/>
                      <w:sz w:val="21"/>
                      <w:szCs w:val="21"/>
                      <w:highlight w:val="none"/>
                    </w:rPr>
                    <w:t>；</w:t>
                  </w:r>
                  <w:r>
                    <w:rPr>
                      <w:rFonts w:hint="eastAsia"/>
                      <w:color w:val="auto"/>
                      <w:sz w:val="21"/>
                      <w:szCs w:val="21"/>
                      <w:highlight w:val="none"/>
                      <w:lang w:val="en-US" w:eastAsia="zh-CN"/>
                    </w:rPr>
                    <w:t>2.</w:t>
                  </w:r>
                  <w:r>
                    <w:rPr>
                      <w:color w:val="auto"/>
                      <w:sz w:val="21"/>
                      <w:szCs w:val="21"/>
                      <w:highlight w:val="none"/>
                      <w:lang w:val="zh-CN"/>
                    </w:rPr>
                    <w:t>企业定期</w:t>
                  </w:r>
                  <w:r>
                    <w:rPr>
                      <w:rFonts w:hint="eastAsia"/>
                      <w:color w:val="auto"/>
                      <w:sz w:val="21"/>
                      <w:szCs w:val="21"/>
                      <w:highlight w:val="none"/>
                    </w:rPr>
                    <w:t>更新</w:t>
                  </w:r>
                  <w:r>
                    <w:rPr>
                      <w:color w:val="auto"/>
                      <w:sz w:val="21"/>
                      <w:szCs w:val="21"/>
                      <w:highlight w:val="none"/>
                      <w:lang w:val="zh-CN"/>
                    </w:rPr>
                    <w:t>应急预案，并按照要求进行应急演练；</w:t>
                  </w:r>
                  <w:r>
                    <w:rPr>
                      <w:rFonts w:hint="eastAsia"/>
                      <w:color w:val="auto"/>
                      <w:sz w:val="21"/>
                      <w:szCs w:val="21"/>
                      <w:highlight w:val="none"/>
                      <w:lang w:val="en-US" w:eastAsia="zh-CN"/>
                    </w:rPr>
                    <w:t>3.本项目无危废产生</w:t>
                  </w:r>
                  <w:r>
                    <w:rPr>
                      <w:color w:val="auto"/>
                      <w:sz w:val="21"/>
                      <w:szCs w:val="21"/>
                      <w:highlight w:val="none"/>
                      <w:lang w:val="zh-CN"/>
                    </w:rPr>
                    <w:t>；</w:t>
                  </w:r>
                  <w:r>
                    <w:rPr>
                      <w:rFonts w:hint="eastAsia"/>
                      <w:color w:val="auto"/>
                      <w:sz w:val="21"/>
                      <w:szCs w:val="21"/>
                      <w:highlight w:val="none"/>
                      <w:lang w:val="en-US" w:eastAsia="zh-CN"/>
                    </w:rPr>
                    <w:t>4.</w:t>
                  </w:r>
                  <w:r>
                    <w:rPr>
                      <w:color w:val="auto"/>
                      <w:sz w:val="21"/>
                      <w:szCs w:val="21"/>
                      <w:highlight w:val="none"/>
                      <w:lang w:val="zh-CN"/>
                    </w:rPr>
                    <w:t>本项目厂区内已进行分区防渗</w:t>
                  </w:r>
                  <w:r>
                    <w:rPr>
                      <w:color w:val="auto"/>
                      <w:sz w:val="21"/>
                      <w:szCs w:val="21"/>
                      <w:highlight w:val="none"/>
                    </w:rPr>
                    <w:t>。</w:t>
                  </w:r>
                </w:p>
              </w:tc>
              <w:tc>
                <w:tcPr>
                  <w:tcW w:w="414" w:type="pct"/>
                  <w:tcBorders>
                    <w:tl2br w:val="nil"/>
                    <w:tr2bl w:val="nil"/>
                  </w:tcBorders>
                  <w:noWrap w:val="0"/>
                  <w:vAlign w:val="center"/>
                </w:tcPr>
                <w:p>
                  <w:pPr>
                    <w:pStyle w:val="2"/>
                    <w:snapToGrid w:val="0"/>
                    <w:spacing w:before="24" w:after="24" w:line="240" w:lineRule="exact"/>
                    <w:ind w:left="0" w:leftChars="0" w:firstLine="0" w:firstLineChars="0"/>
                    <w:jc w:val="center"/>
                    <w:rPr>
                      <w:color w:val="auto"/>
                      <w:sz w:val="21"/>
                      <w:szCs w:val="21"/>
                      <w:highlight w:val="none"/>
                    </w:rPr>
                  </w:pPr>
                  <w:r>
                    <w:rPr>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7" w:type="pct"/>
                  <w:tcBorders>
                    <w:tl2br w:val="nil"/>
                    <w:tr2bl w:val="nil"/>
                  </w:tcBorders>
                  <w:noWrap w:val="0"/>
                  <w:vAlign w:val="center"/>
                </w:tcPr>
                <w:p>
                  <w:pPr>
                    <w:pStyle w:val="2"/>
                    <w:snapToGrid w:val="0"/>
                    <w:spacing w:before="24" w:after="24" w:line="240" w:lineRule="exact"/>
                    <w:ind w:left="0" w:leftChars="0" w:firstLine="0" w:firstLineChars="0"/>
                    <w:jc w:val="left"/>
                    <w:rPr>
                      <w:color w:val="auto"/>
                      <w:sz w:val="21"/>
                      <w:szCs w:val="21"/>
                      <w:highlight w:val="none"/>
                    </w:rPr>
                  </w:pPr>
                  <w:r>
                    <w:rPr>
                      <w:rFonts w:hint="eastAsia"/>
                      <w:color w:val="auto"/>
                      <w:sz w:val="21"/>
                      <w:szCs w:val="21"/>
                      <w:highlight w:val="none"/>
                    </w:rPr>
                    <w:t>资源开发效率要求</w:t>
                  </w:r>
                </w:p>
              </w:tc>
              <w:tc>
                <w:tcPr>
                  <w:tcW w:w="3026" w:type="pct"/>
                  <w:tcBorders>
                    <w:tl2br w:val="nil"/>
                    <w:tr2bl w:val="nil"/>
                  </w:tcBorders>
                  <w:noWrap w:val="0"/>
                  <w:vAlign w:val="center"/>
                </w:tcPr>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rPr>
                    <w:t>1.严格执行淄博市高污染燃料禁燃区划定范围及管控要求。</w:t>
                  </w:r>
                </w:p>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rPr>
                    <w:t>2.推进污水处理厂提标改造和中水管网建设，提高中水回用率。</w:t>
                  </w:r>
                </w:p>
                <w:p>
                  <w:pPr>
                    <w:pStyle w:val="2"/>
                    <w:snapToGrid w:val="0"/>
                    <w:spacing w:before="24" w:after="24" w:line="240" w:lineRule="exact"/>
                    <w:ind w:left="0" w:leftChars="0" w:firstLine="0" w:firstLineChars="0"/>
                    <w:jc w:val="left"/>
                    <w:rPr>
                      <w:rFonts w:hint="eastAsia"/>
                      <w:color w:val="auto"/>
                      <w:sz w:val="21"/>
                      <w:szCs w:val="21"/>
                      <w:highlight w:val="none"/>
                    </w:rPr>
                  </w:pPr>
                  <w:r>
                    <w:rPr>
                      <w:rFonts w:hint="eastAsia"/>
                      <w:color w:val="auto"/>
                      <w:sz w:val="21"/>
                      <w:szCs w:val="21"/>
                      <w:highlight w:val="none"/>
                    </w:rPr>
                    <w:t>3.未经许可不得开采地下水，执行浅层地下水限采区管理规定。</w:t>
                  </w:r>
                </w:p>
                <w:p>
                  <w:pPr>
                    <w:pStyle w:val="2"/>
                    <w:snapToGrid w:val="0"/>
                    <w:spacing w:before="24" w:after="24" w:line="240" w:lineRule="exact"/>
                    <w:ind w:left="0" w:leftChars="0" w:firstLine="0" w:firstLineChars="0"/>
                    <w:jc w:val="left"/>
                    <w:rPr>
                      <w:color w:val="auto"/>
                      <w:sz w:val="21"/>
                      <w:szCs w:val="21"/>
                      <w:highlight w:val="none"/>
                    </w:rPr>
                  </w:pPr>
                  <w:r>
                    <w:rPr>
                      <w:rFonts w:hint="eastAsia"/>
                      <w:color w:val="auto"/>
                      <w:sz w:val="21"/>
                      <w:szCs w:val="21"/>
                      <w:highlight w:val="none"/>
                    </w:rPr>
                    <w:t>4.提升土地集约化水平。</w:t>
                  </w:r>
                </w:p>
              </w:tc>
              <w:tc>
                <w:tcPr>
                  <w:tcW w:w="1250" w:type="pct"/>
                  <w:tcBorders>
                    <w:tl2br w:val="nil"/>
                    <w:tr2bl w:val="nil"/>
                  </w:tcBorders>
                  <w:noWrap w:val="0"/>
                  <w:vAlign w:val="center"/>
                </w:tcPr>
                <w:p>
                  <w:pPr>
                    <w:pStyle w:val="2"/>
                    <w:snapToGrid w:val="0"/>
                    <w:spacing w:before="24" w:after="24" w:line="240" w:lineRule="exact"/>
                    <w:ind w:left="0" w:leftChars="0" w:firstLine="0" w:firstLineChars="0"/>
                    <w:jc w:val="left"/>
                    <w:rPr>
                      <w:rFonts w:hint="eastAsia"/>
                      <w:color w:val="auto"/>
                      <w:sz w:val="21"/>
                      <w:szCs w:val="21"/>
                      <w:highlight w:val="none"/>
                    </w:rPr>
                  </w:pPr>
                  <w:r>
                    <w:rPr>
                      <w:color w:val="auto"/>
                      <w:sz w:val="21"/>
                      <w:szCs w:val="21"/>
                      <w:highlight w:val="none"/>
                    </w:rPr>
                    <w:t>项目主要能源为水和电能，来源于</w:t>
                  </w:r>
                  <w:r>
                    <w:rPr>
                      <w:rFonts w:hint="eastAsia"/>
                      <w:color w:val="auto"/>
                      <w:sz w:val="21"/>
                      <w:szCs w:val="21"/>
                      <w:highlight w:val="none"/>
                    </w:rPr>
                    <w:t>附近</w:t>
                  </w:r>
                  <w:r>
                    <w:rPr>
                      <w:color w:val="auto"/>
                      <w:sz w:val="21"/>
                      <w:szCs w:val="21"/>
                      <w:highlight w:val="none"/>
                    </w:rPr>
                    <w:t>管网</w:t>
                  </w:r>
                  <w:r>
                    <w:rPr>
                      <w:rFonts w:hint="eastAsia"/>
                      <w:color w:val="auto"/>
                      <w:sz w:val="21"/>
                      <w:szCs w:val="21"/>
                      <w:highlight w:val="none"/>
                    </w:rPr>
                    <w:t>；</w:t>
                  </w:r>
                  <w:r>
                    <w:rPr>
                      <w:color w:val="auto"/>
                      <w:sz w:val="21"/>
                      <w:szCs w:val="21"/>
                      <w:highlight w:val="none"/>
                    </w:rPr>
                    <w:t>项目现有</w:t>
                  </w:r>
                  <w:r>
                    <w:rPr>
                      <w:rFonts w:hint="eastAsia"/>
                      <w:color w:val="auto"/>
                      <w:sz w:val="21"/>
                      <w:szCs w:val="21"/>
                      <w:highlight w:val="none"/>
                      <w:lang w:val="en-US" w:eastAsia="zh-CN"/>
                    </w:rPr>
                    <w:t>闲置</w:t>
                  </w:r>
                  <w:r>
                    <w:rPr>
                      <w:color w:val="auto"/>
                      <w:sz w:val="21"/>
                      <w:szCs w:val="21"/>
                      <w:highlight w:val="none"/>
                    </w:rPr>
                    <w:t>厂</w:t>
                  </w:r>
                  <w:r>
                    <w:rPr>
                      <w:rFonts w:hint="eastAsia"/>
                      <w:color w:val="auto"/>
                      <w:sz w:val="21"/>
                      <w:szCs w:val="21"/>
                      <w:highlight w:val="none"/>
                      <w:lang w:eastAsia="zh-CN"/>
                    </w:rPr>
                    <w:t>区</w:t>
                  </w:r>
                  <w:r>
                    <w:rPr>
                      <w:color w:val="auto"/>
                      <w:sz w:val="21"/>
                      <w:szCs w:val="21"/>
                      <w:highlight w:val="none"/>
                    </w:rPr>
                    <w:t>内进行</w:t>
                  </w:r>
                  <w:r>
                    <w:rPr>
                      <w:rFonts w:hint="eastAsia"/>
                      <w:color w:val="auto"/>
                      <w:sz w:val="21"/>
                      <w:szCs w:val="21"/>
                      <w:highlight w:val="none"/>
                      <w:lang w:val="en-US" w:eastAsia="zh-CN"/>
                    </w:rPr>
                    <w:t>建设</w:t>
                  </w:r>
                  <w:r>
                    <w:rPr>
                      <w:color w:val="auto"/>
                      <w:sz w:val="21"/>
                      <w:szCs w:val="21"/>
                      <w:highlight w:val="none"/>
                    </w:rPr>
                    <w:t>，不</w:t>
                  </w:r>
                  <w:r>
                    <w:rPr>
                      <w:rFonts w:hint="eastAsia"/>
                      <w:color w:val="auto"/>
                      <w:sz w:val="21"/>
                      <w:szCs w:val="21"/>
                      <w:highlight w:val="none"/>
                    </w:rPr>
                    <w:t>新增</w:t>
                  </w:r>
                  <w:r>
                    <w:rPr>
                      <w:color w:val="auto"/>
                      <w:sz w:val="21"/>
                      <w:szCs w:val="21"/>
                      <w:highlight w:val="none"/>
                    </w:rPr>
                    <w:t>用地</w:t>
                  </w:r>
                  <w:r>
                    <w:rPr>
                      <w:rFonts w:hint="eastAsia"/>
                      <w:color w:val="auto"/>
                      <w:sz w:val="21"/>
                      <w:szCs w:val="21"/>
                      <w:highlight w:val="none"/>
                    </w:rPr>
                    <w:t>。</w:t>
                  </w:r>
                </w:p>
              </w:tc>
              <w:tc>
                <w:tcPr>
                  <w:tcW w:w="414" w:type="pct"/>
                  <w:tcBorders>
                    <w:tl2br w:val="nil"/>
                    <w:tr2bl w:val="nil"/>
                  </w:tcBorders>
                  <w:noWrap w:val="0"/>
                  <w:vAlign w:val="center"/>
                </w:tcPr>
                <w:p>
                  <w:pPr>
                    <w:pStyle w:val="2"/>
                    <w:snapToGrid w:val="0"/>
                    <w:spacing w:before="24" w:after="24" w:line="240" w:lineRule="exact"/>
                    <w:ind w:left="0" w:leftChars="0" w:firstLine="0" w:firstLineChars="0"/>
                    <w:jc w:val="center"/>
                    <w:rPr>
                      <w:color w:val="auto"/>
                      <w:sz w:val="21"/>
                      <w:szCs w:val="21"/>
                      <w:highlight w:val="none"/>
                    </w:rPr>
                  </w:pPr>
                  <w:r>
                    <w:rPr>
                      <w:color w:val="auto"/>
                      <w:sz w:val="21"/>
                      <w:szCs w:val="21"/>
                      <w:highlight w:val="none"/>
                    </w:rPr>
                    <w:t>符合</w:t>
                  </w:r>
                </w:p>
              </w:tc>
            </w:tr>
          </w:tbl>
          <w:p>
            <w:pPr>
              <w:pStyle w:val="54"/>
              <w:adjustRightInd/>
              <w:snapToGrid/>
              <w:spacing w:before="120" w:beforeLines="50"/>
              <w:ind w:firstLine="420"/>
              <w:contextualSpacing/>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综上所述，本项目符合“三线一单”及重点管控单元要求。</w:t>
            </w:r>
          </w:p>
          <w:p>
            <w:pPr>
              <w:spacing w:line="360" w:lineRule="auto"/>
              <w:ind w:firstLine="422" w:firstLineChars="200"/>
              <w:rPr>
                <w:rFonts w:hint="default" w:ascii="Times New Roman" w:hAnsi="Times New Roman" w:cs="Times New Roman"/>
                <w:b/>
                <w:color w:val="auto"/>
                <w:szCs w:val="21"/>
              </w:rPr>
            </w:pPr>
            <w:r>
              <w:rPr>
                <w:rFonts w:hint="default" w:ascii="Times New Roman" w:hAnsi="Times New Roman" w:cs="Times New Roman"/>
                <w:b/>
                <w:color w:val="auto"/>
                <w:szCs w:val="21"/>
                <w:lang w:val="en-US" w:eastAsia="zh-CN"/>
              </w:rPr>
              <w:t>4</w:t>
            </w:r>
            <w:r>
              <w:rPr>
                <w:rFonts w:hint="default" w:ascii="Times New Roman" w:hAnsi="Times New Roman" w:cs="Times New Roman"/>
                <w:b/>
                <w:color w:val="auto"/>
                <w:szCs w:val="21"/>
              </w:rPr>
              <w:t>.项目与《关于严格项目审批工作坚决防止新上“散乱污”项目的通知》（鲁环字〔2021〕58号）符合性分析</w:t>
            </w:r>
          </w:p>
          <w:p>
            <w:pPr>
              <w:pStyle w:val="40"/>
              <w:spacing w:line="36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表</w:t>
            </w:r>
            <w:r>
              <w:rPr>
                <w:rFonts w:hint="default" w:ascii="Times New Roman" w:hAnsi="Times New Roman" w:cs="Times New Roman"/>
                <w:bCs/>
                <w:color w:val="auto"/>
                <w:sz w:val="21"/>
                <w:szCs w:val="21"/>
                <w:lang w:val="en-US" w:eastAsia="zh-CN"/>
              </w:rPr>
              <w:t>4</w:t>
            </w:r>
            <w:r>
              <w:rPr>
                <w:rFonts w:hint="default" w:ascii="Times New Roman" w:hAnsi="Times New Roman" w:cs="Times New Roman"/>
                <w:bCs/>
                <w:color w:val="auto"/>
                <w:sz w:val="21"/>
                <w:szCs w:val="21"/>
              </w:rPr>
              <w:t xml:space="preserve">  项目与《关于严格项目审批工作坚决防止新上“散乱污”项目的通知》</w:t>
            </w:r>
          </w:p>
          <w:p>
            <w:pPr>
              <w:pStyle w:val="40"/>
              <w:spacing w:line="36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（鲁环字〔2021〕58号）符合性一览表</w:t>
            </w:r>
          </w:p>
          <w:tbl>
            <w:tblPr>
              <w:tblStyle w:val="26"/>
              <w:tblW w:w="79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80"/>
              <w:gridCol w:w="4116"/>
              <w:gridCol w:w="1521"/>
              <w:gridCol w:w="9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4796" w:type="dxa"/>
                  <w:gridSpan w:val="2"/>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鲁环字〔2021〕58号</w:t>
                  </w:r>
                </w:p>
              </w:tc>
              <w:tc>
                <w:tcPr>
                  <w:tcW w:w="1521"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项目情况</w:t>
                  </w:r>
                </w:p>
              </w:tc>
              <w:tc>
                <w:tcPr>
                  <w:tcW w:w="907"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1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一</w:t>
                  </w:r>
                </w:p>
              </w:tc>
              <w:tc>
                <w:tcPr>
                  <w:tcW w:w="680"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认真贯彻执行产业政策</w:t>
                  </w:r>
                </w:p>
              </w:tc>
              <w:tc>
                <w:tcPr>
                  <w:tcW w:w="4116"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新上项目必须符合国家产业政策要求，禁止采用国家公布的淘汰工艺和落后设备，不得引进耗能高、污染大、生产粗放、不符合国家产业政策的项目。各级立项部门在为企业办理手续时，要认真对照《产业结构调整指导目录（2019年本）》（如有更新，以更新后文件为准），对鼓励类项目，按照有关规定审批、核准或备案；对限制类项目，禁止新建，现有生产能力允许在一定期限内改造升级；对淘汰类项目，市场主体不得进入，行政机关不予审批。</w:t>
                  </w:r>
                </w:p>
              </w:tc>
              <w:tc>
                <w:tcPr>
                  <w:tcW w:w="1521"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本项目为</w:t>
                  </w:r>
                  <w:r>
                    <w:rPr>
                      <w:rFonts w:hint="default" w:ascii="Times New Roman" w:hAnsi="Times New Roman" w:cs="Times New Roman"/>
                      <w:color w:val="auto"/>
                      <w:szCs w:val="21"/>
                      <w:lang w:eastAsia="zh-CN"/>
                    </w:rPr>
                    <w:t>SOD食品项目</w:t>
                  </w:r>
                  <w:r>
                    <w:rPr>
                      <w:rFonts w:hint="default" w:ascii="Times New Roman" w:hAnsi="Times New Roman" w:cs="Times New Roman"/>
                      <w:color w:val="auto"/>
                      <w:szCs w:val="21"/>
                    </w:rPr>
                    <w:t>，符合国家产业政策。</w:t>
                  </w:r>
                </w:p>
              </w:tc>
              <w:tc>
                <w:tcPr>
                  <w:tcW w:w="90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71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二</w:t>
                  </w:r>
                </w:p>
              </w:tc>
              <w:tc>
                <w:tcPr>
                  <w:tcW w:w="680"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强化规划刚性约束</w:t>
                  </w:r>
                </w:p>
              </w:tc>
              <w:tc>
                <w:tcPr>
                  <w:tcW w:w="4116"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新上项目必须符合国土空间规划、产业发展规划等要求，积极引导产业园区外“散乱污”整治搬迁改造企业进入产业园区或工业集聚区，并鼓励租赁标准厂房。按照“布局集中、用地集约、产业集聚、空间优化”的原则，高标准制定产业发展规划，明确主导产业、布局和产业发展方向，引导企业规范化、规模化、集约化发展。</w:t>
                  </w:r>
                </w:p>
              </w:tc>
              <w:tc>
                <w:tcPr>
                  <w:tcW w:w="1521" w:type="dxa"/>
                  <w:tcBorders>
                    <w:tl2br w:val="nil"/>
                    <w:tr2bl w:val="nil"/>
                  </w:tcBorders>
                  <w:vAlign w:val="center"/>
                </w:tcPr>
                <w:p>
                  <w:pPr>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项目位于临淄区农业高新技术示范区农圣路2号内，符合相关国土空间规划、产业规划等</w:t>
                  </w:r>
                  <w:r>
                    <w:rPr>
                      <w:rFonts w:hint="eastAsia" w:cs="Times New Roman"/>
                      <w:color w:val="auto"/>
                      <w:szCs w:val="21"/>
                      <w:lang w:eastAsia="zh-CN"/>
                    </w:rPr>
                    <w:t>。</w:t>
                  </w:r>
                </w:p>
              </w:tc>
              <w:tc>
                <w:tcPr>
                  <w:tcW w:w="90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三</w:t>
                  </w:r>
                </w:p>
              </w:tc>
              <w:tc>
                <w:tcPr>
                  <w:tcW w:w="680"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科学把好项目选址关</w:t>
                  </w:r>
                </w:p>
              </w:tc>
              <w:tc>
                <w:tcPr>
                  <w:tcW w:w="4116"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新建有污染物排放的工业项目，除在安全生产等方面有特殊要求的以外，应当进入工业园区或工业集聚区。各市要本着节约利用土地的原则，充分考虑项目周边环境、资金投入、推进速度等关键要素，合理选址，科学布局，切实做到符合用地政策，确保规划建设的项目有利于长远发展</w:t>
                  </w:r>
                </w:p>
              </w:tc>
              <w:tc>
                <w:tcPr>
                  <w:tcW w:w="1521"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项目位于临淄区农业高新技术示范区农圣路2号内，选址符合用地政策。</w:t>
                  </w:r>
                </w:p>
              </w:tc>
              <w:tc>
                <w:tcPr>
                  <w:tcW w:w="90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71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四</w:t>
                  </w:r>
                </w:p>
              </w:tc>
              <w:tc>
                <w:tcPr>
                  <w:tcW w:w="680"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严把项目环评审批关</w:t>
                  </w:r>
                </w:p>
              </w:tc>
              <w:tc>
                <w:tcPr>
                  <w:tcW w:w="4116"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新上项目必须严格执行环评审批“三挂钩”机制和“五个不批”要求，落实“三线一单”生态环境分区管控要求。强化替代约束，涉及主要污染物排放的，必须落实区域污染物排放替代，确保增产减污；涉及煤炭消耗的，必须落实煤炭消费减量替代，否则各级环评审批部门一律不予审批通过。</w:t>
                  </w:r>
                </w:p>
              </w:tc>
              <w:tc>
                <w:tcPr>
                  <w:tcW w:w="1521"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本项目为新建项目，符合三线一单相关要求。</w:t>
                  </w:r>
                </w:p>
              </w:tc>
              <w:tc>
                <w:tcPr>
                  <w:tcW w:w="90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bl>
          <w:p>
            <w:pPr>
              <w:autoSpaceDE w:val="0"/>
              <w:autoSpaceDN w:val="0"/>
              <w:adjustRightInd w:val="0"/>
              <w:snapToGrid w:val="0"/>
              <w:spacing w:line="360" w:lineRule="auto"/>
              <w:ind w:firstLine="422" w:firstLineChars="200"/>
              <w:jc w:val="left"/>
              <w:rPr>
                <w:rFonts w:hint="default" w:ascii="Times New Roman" w:hAnsi="Times New Roman" w:cs="Times New Roman"/>
                <w:b/>
                <w:bCs/>
                <w:color w:val="auto"/>
                <w:kern w:val="0"/>
                <w:szCs w:val="21"/>
              </w:rPr>
            </w:pPr>
            <w:r>
              <w:rPr>
                <w:rFonts w:hint="default" w:ascii="Times New Roman" w:hAnsi="Times New Roman" w:cs="Times New Roman"/>
                <w:b/>
                <w:color w:val="auto"/>
                <w:szCs w:val="21"/>
                <w:lang w:val="en-US" w:eastAsia="zh-CN"/>
              </w:rPr>
              <w:t>5</w:t>
            </w:r>
            <w:r>
              <w:rPr>
                <w:rFonts w:hint="default" w:ascii="Times New Roman" w:hAnsi="Times New Roman" w:cs="Times New Roman"/>
                <w:b/>
                <w:color w:val="auto"/>
                <w:szCs w:val="21"/>
              </w:rPr>
              <w:t>.</w:t>
            </w:r>
            <w:r>
              <w:rPr>
                <w:rFonts w:hint="default" w:ascii="Times New Roman" w:hAnsi="Times New Roman" w:cs="Times New Roman"/>
                <w:b/>
                <w:bCs/>
                <w:color w:val="auto"/>
                <w:kern w:val="0"/>
                <w:szCs w:val="21"/>
              </w:rPr>
              <w:t>与《山东省深入打好蓝天保卫战行动计划（2021</w:t>
            </w:r>
            <w:r>
              <w:rPr>
                <w:rFonts w:hint="default" w:ascii="Times New Roman" w:hAnsi="Times New Roman" w:cs="Times New Roman"/>
                <w:b/>
                <w:bCs/>
                <w:color w:val="auto"/>
                <w:kern w:val="0"/>
                <w:szCs w:val="21"/>
                <w:lang w:val="en-US" w:eastAsia="zh-CN"/>
              </w:rPr>
              <w:t>-</w:t>
            </w:r>
            <w:r>
              <w:rPr>
                <w:rFonts w:hint="default" w:ascii="Times New Roman" w:hAnsi="Times New Roman" w:cs="Times New Roman"/>
                <w:b/>
                <w:bCs/>
                <w:color w:val="auto"/>
                <w:kern w:val="0"/>
                <w:szCs w:val="21"/>
              </w:rPr>
              <w:t>2025年）》符合性分析</w:t>
            </w:r>
          </w:p>
          <w:p>
            <w:pPr>
              <w:autoSpaceDE w:val="0"/>
              <w:autoSpaceDN w:val="0"/>
              <w:adjustRightInd w:val="0"/>
              <w:snapToGrid w:val="0"/>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表</w:t>
            </w:r>
            <w:r>
              <w:rPr>
                <w:rFonts w:hint="default" w:ascii="Times New Roman" w:hAnsi="Times New Roman" w:cs="Times New Roman"/>
                <w:b/>
                <w:bCs/>
                <w:color w:val="auto"/>
                <w:kern w:val="0"/>
                <w:szCs w:val="21"/>
                <w:lang w:val="en-US" w:eastAsia="zh-CN"/>
              </w:rPr>
              <w:t>5</w:t>
            </w:r>
            <w:r>
              <w:rPr>
                <w:rFonts w:hint="default" w:ascii="Times New Roman" w:hAnsi="Times New Roman" w:cs="Times New Roman"/>
                <w:b/>
                <w:bCs/>
                <w:color w:val="auto"/>
                <w:kern w:val="0"/>
                <w:szCs w:val="21"/>
              </w:rPr>
              <w:t xml:space="preserve">  </w:t>
            </w:r>
            <w:r>
              <w:rPr>
                <w:rFonts w:hint="default" w:ascii="Times New Roman" w:hAnsi="Times New Roman" w:cs="Times New Roman"/>
                <w:b/>
                <w:color w:val="auto"/>
                <w:szCs w:val="21"/>
              </w:rPr>
              <w:t>与</w:t>
            </w:r>
            <w:r>
              <w:rPr>
                <w:rFonts w:hint="default" w:ascii="Times New Roman" w:hAnsi="Times New Roman" w:cs="Times New Roman"/>
                <w:b/>
                <w:bCs/>
                <w:color w:val="auto"/>
                <w:kern w:val="0"/>
                <w:szCs w:val="21"/>
              </w:rPr>
              <w:t>《山东省深入打好蓝天保卫战行动计划（2021</w:t>
            </w:r>
            <w:r>
              <w:rPr>
                <w:rFonts w:hint="default" w:ascii="Times New Roman" w:hAnsi="Times New Roman" w:cs="Times New Roman"/>
                <w:b/>
                <w:bCs/>
                <w:color w:val="auto"/>
                <w:kern w:val="0"/>
                <w:szCs w:val="21"/>
                <w:lang w:val="en-US" w:eastAsia="zh-CN"/>
              </w:rPr>
              <w:t>-</w:t>
            </w:r>
            <w:r>
              <w:rPr>
                <w:rFonts w:hint="default" w:ascii="Times New Roman" w:hAnsi="Times New Roman" w:cs="Times New Roman"/>
                <w:b/>
                <w:bCs/>
                <w:color w:val="auto"/>
                <w:kern w:val="0"/>
                <w:szCs w:val="21"/>
              </w:rPr>
              <w:t>2025年）》</w:t>
            </w:r>
            <w:r>
              <w:rPr>
                <w:rFonts w:hint="default" w:ascii="Times New Roman" w:hAnsi="Times New Roman" w:cs="Times New Roman"/>
                <w:b/>
                <w:color w:val="auto"/>
                <w:szCs w:val="21"/>
              </w:rPr>
              <w:t>符合性分析</w:t>
            </w:r>
          </w:p>
          <w:tbl>
            <w:tblPr>
              <w:tblStyle w:val="26"/>
              <w:tblW w:w="79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3105"/>
              <w:gridCol w:w="2485"/>
              <w:gridCol w:w="8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8" w:type="dxa"/>
                  <w:vAlign w:val="center"/>
                </w:tcPr>
                <w:p>
                  <w:pPr>
                    <w:pStyle w:val="2"/>
                    <w:spacing w:after="0"/>
                    <w:ind w:left="0" w:leftChars="0" w:firstLine="0" w:firstLineChars="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项目</w:t>
                  </w:r>
                </w:p>
              </w:tc>
              <w:tc>
                <w:tcPr>
                  <w:tcW w:w="3105" w:type="dxa"/>
                  <w:vAlign w:val="center"/>
                </w:tcPr>
                <w:p>
                  <w:pPr>
                    <w:pStyle w:val="2"/>
                    <w:spacing w:after="0"/>
                    <w:ind w:left="0" w:leftChars="0" w:firstLine="0" w:firstLineChars="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规定</w:t>
                  </w:r>
                </w:p>
              </w:tc>
              <w:tc>
                <w:tcPr>
                  <w:tcW w:w="2485" w:type="dxa"/>
                  <w:vAlign w:val="center"/>
                </w:tcPr>
                <w:p>
                  <w:pPr>
                    <w:pStyle w:val="2"/>
                    <w:spacing w:after="0"/>
                    <w:ind w:left="0" w:leftChars="0" w:firstLine="0" w:firstLineChars="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本项目情况</w:t>
                  </w:r>
                </w:p>
              </w:tc>
              <w:tc>
                <w:tcPr>
                  <w:tcW w:w="849" w:type="dxa"/>
                  <w:vAlign w:val="center"/>
                </w:tcPr>
                <w:p>
                  <w:pPr>
                    <w:pStyle w:val="2"/>
                    <w:spacing w:after="0"/>
                    <w:ind w:left="0" w:leftChars="0" w:firstLine="0" w:firstLineChars="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8"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淘汰低效落后产能</w:t>
                  </w:r>
                </w:p>
              </w:tc>
              <w:tc>
                <w:tcPr>
                  <w:tcW w:w="3105" w:type="dxa"/>
                  <w:vAlign w:val="center"/>
                </w:tcPr>
                <w:p>
                  <w:pPr>
                    <w:pStyle w:val="2"/>
                    <w:spacing w:after="0"/>
                    <w:ind w:left="0" w:leftChars="0" w:firstLine="0" w:firstLineChars="0"/>
                    <w:jc w:val="left"/>
                    <w:rPr>
                      <w:rFonts w:hint="default" w:ascii="Times New Roman" w:hAnsi="Times New Roman" w:cs="Times New Roman"/>
                      <w:color w:val="auto"/>
                      <w:szCs w:val="21"/>
                    </w:rPr>
                  </w:pPr>
                  <w:r>
                    <w:rPr>
                      <w:rFonts w:hint="default" w:ascii="Times New Roman" w:hAnsi="Times New Roman" w:cs="Times New Roman"/>
                      <w:color w:val="auto"/>
                      <w:szCs w:val="21"/>
                    </w:rPr>
                    <w:t>聚焦钢铁、地炼、焦化、煤电、水泥、轮胎、煤炭、化工8个重点行业，加快淘汰低效落后产能。</w:t>
                  </w:r>
                </w:p>
              </w:tc>
              <w:tc>
                <w:tcPr>
                  <w:tcW w:w="2485" w:type="dxa"/>
                  <w:vAlign w:val="center"/>
                </w:tcPr>
                <w:p>
                  <w:pPr>
                    <w:pStyle w:val="2"/>
                    <w:spacing w:after="0"/>
                    <w:ind w:left="0" w:leftChars="0" w:firstLine="0" w:firstLineChars="0"/>
                    <w:jc w:val="left"/>
                    <w:rPr>
                      <w:rFonts w:hint="default" w:ascii="Times New Roman" w:hAnsi="Times New Roman" w:cs="Times New Roman"/>
                      <w:color w:val="auto"/>
                      <w:szCs w:val="21"/>
                    </w:rPr>
                  </w:pPr>
                  <w:r>
                    <w:rPr>
                      <w:rFonts w:hint="default" w:ascii="Times New Roman" w:hAnsi="Times New Roman" w:cs="Times New Roman"/>
                      <w:color w:val="auto"/>
                      <w:kern w:val="2"/>
                      <w:szCs w:val="21"/>
                    </w:rPr>
                    <w:t>本项目为</w:t>
                  </w:r>
                  <w:r>
                    <w:rPr>
                      <w:rFonts w:hint="default" w:ascii="Times New Roman" w:hAnsi="Times New Roman" w:cs="Times New Roman"/>
                      <w:color w:val="auto"/>
                      <w:szCs w:val="21"/>
                      <w:lang w:eastAsia="zh-CN"/>
                    </w:rPr>
                    <w:t>SOD食品项目，不属于以上行业</w:t>
                  </w:r>
                  <w:r>
                    <w:rPr>
                      <w:rFonts w:hint="default" w:ascii="Times New Roman" w:hAnsi="Times New Roman" w:cs="Times New Roman"/>
                      <w:color w:val="auto"/>
                      <w:szCs w:val="21"/>
                    </w:rPr>
                    <w:t>。</w:t>
                  </w:r>
                </w:p>
              </w:tc>
              <w:tc>
                <w:tcPr>
                  <w:tcW w:w="849"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558"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压减煤炭消费量</w:t>
                  </w:r>
                </w:p>
              </w:tc>
              <w:tc>
                <w:tcPr>
                  <w:tcW w:w="3105" w:type="dxa"/>
                  <w:vAlign w:val="center"/>
                </w:tcPr>
                <w:p>
                  <w:pPr>
                    <w:pStyle w:val="2"/>
                    <w:spacing w:after="0"/>
                    <w:ind w:left="0" w:leftChars="0" w:firstLine="0" w:firstLineChars="0"/>
                    <w:jc w:val="left"/>
                    <w:rPr>
                      <w:rFonts w:hint="default" w:ascii="Times New Roman" w:hAnsi="Times New Roman" w:cs="Times New Roman"/>
                      <w:color w:val="auto"/>
                      <w:szCs w:val="21"/>
                    </w:rPr>
                  </w:pPr>
                  <w:r>
                    <w:rPr>
                      <w:rFonts w:hint="default" w:ascii="Times New Roman" w:hAnsi="Times New Roman" w:cs="Times New Roman"/>
                      <w:color w:val="auto"/>
                      <w:szCs w:val="21"/>
                    </w:rPr>
                    <w:t>持续压减煤炭消费总量，“十四五”期间，全省煤炭消费总量下降10%，控制在3.5亿吨左右。</w:t>
                  </w:r>
                </w:p>
              </w:tc>
              <w:tc>
                <w:tcPr>
                  <w:tcW w:w="2485" w:type="dxa"/>
                  <w:vAlign w:val="center"/>
                </w:tcPr>
                <w:p>
                  <w:pPr>
                    <w:pStyle w:val="2"/>
                    <w:spacing w:after="0"/>
                    <w:ind w:left="0" w:leftChars="0" w:firstLine="0" w:firstLineChars="0"/>
                    <w:jc w:val="left"/>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本项目不涉及煤炭使用</w:t>
                  </w:r>
                  <w:r>
                    <w:rPr>
                      <w:rFonts w:hint="default" w:ascii="Times New Roman" w:hAnsi="Times New Roman" w:cs="Times New Roman"/>
                      <w:color w:val="auto"/>
                      <w:szCs w:val="21"/>
                      <w:lang w:eastAsia="zh-CN"/>
                    </w:rPr>
                    <w:t>。</w:t>
                  </w:r>
                </w:p>
              </w:tc>
              <w:tc>
                <w:tcPr>
                  <w:tcW w:w="849"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558"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实施VOCs 全过程污染防治</w:t>
                  </w:r>
                </w:p>
              </w:tc>
              <w:tc>
                <w:tcPr>
                  <w:tcW w:w="3105" w:type="dxa"/>
                  <w:vAlign w:val="center"/>
                </w:tcPr>
                <w:p>
                  <w:pPr>
                    <w:pStyle w:val="2"/>
                    <w:spacing w:after="0"/>
                    <w:ind w:left="0" w:leftChars="0" w:firstLine="0" w:firstLineChars="0"/>
                    <w:jc w:val="left"/>
                    <w:rPr>
                      <w:rFonts w:hint="default" w:ascii="Times New Roman" w:hAnsi="Times New Roman" w:cs="Times New Roman"/>
                      <w:color w:val="auto"/>
                      <w:szCs w:val="21"/>
                    </w:rPr>
                  </w:pPr>
                  <w:r>
                    <w:rPr>
                      <w:rFonts w:hint="default" w:ascii="Times New Roman" w:hAnsi="Times New Roman" w:cs="Times New Roman"/>
                      <w:color w:val="auto"/>
                      <w:szCs w:val="21"/>
                    </w:rPr>
                    <w:t>实施低VOCs含量工业涂料、油墨、胶粘剂、清洗剂等原辅料使用替代。</w:t>
                  </w:r>
                </w:p>
              </w:tc>
              <w:tc>
                <w:tcPr>
                  <w:tcW w:w="2485" w:type="dxa"/>
                  <w:vAlign w:val="center"/>
                </w:tcPr>
                <w:p>
                  <w:pPr>
                    <w:pStyle w:val="2"/>
                    <w:spacing w:after="0"/>
                    <w:ind w:left="0" w:leftChars="0" w:firstLine="0" w:firstLineChars="0"/>
                    <w:jc w:val="left"/>
                    <w:rPr>
                      <w:rFonts w:hint="default" w:ascii="Times New Roman" w:hAnsi="Times New Roman" w:cs="Times New Roman"/>
                      <w:color w:val="auto"/>
                      <w:szCs w:val="21"/>
                    </w:rPr>
                  </w:pPr>
                  <w:r>
                    <w:rPr>
                      <w:rFonts w:hint="default" w:ascii="Times New Roman" w:hAnsi="Times New Roman" w:cs="Times New Roman"/>
                      <w:color w:val="auto"/>
                      <w:szCs w:val="21"/>
                    </w:rPr>
                    <w:t>本项目不涉及VOCs物料。</w:t>
                  </w:r>
                </w:p>
              </w:tc>
              <w:tc>
                <w:tcPr>
                  <w:tcW w:w="8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558"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强化工业源NOx深度治理</w:t>
                  </w:r>
                </w:p>
              </w:tc>
              <w:tc>
                <w:tcPr>
                  <w:tcW w:w="3105" w:type="dxa"/>
                  <w:vAlign w:val="center"/>
                </w:tcPr>
                <w:p>
                  <w:pPr>
                    <w:pStyle w:val="2"/>
                    <w:spacing w:after="0"/>
                    <w:ind w:left="0" w:leftChars="0" w:firstLine="0" w:firstLineChars="0"/>
                    <w:jc w:val="left"/>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严格治理设施运行监管，燃煤机组、锅炉、钢铁企业污染排放稳定达到超低排放要求</w:t>
                  </w:r>
                  <w:r>
                    <w:rPr>
                      <w:rFonts w:hint="default" w:ascii="Times New Roman" w:hAnsi="Times New Roman" w:cs="Times New Roman"/>
                      <w:color w:val="auto"/>
                      <w:szCs w:val="21"/>
                      <w:lang w:eastAsia="zh-CN"/>
                    </w:rPr>
                    <w:t>。</w:t>
                  </w:r>
                </w:p>
              </w:tc>
              <w:tc>
                <w:tcPr>
                  <w:tcW w:w="2485" w:type="dxa"/>
                  <w:vAlign w:val="center"/>
                </w:tcPr>
                <w:p>
                  <w:pPr>
                    <w:pStyle w:val="2"/>
                    <w:spacing w:after="0"/>
                    <w:ind w:left="0" w:leftChars="0" w:firstLine="0" w:firstLineChars="0"/>
                    <w:jc w:val="left"/>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本项目</w:t>
                  </w:r>
                  <w:r>
                    <w:rPr>
                      <w:rFonts w:hint="eastAsia" w:cs="Times New Roman"/>
                      <w:color w:val="auto"/>
                      <w:szCs w:val="21"/>
                      <w:lang w:val="en-US" w:eastAsia="zh-CN"/>
                    </w:rPr>
                    <w:t>不涉及</w:t>
                  </w:r>
                  <w:r>
                    <w:rPr>
                      <w:rFonts w:hint="default" w:ascii="Times New Roman" w:hAnsi="Times New Roman" w:cs="Times New Roman"/>
                      <w:color w:val="auto"/>
                      <w:szCs w:val="21"/>
                      <w:lang w:eastAsia="zh-CN"/>
                    </w:rPr>
                    <w:t>锅炉。</w:t>
                  </w:r>
                </w:p>
              </w:tc>
              <w:tc>
                <w:tcPr>
                  <w:tcW w:w="8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558"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严格扬尘污染管控</w:t>
                  </w:r>
                </w:p>
              </w:tc>
              <w:tc>
                <w:tcPr>
                  <w:tcW w:w="3105" w:type="dxa"/>
                  <w:vAlign w:val="center"/>
                </w:tcPr>
                <w:p>
                  <w:pPr>
                    <w:pStyle w:val="2"/>
                    <w:spacing w:after="0"/>
                    <w:ind w:left="0" w:leftChars="0" w:firstLine="0" w:firstLineChars="0"/>
                    <w:jc w:val="left"/>
                    <w:rPr>
                      <w:rFonts w:hint="default" w:ascii="Times New Roman" w:hAnsi="Times New Roman" w:cs="Times New Roman"/>
                      <w:color w:val="auto"/>
                      <w:szCs w:val="21"/>
                    </w:rPr>
                  </w:pPr>
                  <w:r>
                    <w:rPr>
                      <w:rFonts w:hint="default" w:ascii="Times New Roman" w:hAnsi="Times New Roman" w:cs="Times New Roman"/>
                      <w:color w:val="auto"/>
                      <w:szCs w:val="21"/>
                    </w:rPr>
                    <w:t>加强施工扬尘精细化管控，建立并动态更新施工工地清单。</w:t>
                  </w:r>
                </w:p>
              </w:tc>
              <w:tc>
                <w:tcPr>
                  <w:tcW w:w="2485" w:type="dxa"/>
                  <w:vAlign w:val="center"/>
                </w:tcPr>
                <w:p>
                  <w:pPr>
                    <w:pStyle w:val="2"/>
                    <w:spacing w:after="0"/>
                    <w:ind w:left="0" w:leftChars="0" w:firstLine="0" w:firstLineChars="0"/>
                    <w:jc w:val="left"/>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本项目施工过程严格防治扬尘污染。</w:t>
                  </w:r>
                </w:p>
              </w:tc>
              <w:tc>
                <w:tcPr>
                  <w:tcW w:w="8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bl>
          <w:p>
            <w:pPr>
              <w:autoSpaceDE w:val="0"/>
              <w:autoSpaceDN w:val="0"/>
              <w:adjustRightInd w:val="0"/>
              <w:snapToGrid w:val="0"/>
              <w:spacing w:line="360" w:lineRule="auto"/>
              <w:ind w:firstLine="422" w:firstLineChars="200"/>
              <w:jc w:val="left"/>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lang w:val="en-US" w:eastAsia="zh-CN"/>
              </w:rPr>
              <w:t>6</w:t>
            </w:r>
            <w:r>
              <w:rPr>
                <w:rFonts w:hint="default" w:ascii="Times New Roman" w:hAnsi="Times New Roman" w:cs="Times New Roman"/>
                <w:b/>
                <w:bCs/>
                <w:color w:val="auto"/>
                <w:kern w:val="0"/>
                <w:szCs w:val="21"/>
              </w:rPr>
              <w:t>.与《山东省新一轮“四减四增”三年行动方案（2021</w:t>
            </w:r>
            <w:r>
              <w:rPr>
                <w:rFonts w:hint="default" w:ascii="Times New Roman" w:hAnsi="Times New Roman" w:cs="Times New Roman"/>
                <w:b/>
                <w:bCs/>
                <w:color w:val="auto"/>
                <w:kern w:val="0"/>
                <w:szCs w:val="21"/>
                <w:lang w:val="en-US" w:eastAsia="zh-CN"/>
              </w:rPr>
              <w:t>-</w:t>
            </w:r>
            <w:r>
              <w:rPr>
                <w:rFonts w:hint="default" w:ascii="Times New Roman" w:hAnsi="Times New Roman" w:cs="Times New Roman"/>
                <w:b/>
                <w:bCs/>
                <w:color w:val="auto"/>
                <w:kern w:val="0"/>
                <w:szCs w:val="21"/>
              </w:rPr>
              <w:t>2023年）》符合性分析</w:t>
            </w:r>
          </w:p>
          <w:p>
            <w:pPr>
              <w:autoSpaceDE w:val="0"/>
              <w:autoSpaceDN w:val="0"/>
              <w:adjustRightInd w:val="0"/>
              <w:snapToGrid w:val="0"/>
              <w:spacing w:line="360" w:lineRule="auto"/>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表</w:t>
            </w:r>
            <w:r>
              <w:rPr>
                <w:rFonts w:hint="default" w:ascii="Times New Roman" w:hAnsi="Times New Roman" w:cs="Times New Roman"/>
                <w:b/>
                <w:bCs/>
                <w:color w:val="auto"/>
                <w:kern w:val="0"/>
                <w:szCs w:val="21"/>
                <w:lang w:val="en-US" w:eastAsia="zh-CN"/>
              </w:rPr>
              <w:t>6</w:t>
            </w:r>
            <w:r>
              <w:rPr>
                <w:rFonts w:hint="default" w:ascii="Times New Roman" w:hAnsi="Times New Roman" w:cs="Times New Roman"/>
                <w:b/>
                <w:bCs/>
                <w:color w:val="auto"/>
                <w:kern w:val="0"/>
                <w:szCs w:val="21"/>
              </w:rPr>
              <w:t xml:space="preserve">  </w:t>
            </w:r>
            <w:r>
              <w:rPr>
                <w:rFonts w:hint="default" w:ascii="Times New Roman" w:hAnsi="Times New Roman" w:cs="Times New Roman"/>
                <w:b/>
                <w:color w:val="auto"/>
                <w:szCs w:val="21"/>
              </w:rPr>
              <w:t>与</w:t>
            </w:r>
            <w:r>
              <w:rPr>
                <w:rFonts w:hint="default" w:ascii="Times New Roman" w:hAnsi="Times New Roman" w:cs="Times New Roman"/>
                <w:b/>
                <w:bCs/>
                <w:color w:val="auto"/>
                <w:kern w:val="0"/>
                <w:szCs w:val="21"/>
              </w:rPr>
              <w:t>《山东省新一轮“四减四增”三年行动方案（2021</w:t>
            </w:r>
            <w:r>
              <w:rPr>
                <w:rFonts w:hint="default" w:ascii="Times New Roman" w:hAnsi="Times New Roman" w:cs="Times New Roman"/>
                <w:b/>
                <w:bCs/>
                <w:color w:val="auto"/>
                <w:kern w:val="0"/>
                <w:szCs w:val="21"/>
                <w:lang w:val="en-US" w:eastAsia="zh-CN"/>
              </w:rPr>
              <w:t>-</w:t>
            </w:r>
            <w:r>
              <w:rPr>
                <w:rFonts w:hint="default" w:ascii="Times New Roman" w:hAnsi="Times New Roman" w:cs="Times New Roman"/>
                <w:b/>
                <w:bCs/>
                <w:color w:val="auto"/>
                <w:kern w:val="0"/>
                <w:szCs w:val="21"/>
              </w:rPr>
              <w:t>2023年）》</w:t>
            </w:r>
            <w:r>
              <w:rPr>
                <w:rFonts w:hint="default" w:ascii="Times New Roman" w:hAnsi="Times New Roman" w:cs="Times New Roman"/>
                <w:b/>
                <w:color w:val="auto"/>
                <w:szCs w:val="21"/>
              </w:rPr>
              <w:t>符合性分析</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43"/>
              <w:gridCol w:w="3837"/>
              <w:gridCol w:w="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73" w:type="dxa"/>
                  <w:vAlign w:val="center"/>
                </w:tcPr>
                <w:p>
                  <w:pPr>
                    <w:pStyle w:val="2"/>
                    <w:spacing w:after="0"/>
                    <w:ind w:left="0" w:leftChars="0" w:firstLine="0" w:firstLineChars="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规定</w:t>
                  </w:r>
                </w:p>
              </w:tc>
              <w:tc>
                <w:tcPr>
                  <w:tcW w:w="3385" w:type="dxa"/>
                  <w:vAlign w:val="center"/>
                </w:tcPr>
                <w:p>
                  <w:pPr>
                    <w:pStyle w:val="2"/>
                    <w:spacing w:after="0"/>
                    <w:ind w:left="0" w:leftChars="0" w:firstLine="0" w:firstLineChars="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本项目情况</w:t>
                  </w:r>
                </w:p>
              </w:tc>
              <w:tc>
                <w:tcPr>
                  <w:tcW w:w="849" w:type="dxa"/>
                  <w:vAlign w:val="center"/>
                </w:tcPr>
                <w:p>
                  <w:pPr>
                    <w:pStyle w:val="2"/>
                    <w:spacing w:after="0"/>
                    <w:ind w:left="0" w:leftChars="0" w:firstLine="0" w:firstLineChars="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73"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淘汰低效落后产能。</w:t>
                  </w:r>
                </w:p>
              </w:tc>
              <w:tc>
                <w:tcPr>
                  <w:tcW w:w="3385"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本项目不属于低效落后产能。</w:t>
                  </w:r>
                </w:p>
              </w:tc>
              <w:tc>
                <w:tcPr>
                  <w:tcW w:w="849"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73"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严控重点行业新增产能。</w:t>
                  </w:r>
                </w:p>
              </w:tc>
              <w:tc>
                <w:tcPr>
                  <w:tcW w:w="3385" w:type="dxa"/>
                  <w:vAlign w:val="center"/>
                </w:tcPr>
                <w:p>
                  <w:pPr>
                    <w:pStyle w:val="2"/>
                    <w:spacing w:after="0"/>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本项目不属于重点行业</w:t>
                  </w:r>
                  <w:r>
                    <w:rPr>
                      <w:rFonts w:hint="default" w:ascii="Times New Roman" w:hAnsi="Times New Roman" w:cs="Times New Roman"/>
                      <w:color w:val="auto"/>
                      <w:szCs w:val="21"/>
                      <w:lang w:eastAsia="zh-CN"/>
                    </w:rPr>
                    <w:t>。</w:t>
                  </w:r>
                </w:p>
              </w:tc>
              <w:tc>
                <w:tcPr>
                  <w:tcW w:w="849"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73"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推动绿色循环低碳改造。</w:t>
                  </w:r>
                </w:p>
              </w:tc>
              <w:tc>
                <w:tcPr>
                  <w:tcW w:w="3385"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w:t>
                  </w:r>
                  <w:r>
                    <w:rPr>
                      <w:rFonts w:hint="default" w:ascii="Times New Roman" w:hAnsi="Times New Roman" w:cs="Times New Roman"/>
                      <w:color w:val="auto"/>
                      <w:szCs w:val="21"/>
                      <w:lang w:eastAsia="zh-CN"/>
                    </w:rPr>
                    <w:t>严格控制污染物排放</w:t>
                  </w:r>
                  <w:r>
                    <w:rPr>
                      <w:rFonts w:hint="default" w:ascii="Times New Roman" w:hAnsi="Times New Roman" w:cs="Times New Roman"/>
                      <w:color w:val="auto"/>
                      <w:szCs w:val="21"/>
                    </w:rPr>
                    <w:t>。</w:t>
                  </w:r>
                </w:p>
              </w:tc>
              <w:tc>
                <w:tcPr>
                  <w:tcW w:w="8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73"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严控化石能源消费。</w:t>
                  </w:r>
                </w:p>
              </w:tc>
              <w:tc>
                <w:tcPr>
                  <w:tcW w:w="3385"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w:t>
                  </w:r>
                  <w:r>
                    <w:rPr>
                      <w:rFonts w:hint="default" w:ascii="Times New Roman" w:hAnsi="Times New Roman" w:cs="Times New Roman"/>
                      <w:color w:val="auto"/>
                      <w:szCs w:val="21"/>
                      <w:lang w:eastAsia="zh-CN"/>
                    </w:rPr>
                    <w:t>使用清洁能源</w:t>
                  </w:r>
                  <w:r>
                    <w:rPr>
                      <w:rFonts w:hint="default" w:ascii="Times New Roman" w:hAnsi="Times New Roman" w:cs="Times New Roman"/>
                      <w:color w:val="auto"/>
                      <w:szCs w:val="21"/>
                    </w:rPr>
                    <w:t>。</w:t>
                  </w:r>
                </w:p>
              </w:tc>
              <w:tc>
                <w:tcPr>
                  <w:tcW w:w="8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73" w:type="dxa"/>
                  <w:vAlign w:val="center"/>
                </w:tcPr>
                <w:p>
                  <w:pPr>
                    <w:pStyle w:val="2"/>
                    <w:spacing w:after="0"/>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持续压减煤炭使用</w:t>
                  </w:r>
                  <w:r>
                    <w:rPr>
                      <w:rFonts w:hint="default" w:ascii="Times New Roman" w:hAnsi="Times New Roman" w:cs="Times New Roman"/>
                      <w:color w:val="auto"/>
                      <w:szCs w:val="21"/>
                      <w:lang w:eastAsia="zh-CN"/>
                    </w:rPr>
                    <w:t>。</w:t>
                  </w:r>
                </w:p>
              </w:tc>
              <w:tc>
                <w:tcPr>
                  <w:tcW w:w="3385"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本项目不使用煤炭。</w:t>
                  </w:r>
                </w:p>
              </w:tc>
              <w:tc>
                <w:tcPr>
                  <w:tcW w:w="8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73"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壮大清洁能源规模。</w:t>
                  </w:r>
                </w:p>
              </w:tc>
              <w:tc>
                <w:tcPr>
                  <w:tcW w:w="3385" w:type="dxa"/>
                  <w:vAlign w:val="center"/>
                </w:tcPr>
                <w:p>
                  <w:pPr>
                    <w:pStyle w:val="2"/>
                    <w:spacing w:after="0"/>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w:t>
                  </w:r>
                  <w:r>
                    <w:rPr>
                      <w:rFonts w:hint="default" w:ascii="Times New Roman" w:hAnsi="Times New Roman" w:cs="Times New Roman"/>
                      <w:color w:val="auto"/>
                      <w:szCs w:val="21"/>
                      <w:lang w:eastAsia="zh-CN"/>
                    </w:rPr>
                    <w:t>使用清洁能源</w:t>
                  </w:r>
                  <w:r>
                    <w:rPr>
                      <w:rFonts w:hint="default" w:ascii="Times New Roman" w:hAnsi="Times New Roman" w:cs="Times New Roman"/>
                      <w:color w:val="auto"/>
                      <w:szCs w:val="21"/>
                    </w:rPr>
                    <w:t>。</w:t>
                  </w:r>
                </w:p>
              </w:tc>
              <w:tc>
                <w:tcPr>
                  <w:tcW w:w="8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jc w:val="left"/>
              <w:textAlignment w:val="auto"/>
              <w:rPr>
                <w:rFonts w:hint="default" w:ascii="Times New Roman" w:hAnsi="Times New Roman" w:cs="Times New Roman"/>
                <w:b/>
                <w:bCs/>
                <w:color w:val="auto"/>
                <w:kern w:val="0"/>
                <w:szCs w:val="21"/>
              </w:rPr>
            </w:pPr>
            <w:r>
              <w:rPr>
                <w:rFonts w:hint="default" w:ascii="Times New Roman" w:hAnsi="Times New Roman" w:cs="Times New Roman"/>
                <w:b/>
                <w:color w:val="auto"/>
                <w:szCs w:val="21"/>
                <w:lang w:val="en-US" w:eastAsia="zh-CN"/>
              </w:rPr>
              <w:t>7.</w:t>
            </w:r>
            <w:r>
              <w:rPr>
                <w:rFonts w:hint="default" w:ascii="Times New Roman" w:hAnsi="Times New Roman" w:cs="Times New Roman"/>
                <w:b/>
                <w:bCs/>
                <w:color w:val="auto"/>
                <w:kern w:val="0"/>
                <w:szCs w:val="21"/>
              </w:rPr>
              <w:t>与</w:t>
            </w:r>
            <w:r>
              <w:rPr>
                <w:rFonts w:hint="default" w:ascii="Times New Roman" w:hAnsi="Times New Roman" w:cs="Times New Roman"/>
                <w:b/>
                <w:bCs/>
                <w:color w:val="auto"/>
                <w:kern w:val="0"/>
                <w:szCs w:val="21"/>
                <w:lang w:eastAsia="zh-CN"/>
              </w:rPr>
              <w:t>《山东省人民政府办公厅关于印发坚决遏制“两高”项目盲目发展的若干措施的通知》（鲁政办字〔2021〕98号）</w:t>
            </w:r>
            <w:r>
              <w:rPr>
                <w:rFonts w:hint="default" w:ascii="Times New Roman" w:hAnsi="Times New Roman" w:cs="Times New Roman"/>
                <w:b/>
                <w:bCs/>
                <w:color w:val="auto"/>
                <w:kern w:val="0"/>
                <w:szCs w:val="21"/>
              </w:rPr>
              <w:t>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Cs w:val="21"/>
              </w:rPr>
              <w:t>表</w:t>
            </w:r>
            <w:r>
              <w:rPr>
                <w:rFonts w:hint="default" w:ascii="Times New Roman" w:hAnsi="Times New Roman" w:cs="Times New Roman"/>
                <w:b/>
                <w:bCs/>
                <w:color w:val="auto"/>
                <w:kern w:val="0"/>
                <w:szCs w:val="21"/>
                <w:lang w:val="en-US" w:eastAsia="zh-CN"/>
              </w:rPr>
              <w:t xml:space="preserve">7 </w:t>
            </w:r>
            <w:r>
              <w:rPr>
                <w:rFonts w:hint="default" w:ascii="Times New Roman" w:hAnsi="Times New Roman" w:cs="Times New Roman"/>
                <w:b/>
                <w:bCs/>
                <w:color w:val="auto"/>
                <w:kern w:val="0"/>
                <w:szCs w:val="21"/>
              </w:rPr>
              <w:t xml:space="preserve"> </w:t>
            </w:r>
            <w:r>
              <w:rPr>
                <w:rFonts w:hint="default" w:ascii="Times New Roman" w:hAnsi="Times New Roman" w:cs="Times New Roman"/>
                <w:b/>
                <w:color w:val="auto"/>
                <w:sz w:val="21"/>
                <w:szCs w:val="21"/>
                <w:highlight w:val="none"/>
                <w:lang w:val="en-US" w:eastAsia="zh-CN"/>
              </w:rPr>
              <w:t>与</w:t>
            </w:r>
            <w:r>
              <w:rPr>
                <w:rFonts w:hint="default" w:ascii="Times New Roman" w:hAnsi="Times New Roman" w:cs="Times New Roman"/>
                <w:b/>
                <w:bCs/>
                <w:color w:val="auto"/>
                <w:kern w:val="0"/>
                <w:szCs w:val="21"/>
                <w:lang w:eastAsia="zh-CN"/>
              </w:rPr>
              <w:t>鲁政办字〔2021〕98号</w:t>
            </w:r>
            <w:r>
              <w:rPr>
                <w:rFonts w:hint="default" w:ascii="Times New Roman" w:hAnsi="Times New Roman" w:cs="Times New Roman"/>
                <w:b/>
                <w:color w:val="auto"/>
                <w:sz w:val="21"/>
                <w:szCs w:val="21"/>
                <w:highlight w:val="none"/>
                <w:lang w:val="en-US" w:eastAsia="zh-CN"/>
              </w:rPr>
              <w:t>符合性分析</w:t>
            </w:r>
          </w:p>
          <w:tbl>
            <w:tblPr>
              <w:tblStyle w:val="26"/>
              <w:tblW w:w="79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
              <w:gridCol w:w="4793"/>
              <w:gridCol w:w="1365"/>
              <w:gridCol w:w="8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项目</w:t>
                  </w:r>
                </w:p>
              </w:tc>
              <w:tc>
                <w:tcPr>
                  <w:tcW w:w="479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规定</w:t>
                  </w:r>
                </w:p>
              </w:tc>
              <w:tc>
                <w:tcPr>
                  <w:tcW w:w="136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本项目情况</w:t>
                  </w:r>
                </w:p>
              </w:tc>
              <w:tc>
                <w:tcPr>
                  <w:tcW w:w="84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符合</w:t>
                  </w:r>
                  <w:r>
                    <w:rPr>
                      <w:rFonts w:hint="default" w:ascii="Times New Roman" w:hAnsi="Times New Roman" w:cs="Times New Roman"/>
                      <w:b/>
                      <w:bCs/>
                      <w:color w:val="auto"/>
                      <w:sz w:val="21"/>
                      <w:szCs w:val="21"/>
                      <w:lang w:val="en-US" w:eastAsia="zh-CN"/>
                    </w:rPr>
                    <w:t>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9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把握“两高”项目管理原则</w:t>
                  </w:r>
                </w:p>
              </w:tc>
              <w:tc>
                <w:tcPr>
                  <w:tcW w:w="479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区分“两高”与非“两高”、产业链上下游、新建与技改、不同时间节点，严控增量、优化存量。对2018年1月1日以来建设的“两高”项目从严要求。今后，新建（含改扩建和技术改造，环保节能改造、安全设施改造、产品质量提升等不增加产能的技术改造项目除外，下同）“两高”项目一律严格审核把关。</w:t>
                  </w:r>
                </w:p>
              </w:tc>
              <w:tc>
                <w:tcPr>
                  <w:tcW w:w="136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本项目不属于</w:t>
                  </w:r>
                  <w:r>
                    <w:rPr>
                      <w:rFonts w:hint="default" w:ascii="Times New Roman" w:hAnsi="Times New Roman" w:cs="Times New Roman"/>
                      <w:color w:val="auto"/>
                      <w:sz w:val="21"/>
                      <w:szCs w:val="21"/>
                      <w:lang w:eastAsia="zh-CN"/>
                    </w:rPr>
                    <w:t>“两高”项目</w:t>
                  </w:r>
                </w:p>
              </w:tc>
              <w:tc>
                <w:tcPr>
                  <w:tcW w:w="84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9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明确“两高”项目范围界限</w:t>
                  </w:r>
                </w:p>
              </w:tc>
              <w:tc>
                <w:tcPr>
                  <w:tcW w:w="479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统筹考虑能耗排放总量、万元工业增加值能耗，将“六大高耗能行业”中的煤电、炼化、焦化、钢铁、水泥、铁合金、电解铝、甲醇、氯碱、电石、醋酸、氮肥、石灰、平板玻璃、建筑陶瓷、沥青防水材料16个行业上游初加工、高耗能高排放环节投资项目作为“两高”项目。“两高”项目范围根据国家规定和我省实际动态调整。</w:t>
                  </w:r>
                </w:p>
              </w:tc>
              <w:tc>
                <w:tcPr>
                  <w:tcW w:w="136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本项目不属于</w:t>
                  </w:r>
                  <w:r>
                    <w:rPr>
                      <w:rFonts w:hint="default" w:ascii="Times New Roman" w:hAnsi="Times New Roman" w:cs="Times New Roman"/>
                      <w:color w:val="auto"/>
                      <w:sz w:val="21"/>
                      <w:szCs w:val="21"/>
                      <w:lang w:eastAsia="zh-CN"/>
                    </w:rPr>
                    <w:t>“两高”项目</w:t>
                  </w:r>
                </w:p>
              </w:tc>
              <w:tc>
                <w:tcPr>
                  <w:tcW w:w="8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9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明确“两高”项目四类处置方式</w:t>
                  </w:r>
                </w:p>
              </w:tc>
              <w:tc>
                <w:tcPr>
                  <w:tcW w:w="479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合规项目类”，对符合产业政策，手续齐全、批建相符的项目，纳入“两高”项目清单。“完善手续类”，对符合产业政策，按照目前标准符合手续办理要求的项目，依法依规完善手续；对符合产业政策，满足当前安全、环保、能耗、技术、质量等标准要求，对地方经济发展、民生保障、安全稳定有重要影响确有必要保留，但因历史遗留问题难以补办手续的项目，列入清单，予以保留实施，视同完善手续。“改造提升类”，对符合产业政策，按目前标准暂时不符合手续办理要求、但具备改造提升潜力、且2021年年底前能够完成改造提升的项目，待完成改造提升、达到标准条件后，再依法依规完善手续。“关停退出类”，对不符合产业政策，或无法在2021年年底前完成改造提升补办手续的项目，依法依规关停退出。</w:t>
                  </w:r>
                </w:p>
              </w:tc>
              <w:tc>
                <w:tcPr>
                  <w:tcW w:w="136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本项目不属于</w:t>
                  </w:r>
                  <w:r>
                    <w:rPr>
                      <w:rFonts w:hint="default" w:ascii="Times New Roman" w:hAnsi="Times New Roman" w:cs="Times New Roman"/>
                      <w:color w:val="auto"/>
                      <w:sz w:val="21"/>
                      <w:szCs w:val="21"/>
                      <w:lang w:eastAsia="zh-CN"/>
                    </w:rPr>
                    <w:t>“两高”项目</w:t>
                  </w:r>
                </w:p>
              </w:tc>
              <w:tc>
                <w:tcPr>
                  <w:tcW w:w="8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9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落实新建“两高”项目“五个减量替代”。</w:t>
                  </w:r>
                </w:p>
              </w:tc>
              <w:tc>
                <w:tcPr>
                  <w:tcW w:w="479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对新建项目和依据《山东省发展和改革委员会关于迅速开展“两高一资”项目核查的通知》（鲁发改工业〔2021〕59号）暂停的项目，实行产能、煤耗、能耗、碳排放、污染物排放“五个减量替代”，减量替代来源必须可监测、可统计、可复核，否则不得作为替代源。国家统筹布局的或有另行规定的，从其规定。替代比例按《山东省人民政府办公厅关于加强“两高”项目管理的通知》（鲁政办字〔2021〕57号）规定执行。</w:t>
                  </w:r>
                </w:p>
              </w:tc>
              <w:tc>
                <w:tcPr>
                  <w:tcW w:w="136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本项目不属于</w:t>
                  </w:r>
                  <w:r>
                    <w:rPr>
                      <w:rFonts w:hint="default" w:ascii="Times New Roman" w:hAnsi="Times New Roman" w:cs="Times New Roman"/>
                      <w:color w:val="auto"/>
                      <w:sz w:val="21"/>
                      <w:szCs w:val="21"/>
                      <w:lang w:eastAsia="zh-CN"/>
                    </w:rPr>
                    <w:t>“两高”项目</w:t>
                  </w:r>
                </w:p>
              </w:tc>
              <w:tc>
                <w:tcPr>
                  <w:tcW w:w="8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实施在建“两高”项目“三个替代”</w:t>
                  </w:r>
                </w:p>
              </w:tc>
              <w:tc>
                <w:tcPr>
                  <w:tcW w:w="479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全面梳理压减“十四五”全省拟投产达产的“两高”项目，摸清项目设计、腾出、新增能耗煤耗和污染物排放量。依据《山东省发展和改革委员会关于迅速开展“两高一资”项目核查的通知》（鲁发改工业〔2021〕59号），对2021年1月23日前依法开工建设、未建成投产的项目，由各市统筹考虑本地能耗煤耗指标和环境容量，制定项目替代方案或区域替代方案，确保“两高”行业能耗煤耗总量只减不增、污染物排放总量符合规定要求。没有制定替代方案有效消化增量的，不得继续建设，不得新上马“两高”项目。</w:t>
                  </w:r>
                </w:p>
              </w:tc>
              <w:tc>
                <w:tcPr>
                  <w:tcW w:w="136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本项目不属于</w:t>
                  </w:r>
                  <w:r>
                    <w:rPr>
                      <w:rFonts w:hint="default" w:ascii="Times New Roman" w:hAnsi="Times New Roman" w:cs="Times New Roman"/>
                      <w:color w:val="auto"/>
                      <w:sz w:val="21"/>
                      <w:szCs w:val="21"/>
                      <w:lang w:eastAsia="zh-CN"/>
                    </w:rPr>
                    <w:t>“两高”项目</w:t>
                  </w:r>
                </w:p>
              </w:tc>
              <w:tc>
                <w:tcPr>
                  <w:tcW w:w="8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9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加强“两高”项目信息化监管</w:t>
                  </w:r>
                </w:p>
              </w:tc>
              <w:tc>
                <w:tcPr>
                  <w:tcW w:w="479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lang w:eastAsia="zh-CN"/>
                    </w:rPr>
                  </w:pPr>
                  <w:r>
                    <w:rPr>
                      <w:rFonts w:hint="default"/>
                      <w:lang w:eastAsia="zh-CN"/>
                    </w:rPr>
                    <w:t>完善投资项目在线审批监管平台，建立新建项目实时电子台账，实现动态监管、全程监测。各级审批机关指导项目建设单位，根据国民经济行业分类合理确定项目所属行业，客观、准确、完整填报项目信息。项目信息应当包含产能、煤耗、能耗、碳排放、污染物排放和减量替代情况，以及建设期限、建设内容、开工建设、建设进度、竣工验收等情况；项目建设内容，必须明确生产规模、产品方案、工艺技术和流程、主要设备及选型、原材料及来源等。</w:t>
                  </w:r>
                </w:p>
                <w:p>
                  <w:pPr>
                    <w:pStyle w:val="2"/>
                    <w:rPr>
                      <w:rFonts w:hint="default"/>
                      <w:lang w:eastAsia="zh-CN"/>
                    </w:rPr>
                  </w:pPr>
                </w:p>
              </w:tc>
              <w:tc>
                <w:tcPr>
                  <w:tcW w:w="136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本项目不属于</w:t>
                  </w:r>
                  <w:r>
                    <w:rPr>
                      <w:rFonts w:hint="default" w:ascii="Times New Roman" w:hAnsi="Times New Roman" w:cs="Times New Roman"/>
                      <w:color w:val="auto"/>
                      <w:sz w:val="21"/>
                      <w:szCs w:val="21"/>
                      <w:lang w:eastAsia="zh-CN"/>
                    </w:rPr>
                    <w:t>“两高”项目</w:t>
                  </w:r>
                </w:p>
              </w:tc>
              <w:tc>
                <w:tcPr>
                  <w:tcW w:w="8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9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加强“两高”项目能效管理</w:t>
                  </w:r>
                </w:p>
              </w:tc>
              <w:tc>
                <w:tcPr>
                  <w:tcW w:w="479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对存量项目，纳入重点用能单位能耗在线监测系统，开展节能监察行动，逐一核实能耗、煤耗数据，有节能减排潜力的，督促企业实施节能改造提升；对在建项目，主要产品能效水平低于本行业能耗限额准入值的，依法依规责令停建整改，整改到位前不得续建。</w:t>
                  </w:r>
                </w:p>
              </w:tc>
              <w:tc>
                <w:tcPr>
                  <w:tcW w:w="136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本项目不属于</w:t>
                  </w:r>
                  <w:r>
                    <w:rPr>
                      <w:rFonts w:hint="default" w:ascii="Times New Roman" w:hAnsi="Times New Roman" w:cs="Times New Roman"/>
                      <w:color w:val="auto"/>
                      <w:sz w:val="21"/>
                      <w:szCs w:val="21"/>
                      <w:lang w:eastAsia="zh-CN"/>
                    </w:rPr>
                    <w:t>“两高”项目</w:t>
                  </w:r>
                </w:p>
              </w:tc>
              <w:tc>
                <w:tcPr>
                  <w:tcW w:w="8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符合</w:t>
                  </w:r>
                </w:p>
              </w:tc>
            </w:tr>
          </w:tbl>
          <w:p>
            <w:pPr>
              <w:pStyle w:val="54"/>
              <w:adjustRightInd/>
              <w:snapToGrid/>
              <w:ind w:firstLine="420"/>
              <w:contextualSpacing/>
              <w:rPr>
                <w:rFonts w:hint="default" w:ascii="Times New Roman" w:hAnsi="Times New Roman" w:cs="Times New Roman"/>
                <w:color w:val="auto"/>
                <w:sz w:val="21"/>
                <w:szCs w:val="21"/>
              </w:rPr>
            </w:pPr>
          </w:p>
          <w:p>
            <w:pPr>
              <w:pStyle w:val="54"/>
              <w:adjustRightInd/>
              <w:snapToGrid/>
              <w:ind w:firstLine="420"/>
              <w:contextualSpacing/>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综上所述，本项目建设符合相关政策文件要求。</w:t>
            </w:r>
          </w:p>
          <w:p>
            <w:pPr>
              <w:pStyle w:val="54"/>
              <w:adjustRightInd/>
              <w:snapToGrid/>
              <w:ind w:firstLine="0" w:firstLineChars="0"/>
              <w:contextualSpacing/>
              <w:rPr>
                <w:rFonts w:hint="default" w:ascii="Times New Roman" w:hAnsi="Times New Roman" w:cs="Times New Roman"/>
                <w:color w:val="auto"/>
                <w:kern w:val="0"/>
                <w:sz w:val="21"/>
                <w:szCs w:val="21"/>
              </w:rPr>
            </w:pPr>
          </w:p>
        </w:tc>
      </w:tr>
    </w:tbl>
    <w:p>
      <w:pPr>
        <w:spacing w:line="360" w:lineRule="auto"/>
        <w:outlineLvl w:val="0"/>
        <w:rPr>
          <w:rFonts w:hint="default" w:ascii="Times New Roman" w:hAnsi="Times New Roman" w:eastAsia="黑体" w:cs="Times New Roman"/>
          <w:sz w:val="30"/>
        </w:rPr>
        <w:sectPr>
          <w:footerReference r:id="rId5" w:type="default"/>
          <w:pgSz w:w="11906" w:h="16838"/>
          <w:pgMar w:top="1701" w:right="1531" w:bottom="1701" w:left="1531" w:header="851" w:footer="1077" w:gutter="0"/>
          <w:pgNumType w:start="1"/>
          <w:cols w:space="720" w:num="1"/>
          <w:docGrid w:linePitch="312" w:charSpace="0"/>
        </w:sectPr>
      </w:pPr>
    </w:p>
    <w:p>
      <w:pPr>
        <w:pStyle w:val="23"/>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二、建设项目工程分析</w:t>
      </w:r>
    </w:p>
    <w:tbl>
      <w:tblPr>
        <w:tblStyle w:val="26"/>
        <w:tblW w:w="89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3" w:type="dxa"/>
            <w:vAlign w:val="center"/>
          </w:tcPr>
          <w:p>
            <w:pPr>
              <w:pStyle w:val="23"/>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sz w:val="21"/>
                <w:szCs w:val="21"/>
              </w:rPr>
              <w:t>建设内容</w:t>
            </w:r>
          </w:p>
        </w:tc>
        <w:tc>
          <w:tcPr>
            <w:tcW w:w="8161" w:type="dxa"/>
          </w:tcPr>
          <w:p>
            <w:pPr>
              <w:spacing w:line="360" w:lineRule="auto"/>
              <w:ind w:firstLine="422" w:firstLineChars="200"/>
              <w:rPr>
                <w:rFonts w:hint="default" w:ascii="Times New Roman" w:hAnsi="Times New Roman" w:cs="Times New Roman"/>
                <w:szCs w:val="21"/>
              </w:rPr>
            </w:pPr>
            <w:r>
              <w:rPr>
                <w:rFonts w:hint="default" w:ascii="Times New Roman" w:hAnsi="Times New Roman" w:cs="Times New Roman"/>
                <w:b/>
                <w:bCs/>
                <w:szCs w:val="21"/>
              </w:rPr>
              <w:t>1.项目基本情况</w:t>
            </w:r>
          </w:p>
          <w:p>
            <w:pPr>
              <w:spacing w:line="360" w:lineRule="auto"/>
              <w:ind w:firstLine="420" w:firstLineChars="200"/>
              <w:rPr>
                <w:rFonts w:hint="default" w:ascii="Times New Roman" w:hAnsi="Times New Roman" w:cs="Times New Roman"/>
                <w:bCs/>
                <w:color w:val="auto"/>
                <w:kern w:val="36"/>
                <w:szCs w:val="21"/>
                <w:lang w:bidi="ar"/>
              </w:rPr>
            </w:pPr>
            <w:r>
              <w:rPr>
                <w:rFonts w:hint="default" w:ascii="Times New Roman" w:hAnsi="Times New Roman" w:cs="Times New Roman"/>
                <w:bCs/>
                <w:color w:val="auto"/>
                <w:kern w:val="36"/>
                <w:szCs w:val="21"/>
                <w:lang w:eastAsia="zh-CN" w:bidi="ar"/>
              </w:rPr>
              <w:t>山东浩斐生物科技有限公司</w:t>
            </w:r>
            <w:r>
              <w:rPr>
                <w:rFonts w:hint="default" w:ascii="Times New Roman" w:hAnsi="Times New Roman" w:cs="Times New Roman"/>
                <w:bCs/>
                <w:color w:val="auto"/>
                <w:kern w:val="36"/>
                <w:szCs w:val="21"/>
                <w:lang w:bidi="ar"/>
              </w:rPr>
              <w:t>成立于202</w:t>
            </w:r>
            <w:r>
              <w:rPr>
                <w:rFonts w:hint="eastAsia" w:cs="Times New Roman"/>
                <w:bCs/>
                <w:color w:val="auto"/>
                <w:kern w:val="36"/>
                <w:szCs w:val="21"/>
                <w:lang w:val="en-US" w:eastAsia="zh-CN" w:bidi="ar"/>
              </w:rPr>
              <w:t>2</w:t>
            </w:r>
            <w:r>
              <w:rPr>
                <w:rFonts w:hint="default" w:ascii="Times New Roman" w:hAnsi="Times New Roman" w:cs="Times New Roman"/>
                <w:bCs/>
                <w:color w:val="auto"/>
                <w:kern w:val="36"/>
                <w:szCs w:val="21"/>
                <w:lang w:bidi="ar"/>
              </w:rPr>
              <w:t>年6月，本项目是</w:t>
            </w:r>
            <w:r>
              <w:rPr>
                <w:rFonts w:hint="eastAsia" w:cs="Times New Roman"/>
                <w:bCs/>
                <w:color w:val="auto"/>
                <w:kern w:val="36"/>
                <w:szCs w:val="21"/>
                <w:lang w:val="en-US" w:eastAsia="zh-CN" w:bidi="ar"/>
              </w:rPr>
              <w:t>根据加拿大农业科学研究院团队针对植物SOD多年精心研究的重要成果研发生产的“纯天然SOD”食品，，其SOD含量高达每百克2000000u，耐热性强、活性稳定，在常温下保存3年，活性仍能保持80%以上。医学研究表明，每人每天应补充SOD 4000酶活单位的首要营养素和药品，才能达到抵抗疾病和减缓衰老的作用。本项目投产后，广大消费者每天服务0.5克“纯天然SOD食品”，就可以达到提高抵抗力、预防疾病等效果。</w:t>
            </w:r>
            <w:r>
              <w:rPr>
                <w:rFonts w:hint="default" w:ascii="Times New Roman" w:hAnsi="Times New Roman" w:cs="Times New Roman"/>
                <w:bCs/>
                <w:color w:val="auto"/>
                <w:kern w:val="36"/>
                <w:szCs w:val="21"/>
                <w:lang w:bidi="ar"/>
              </w:rPr>
              <w:t>该项目科技含量高，适用范围广</w:t>
            </w:r>
            <w:r>
              <w:rPr>
                <w:rFonts w:hint="eastAsia" w:cs="Times New Roman"/>
                <w:bCs/>
                <w:color w:val="auto"/>
                <w:kern w:val="36"/>
                <w:szCs w:val="21"/>
                <w:lang w:eastAsia="zh-CN" w:bidi="ar"/>
              </w:rPr>
              <w:t>，</w:t>
            </w:r>
            <w:r>
              <w:rPr>
                <w:rFonts w:hint="default" w:ascii="Times New Roman" w:hAnsi="Times New Roman" w:cs="Times New Roman"/>
                <w:bCs/>
                <w:color w:val="auto"/>
                <w:kern w:val="36"/>
                <w:szCs w:val="21"/>
                <w:lang w:bidi="ar"/>
              </w:rPr>
              <w:t>项目建成后，</w:t>
            </w:r>
            <w:r>
              <w:rPr>
                <w:rFonts w:hint="eastAsia" w:cs="Times New Roman"/>
                <w:bCs/>
                <w:color w:val="auto"/>
                <w:kern w:val="36"/>
                <w:szCs w:val="21"/>
                <w:lang w:val="en-US" w:eastAsia="zh-CN" w:bidi="ar"/>
              </w:rPr>
              <w:t>填补了世界健康食品行业的空白，对广大消费者的健康保健将做出重要贡献</w:t>
            </w:r>
            <w:r>
              <w:rPr>
                <w:rFonts w:hint="default" w:ascii="Times New Roman" w:hAnsi="Times New Roman" w:cs="Times New Roman"/>
                <w:bCs/>
                <w:color w:val="auto"/>
                <w:kern w:val="36"/>
                <w:szCs w:val="21"/>
                <w:lang w:bidi="ar"/>
              </w:rPr>
              <w:t>。</w:t>
            </w:r>
          </w:p>
          <w:p>
            <w:pPr>
              <w:spacing w:line="360" w:lineRule="auto"/>
              <w:ind w:firstLine="420" w:firstLineChars="200"/>
              <w:rPr>
                <w:rFonts w:hint="default" w:ascii="Times New Roman" w:hAnsi="Times New Roman" w:cs="Times New Roman"/>
                <w:bCs/>
                <w:color w:val="auto"/>
                <w:kern w:val="36"/>
                <w:szCs w:val="21"/>
                <w:lang w:bidi="ar"/>
              </w:rPr>
            </w:pPr>
            <w:r>
              <w:rPr>
                <w:rFonts w:hint="default" w:ascii="Times New Roman" w:hAnsi="Times New Roman" w:cs="Times New Roman"/>
                <w:bCs/>
                <w:color w:val="auto"/>
                <w:kern w:val="36"/>
                <w:szCs w:val="21"/>
                <w:lang w:eastAsia="zh-CN" w:bidi="ar"/>
              </w:rPr>
              <w:t>山东浩斐生物科技有限公司</w:t>
            </w:r>
            <w:r>
              <w:rPr>
                <w:rFonts w:hint="default" w:ascii="Times New Roman" w:hAnsi="Times New Roman" w:cs="Times New Roman"/>
                <w:bCs/>
                <w:color w:val="auto"/>
                <w:kern w:val="36"/>
                <w:szCs w:val="21"/>
                <w:lang w:bidi="ar"/>
              </w:rPr>
              <w:t>拟投资</w:t>
            </w:r>
            <w:r>
              <w:rPr>
                <w:rFonts w:hint="eastAsia" w:cs="Times New Roman"/>
                <w:bCs/>
                <w:color w:val="auto"/>
                <w:kern w:val="36"/>
                <w:szCs w:val="21"/>
                <w:lang w:val="en-US" w:eastAsia="zh-CN" w:bidi="ar"/>
              </w:rPr>
              <w:t>210</w:t>
            </w:r>
            <w:r>
              <w:rPr>
                <w:rFonts w:hint="default" w:ascii="Times New Roman" w:hAnsi="Times New Roman" w:cs="Times New Roman"/>
                <w:bCs/>
                <w:color w:val="auto"/>
                <w:kern w:val="36"/>
                <w:szCs w:val="21"/>
                <w:lang w:bidi="ar"/>
              </w:rPr>
              <w:t>0万元建设</w:t>
            </w:r>
            <w:r>
              <w:rPr>
                <w:rFonts w:hint="default" w:ascii="Times New Roman" w:hAnsi="Times New Roman" w:cs="Times New Roman"/>
                <w:color w:val="auto"/>
                <w:szCs w:val="21"/>
                <w:lang w:eastAsia="zh-CN"/>
              </w:rPr>
              <w:t>SOD食品项目</w:t>
            </w:r>
            <w:r>
              <w:rPr>
                <w:rFonts w:hint="default" w:ascii="Times New Roman" w:hAnsi="Times New Roman" w:cs="Times New Roman"/>
                <w:color w:val="auto"/>
                <w:szCs w:val="21"/>
              </w:rPr>
              <w:t>，</w:t>
            </w:r>
            <w:r>
              <w:rPr>
                <w:rFonts w:hint="eastAsia" w:cs="Times New Roman"/>
                <w:bCs/>
                <w:color w:val="auto"/>
                <w:kern w:val="36"/>
                <w:szCs w:val="21"/>
                <w:lang w:val="en-US" w:eastAsia="zh-CN" w:bidi="ar"/>
              </w:rPr>
              <w:t>不新增土地，不新建厂房，利用现有闲置车间，</w:t>
            </w:r>
            <w:r>
              <w:rPr>
                <w:rFonts w:hint="default" w:ascii="Times New Roman" w:hAnsi="Times New Roman" w:cs="Times New Roman"/>
                <w:bCs/>
                <w:color w:val="auto"/>
                <w:kern w:val="36"/>
                <w:szCs w:val="21"/>
                <w:lang w:bidi="ar"/>
              </w:rPr>
              <w:t>配套先进的生产设备，充分利用现有资源，增强企业竞争力，提高营业收入、税收，解决部分就业，带动当地经济发展。项目于202</w:t>
            </w:r>
            <w:r>
              <w:rPr>
                <w:rFonts w:hint="eastAsia" w:cs="Times New Roman"/>
                <w:bCs/>
                <w:color w:val="auto"/>
                <w:kern w:val="36"/>
                <w:szCs w:val="21"/>
                <w:lang w:val="en-US" w:eastAsia="zh-CN" w:bidi="ar"/>
              </w:rPr>
              <w:t>2</w:t>
            </w:r>
            <w:r>
              <w:rPr>
                <w:rFonts w:hint="default" w:ascii="Times New Roman" w:hAnsi="Times New Roman" w:cs="Times New Roman"/>
                <w:bCs/>
                <w:color w:val="auto"/>
                <w:kern w:val="36"/>
                <w:szCs w:val="21"/>
                <w:lang w:bidi="ar"/>
              </w:rPr>
              <w:t>年</w:t>
            </w:r>
            <w:r>
              <w:rPr>
                <w:rFonts w:hint="eastAsia" w:cs="Times New Roman"/>
                <w:bCs/>
                <w:color w:val="auto"/>
                <w:kern w:val="36"/>
                <w:szCs w:val="21"/>
                <w:lang w:val="en-US" w:eastAsia="zh-CN" w:bidi="ar"/>
              </w:rPr>
              <w:t>7</w:t>
            </w:r>
            <w:r>
              <w:rPr>
                <w:rFonts w:hint="default" w:ascii="Times New Roman" w:hAnsi="Times New Roman" w:cs="Times New Roman"/>
                <w:bCs/>
                <w:color w:val="auto"/>
                <w:kern w:val="36"/>
                <w:szCs w:val="21"/>
                <w:lang w:bidi="ar"/>
              </w:rPr>
              <w:t>月</w:t>
            </w:r>
            <w:r>
              <w:rPr>
                <w:rFonts w:hint="eastAsia" w:cs="Times New Roman"/>
                <w:bCs/>
                <w:color w:val="auto"/>
                <w:kern w:val="36"/>
                <w:szCs w:val="21"/>
                <w:lang w:val="en-US" w:eastAsia="zh-CN" w:bidi="ar"/>
              </w:rPr>
              <w:t>27</w:t>
            </w:r>
            <w:r>
              <w:rPr>
                <w:rFonts w:hint="default" w:ascii="Times New Roman" w:hAnsi="Times New Roman" w:cs="Times New Roman"/>
                <w:bCs/>
                <w:color w:val="auto"/>
                <w:kern w:val="36"/>
                <w:szCs w:val="21"/>
                <w:lang w:bidi="ar"/>
              </w:rPr>
              <w:t>日取得了临淄区工业和信息化局立项备案证明，备案项目代码：</w:t>
            </w:r>
            <w:r>
              <w:rPr>
                <w:rFonts w:hint="eastAsia" w:cs="Times New Roman"/>
                <w:color w:val="auto"/>
                <w:szCs w:val="21"/>
                <w:lang w:eastAsia="zh-CN"/>
              </w:rPr>
              <w:t>2207-370305-89-01-537708</w:t>
            </w:r>
            <w:r>
              <w:rPr>
                <w:rFonts w:hint="default" w:ascii="Times New Roman" w:hAnsi="Times New Roman" w:cs="Times New Roman"/>
                <w:bCs/>
                <w:color w:val="auto"/>
                <w:kern w:val="36"/>
                <w:szCs w:val="21"/>
                <w:lang w:bidi="ar"/>
              </w:rPr>
              <w:t>，具体证明详见附件。</w:t>
            </w:r>
          </w:p>
          <w:p>
            <w:pPr>
              <w:spacing w:line="36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本项目位于淄博市临淄区农业高新技术示范区农圣路2号</w:t>
            </w:r>
            <w:r>
              <w:rPr>
                <w:rFonts w:hint="default" w:ascii="Times New Roman" w:hAnsi="Times New Roman" w:cs="Times New Roman"/>
                <w:color w:val="auto"/>
                <w:szCs w:val="21"/>
              </w:rPr>
              <w:t>内</w:t>
            </w:r>
            <w:r>
              <w:rPr>
                <w:rFonts w:hint="default" w:ascii="Times New Roman" w:hAnsi="Times New Roman" w:cs="Times New Roman"/>
                <w:color w:val="auto"/>
              </w:rPr>
              <w:t>，</w:t>
            </w:r>
            <w:r>
              <w:rPr>
                <w:rFonts w:hint="default" w:ascii="Times New Roman" w:hAnsi="Times New Roman" w:cs="Times New Roman"/>
                <w:bCs/>
                <w:color w:val="auto"/>
                <w:kern w:val="36"/>
                <w:szCs w:val="21"/>
                <w:highlight w:val="none"/>
                <w:lang w:eastAsia="zh-CN" w:bidi="ar"/>
              </w:rPr>
              <w:t>所在厂区原用于商贸经营（经营者为土地所有人于立堂），无生产活动，因经营不善，</w:t>
            </w:r>
            <w:r>
              <w:rPr>
                <w:rFonts w:hint="eastAsia" w:cs="Times New Roman"/>
                <w:bCs/>
                <w:color w:val="auto"/>
                <w:kern w:val="36"/>
                <w:szCs w:val="21"/>
                <w:highlight w:val="none"/>
                <w:lang w:eastAsia="zh-CN" w:bidi="ar"/>
              </w:rPr>
              <w:t>厂区闲置多年，</w:t>
            </w:r>
            <w:r>
              <w:rPr>
                <w:rFonts w:hint="default" w:ascii="Times New Roman" w:hAnsi="Times New Roman" w:cs="Times New Roman"/>
                <w:bCs/>
                <w:color w:val="auto"/>
                <w:kern w:val="36"/>
                <w:szCs w:val="21"/>
                <w:lang w:eastAsia="zh-CN" w:bidi="ar"/>
              </w:rPr>
              <w:t>山东浩斐生物科技有限公司</w:t>
            </w:r>
            <w:r>
              <w:rPr>
                <w:rFonts w:hint="default" w:ascii="Times New Roman" w:hAnsi="Times New Roman" w:cs="Times New Roman"/>
                <w:color w:val="auto"/>
                <w:lang w:eastAsia="zh-CN"/>
              </w:rPr>
              <w:t>买断</w:t>
            </w:r>
            <w:r>
              <w:rPr>
                <w:rFonts w:hint="eastAsia" w:cs="Times New Roman"/>
                <w:color w:val="auto"/>
                <w:lang w:val="en-US" w:eastAsia="zh-CN"/>
              </w:rPr>
              <w:t>该</w:t>
            </w:r>
            <w:r>
              <w:rPr>
                <w:rFonts w:hint="default" w:ascii="Times New Roman" w:hAnsi="Times New Roman" w:cs="Times New Roman"/>
                <w:color w:val="auto"/>
                <w:lang w:eastAsia="zh-CN"/>
              </w:rPr>
              <w:t>厂区</w:t>
            </w:r>
            <w:r>
              <w:rPr>
                <w:rFonts w:hint="default" w:ascii="Times New Roman" w:hAnsi="Times New Roman" w:cs="Times New Roman"/>
                <w:color w:val="auto"/>
              </w:rPr>
              <w:t>用地手续，土地证号为：</w:t>
            </w:r>
            <w:r>
              <w:rPr>
                <w:rFonts w:hint="eastAsia" w:cs="Times New Roman"/>
                <w:color w:val="auto"/>
                <w:lang w:val="en-US" w:eastAsia="zh-CN"/>
              </w:rPr>
              <w:t>鲁</w:t>
            </w:r>
            <w:r>
              <w:rPr>
                <w:rFonts w:hint="default" w:ascii="Times New Roman" w:hAnsi="Times New Roman" w:cs="Times New Roman"/>
                <w:color w:val="auto"/>
              </w:rPr>
              <w:t>（20</w:t>
            </w:r>
            <w:r>
              <w:rPr>
                <w:rFonts w:hint="eastAsia" w:cs="Times New Roman"/>
                <w:color w:val="auto"/>
                <w:lang w:val="en-US" w:eastAsia="zh-CN"/>
              </w:rPr>
              <w:t>21</w:t>
            </w:r>
            <w:r>
              <w:rPr>
                <w:rFonts w:hint="default" w:ascii="Times New Roman" w:hAnsi="Times New Roman" w:cs="Times New Roman"/>
                <w:color w:val="auto"/>
              </w:rPr>
              <w:t>）</w:t>
            </w:r>
            <w:r>
              <w:rPr>
                <w:rFonts w:hint="eastAsia" w:cs="Times New Roman"/>
                <w:color w:val="auto"/>
                <w:lang w:val="en-US" w:eastAsia="zh-CN"/>
              </w:rPr>
              <w:t>淄博临淄区不动产权</w:t>
            </w:r>
            <w:r>
              <w:rPr>
                <w:rFonts w:hint="default" w:ascii="Times New Roman" w:hAnsi="Times New Roman" w:cs="Times New Roman"/>
                <w:color w:val="auto"/>
              </w:rPr>
              <w:t>第</w:t>
            </w:r>
            <w:r>
              <w:rPr>
                <w:rFonts w:hint="eastAsia" w:cs="Times New Roman"/>
                <w:color w:val="auto"/>
                <w:lang w:val="en-US" w:eastAsia="zh-CN"/>
              </w:rPr>
              <w:t>0043128</w:t>
            </w:r>
            <w:r>
              <w:rPr>
                <w:rFonts w:hint="default" w:ascii="Times New Roman" w:hAnsi="Times New Roman" w:cs="Times New Roman"/>
                <w:color w:val="auto"/>
              </w:rPr>
              <w:t>号</w:t>
            </w:r>
            <w:r>
              <w:rPr>
                <w:rFonts w:hint="eastAsia" w:cs="Times New Roman"/>
                <w:color w:val="auto"/>
                <w:lang w:eastAsia="zh-CN"/>
              </w:rPr>
              <w:t>（</w:t>
            </w:r>
            <w:r>
              <w:rPr>
                <w:rFonts w:hint="default" w:ascii="Times New Roman" w:hAnsi="Times New Roman" w:cs="Times New Roman"/>
                <w:color w:val="auto"/>
              </w:rPr>
              <w:t>见附件）</w:t>
            </w:r>
            <w:r>
              <w:rPr>
                <w:rFonts w:hint="eastAsia" w:cs="Times New Roman"/>
                <w:color w:val="auto"/>
                <w:lang w:eastAsia="zh-CN"/>
              </w:rPr>
              <w:t>，</w:t>
            </w:r>
            <w:r>
              <w:rPr>
                <w:rFonts w:hint="default" w:ascii="Times New Roman" w:hAnsi="Times New Roman" w:cs="Times New Roman"/>
                <w:color w:val="auto"/>
              </w:rPr>
              <w:t>不新征土地。厂区东侧为林地，南侧为农圣路，西侧为</w:t>
            </w:r>
            <w:r>
              <w:rPr>
                <w:rFonts w:hint="eastAsia" w:cs="Times New Roman"/>
                <w:color w:val="auto"/>
                <w:lang w:eastAsia="zh-CN"/>
              </w:rPr>
              <w:t>山东齐源因子科技有限公司</w:t>
            </w:r>
            <w:r>
              <w:rPr>
                <w:rFonts w:hint="default" w:ascii="Times New Roman" w:hAnsi="Times New Roman" w:cs="Times New Roman"/>
                <w:color w:val="auto"/>
              </w:rPr>
              <w:t>，北侧为</w:t>
            </w:r>
            <w:r>
              <w:rPr>
                <w:rFonts w:hint="eastAsia" w:cs="Times New Roman"/>
                <w:color w:val="auto"/>
                <w:lang w:eastAsia="zh-CN"/>
              </w:rPr>
              <w:t>淄博欧齐塑胶有限公司</w:t>
            </w:r>
            <w:r>
              <w:rPr>
                <w:rFonts w:hint="default" w:ascii="Times New Roman" w:hAnsi="Times New Roman" w:cs="Times New Roman"/>
                <w:color w:val="auto"/>
              </w:rPr>
              <w:t>。</w:t>
            </w:r>
          </w:p>
          <w:p>
            <w:pPr>
              <w:spacing w:line="360" w:lineRule="auto"/>
              <w:ind w:firstLine="420" w:firstLineChars="200"/>
              <w:rPr>
                <w:rFonts w:hint="default" w:ascii="Times New Roman" w:hAnsi="Times New Roman" w:cs="Times New Roman"/>
                <w:bCs/>
                <w:color w:val="auto"/>
                <w:kern w:val="36"/>
                <w:szCs w:val="21"/>
                <w:lang w:bidi="ar"/>
              </w:rPr>
            </w:pPr>
            <w:r>
              <w:rPr>
                <w:rFonts w:hint="default" w:ascii="Times New Roman" w:hAnsi="Times New Roman" w:cs="Times New Roman"/>
                <w:bCs/>
                <w:color w:val="auto"/>
                <w:kern w:val="36"/>
                <w:szCs w:val="21"/>
                <w:lang w:bidi="ar"/>
              </w:rPr>
              <w:t>本项目基本情况见下表。</w:t>
            </w:r>
          </w:p>
          <w:p>
            <w:pPr>
              <w:spacing w:line="360" w:lineRule="auto"/>
              <w:jc w:val="center"/>
              <w:rPr>
                <w:rFonts w:hint="default" w:ascii="Times New Roman" w:hAnsi="Times New Roman" w:cs="Times New Roman"/>
                <w:b/>
                <w:kern w:val="36"/>
                <w:szCs w:val="21"/>
                <w:lang w:bidi="ar"/>
              </w:rPr>
            </w:pPr>
            <w:r>
              <w:rPr>
                <w:rFonts w:hint="default" w:ascii="Times New Roman" w:hAnsi="Times New Roman" w:cs="Times New Roman"/>
                <w:b/>
                <w:kern w:val="36"/>
                <w:szCs w:val="21"/>
                <w:lang w:bidi="ar"/>
              </w:rPr>
              <w:t>表</w:t>
            </w:r>
            <w:r>
              <w:rPr>
                <w:rFonts w:hint="eastAsia" w:cs="Times New Roman"/>
                <w:b/>
                <w:kern w:val="36"/>
                <w:szCs w:val="21"/>
                <w:lang w:val="en-US" w:eastAsia="zh-CN" w:bidi="ar"/>
              </w:rPr>
              <w:t>8</w:t>
            </w:r>
            <w:r>
              <w:rPr>
                <w:rFonts w:hint="default" w:ascii="Times New Roman" w:hAnsi="Times New Roman" w:cs="Times New Roman"/>
                <w:b/>
                <w:kern w:val="36"/>
                <w:szCs w:val="21"/>
                <w:lang w:bidi="ar"/>
              </w:rPr>
              <w:t xml:space="preserve">  项目基本情况</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390"/>
              <w:gridCol w:w="3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b/>
                      <w:sz w:val="21"/>
                      <w:szCs w:val="21"/>
                    </w:rPr>
                  </w:pPr>
                  <w:r>
                    <w:rPr>
                      <w:rFonts w:hint="default" w:ascii="Times New Roman" w:hAnsi="Times New Roman" w:cs="Times New Roman"/>
                      <w:b/>
                      <w:sz w:val="21"/>
                      <w:szCs w:val="21"/>
                      <w:lang w:bidi="ar"/>
                    </w:rPr>
                    <w:t>主要指标</w:t>
                  </w:r>
                </w:p>
              </w:tc>
              <w:tc>
                <w:tcPr>
                  <w:tcW w:w="3390"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b/>
                      <w:sz w:val="21"/>
                      <w:szCs w:val="21"/>
                    </w:rPr>
                  </w:pPr>
                  <w:r>
                    <w:rPr>
                      <w:rFonts w:hint="default" w:ascii="Times New Roman" w:hAnsi="Times New Roman" w:cs="Times New Roman"/>
                      <w:b/>
                      <w:sz w:val="21"/>
                      <w:szCs w:val="21"/>
                      <w:lang w:bidi="ar"/>
                    </w:rPr>
                    <w:t>项目</w:t>
                  </w:r>
                </w:p>
              </w:tc>
              <w:tc>
                <w:tcPr>
                  <w:tcW w:w="3445"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b/>
                      <w:sz w:val="21"/>
                      <w:szCs w:val="21"/>
                    </w:rPr>
                  </w:pPr>
                  <w:r>
                    <w:rPr>
                      <w:rFonts w:hint="default" w:ascii="Times New Roman" w:hAnsi="Times New Roman" w:cs="Times New Roman"/>
                      <w:b/>
                      <w:sz w:val="21"/>
                      <w:szCs w:val="21"/>
                      <w:lang w:bidi="ar"/>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sz w:val="21"/>
                      <w:szCs w:val="21"/>
                      <w:lang w:bidi="ar"/>
                    </w:rPr>
                    <w:t>总投资额</w:t>
                  </w:r>
                </w:p>
              </w:tc>
              <w:tc>
                <w:tcPr>
                  <w:tcW w:w="3390"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bidi="ar"/>
                    </w:rPr>
                    <w:t>21</w:t>
                  </w:r>
                  <w:r>
                    <w:rPr>
                      <w:rFonts w:hint="default" w:ascii="Times New Roman" w:hAnsi="Times New Roman" w:cs="Times New Roman"/>
                      <w:sz w:val="21"/>
                      <w:szCs w:val="21"/>
                      <w:lang w:bidi="ar"/>
                    </w:rPr>
                    <w:t>00万元</w:t>
                  </w:r>
                </w:p>
              </w:tc>
              <w:tc>
                <w:tcPr>
                  <w:tcW w:w="3445"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sz w:val="21"/>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sz w:val="21"/>
                      <w:szCs w:val="21"/>
                    </w:rPr>
                    <w:t>环保投资</w:t>
                  </w:r>
                </w:p>
              </w:tc>
              <w:tc>
                <w:tcPr>
                  <w:tcW w:w="3390"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bidi="ar"/>
                    </w:rPr>
                    <w:t>21</w:t>
                  </w:r>
                  <w:r>
                    <w:rPr>
                      <w:rFonts w:hint="default" w:ascii="Times New Roman" w:hAnsi="Times New Roman" w:cs="Times New Roman"/>
                      <w:sz w:val="21"/>
                      <w:szCs w:val="21"/>
                      <w:lang w:bidi="ar"/>
                    </w:rPr>
                    <w:t>万元</w:t>
                  </w:r>
                </w:p>
              </w:tc>
              <w:tc>
                <w:tcPr>
                  <w:tcW w:w="3445"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sz w:val="21"/>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sz w:val="21"/>
                      <w:szCs w:val="21"/>
                      <w:lang w:bidi="ar"/>
                    </w:rPr>
                    <w:t>工程规模</w:t>
                  </w:r>
                </w:p>
              </w:tc>
              <w:tc>
                <w:tcPr>
                  <w:tcW w:w="3390"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highlight w:val="yellow"/>
                    </w:rPr>
                  </w:pPr>
                  <w:r>
                    <w:rPr>
                      <w:rFonts w:hint="default" w:ascii="Times New Roman" w:hAnsi="Times New Roman" w:cs="Times New Roman"/>
                      <w:bCs/>
                      <w:sz w:val="21"/>
                      <w:szCs w:val="21"/>
                      <w:lang w:bidi="ar"/>
                    </w:rPr>
                    <w:t>占地面积</w:t>
                  </w:r>
                  <w:r>
                    <w:rPr>
                      <w:rFonts w:hint="eastAsia" w:ascii="Times New Roman" w:hAnsi="Times New Roman" w:cs="Times New Roman"/>
                      <w:bCs/>
                      <w:sz w:val="21"/>
                      <w:szCs w:val="21"/>
                      <w:lang w:val="en-US" w:eastAsia="zh-CN" w:bidi="ar"/>
                    </w:rPr>
                    <w:t>4030.81</w:t>
                  </w:r>
                  <w:r>
                    <w:rPr>
                      <w:rFonts w:hint="default" w:ascii="Times New Roman" w:hAnsi="Times New Roman" w:cs="Times New Roman"/>
                      <w:sz w:val="21"/>
                      <w:szCs w:val="21"/>
                      <w:lang w:bidi="ar"/>
                    </w:rPr>
                    <w:t>m</w:t>
                  </w:r>
                  <w:r>
                    <w:rPr>
                      <w:rFonts w:hint="default" w:ascii="Times New Roman" w:hAnsi="Times New Roman" w:cs="Times New Roman"/>
                      <w:sz w:val="21"/>
                      <w:szCs w:val="21"/>
                      <w:vertAlign w:val="superscript"/>
                      <w:lang w:bidi="ar"/>
                    </w:rPr>
                    <w:t>2</w:t>
                  </w:r>
                </w:p>
              </w:tc>
              <w:tc>
                <w:tcPr>
                  <w:tcW w:w="3445"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bidi="ar"/>
                    </w:rPr>
                    <w:t>利用现有闲置</w:t>
                  </w:r>
                  <w:r>
                    <w:rPr>
                      <w:rFonts w:hint="default" w:ascii="Times New Roman" w:hAnsi="Times New Roman" w:cs="Times New Roman"/>
                      <w:bCs/>
                      <w:sz w:val="21"/>
                      <w:szCs w:val="21"/>
                      <w:lang w:bidi="ar"/>
                    </w:rPr>
                    <w:t>厂区内</w:t>
                  </w:r>
                  <w:r>
                    <w:rPr>
                      <w:rFonts w:hint="eastAsia" w:ascii="Times New Roman" w:hAnsi="Times New Roman" w:cs="Times New Roman"/>
                      <w:bCs/>
                      <w:sz w:val="21"/>
                      <w:szCs w:val="21"/>
                      <w:lang w:val="en-US" w:eastAsia="zh-CN" w:bidi="ar"/>
                    </w:rPr>
                    <w:t>闲置厂房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sz w:val="21"/>
                      <w:szCs w:val="21"/>
                      <w:lang w:bidi="ar"/>
                    </w:rPr>
                    <w:t>产品产量</w:t>
                  </w:r>
                </w:p>
              </w:tc>
              <w:tc>
                <w:tcPr>
                  <w:tcW w:w="3390" w:type="dxa"/>
                  <w:tcBorders>
                    <w:tl2br w:val="nil"/>
                    <w:tr2bl w:val="nil"/>
                  </w:tcBorders>
                  <w:vAlign w:val="center"/>
                </w:tcPr>
                <w:p>
                  <w:pPr>
                    <w:adjustRightInd w:val="0"/>
                    <w:snapToGrid w:val="0"/>
                    <w:jc w:val="center"/>
                    <w:rPr>
                      <w:rFonts w:hint="default"/>
                      <w:lang w:val="en-US" w:eastAsia="zh-CN"/>
                    </w:rPr>
                  </w:pPr>
                  <w:r>
                    <w:rPr>
                      <w:rFonts w:hint="default"/>
                      <w:lang w:eastAsia="zh-CN"/>
                    </w:rPr>
                    <w:t>SOD食品</w:t>
                  </w:r>
                  <w:r>
                    <w:rPr>
                      <w:rFonts w:hint="eastAsia"/>
                      <w:lang w:eastAsia="zh-CN"/>
                    </w:rPr>
                    <w:t>，</w:t>
                  </w:r>
                  <w:r>
                    <w:rPr>
                      <w:rFonts w:hint="eastAsia"/>
                      <w:lang w:val="en-US" w:eastAsia="zh-CN"/>
                    </w:rPr>
                    <w:t>1038t/a</w:t>
                  </w:r>
                  <w:r>
                    <w:rPr>
                      <w:rFonts w:hint="eastAsia"/>
                      <w:color w:val="auto"/>
                      <w:lang w:val="en-US" w:eastAsia="zh-CN"/>
                    </w:rPr>
                    <w:t>（3460万瓶/年）</w:t>
                  </w:r>
                </w:p>
              </w:tc>
              <w:tc>
                <w:tcPr>
                  <w:tcW w:w="3445" w:type="dxa"/>
                  <w:tcBorders>
                    <w:tl2br w:val="nil"/>
                    <w:tr2bl w:val="nil"/>
                  </w:tcBorders>
                  <w:vAlign w:val="center"/>
                </w:tcPr>
                <w:p>
                  <w:pPr>
                    <w:pStyle w:val="23"/>
                    <w:widowControl w:val="0"/>
                    <w:adjustRightInd w:val="0"/>
                    <w:snapToGrid w:val="0"/>
                    <w:spacing w:before="0" w:beforeAutospacing="0" w:after="0" w:afterAutospacing="0"/>
                    <w:jc w:val="center"/>
                    <w:rPr>
                      <w:rFonts w:hint="eastAsia"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不新增土地，不新建厂房，利用现有闲置车间，</w:t>
                  </w:r>
                  <w:r>
                    <w:rPr>
                      <w:rFonts w:hint="default" w:ascii="Times New Roman" w:hAnsi="Times New Roman" w:cs="Times New Roman"/>
                      <w:bCs/>
                      <w:sz w:val="21"/>
                      <w:szCs w:val="21"/>
                    </w:rPr>
                    <w:t>配套先进的生产设备</w:t>
                  </w:r>
                  <w:r>
                    <w:rPr>
                      <w:rFonts w:hint="eastAsia" w:ascii="Times New Roman" w:hAnsi="Times New Roman" w:cs="Times New Roman"/>
                      <w:bCs/>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sz w:val="21"/>
                      <w:szCs w:val="21"/>
                      <w:lang w:bidi="ar"/>
                    </w:rPr>
                    <w:t>职工人数</w:t>
                  </w:r>
                </w:p>
              </w:tc>
              <w:tc>
                <w:tcPr>
                  <w:tcW w:w="3390"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bidi="ar"/>
                    </w:rPr>
                    <w:t>16</w:t>
                  </w:r>
                  <w:r>
                    <w:rPr>
                      <w:rFonts w:hint="default" w:ascii="Times New Roman" w:hAnsi="Times New Roman" w:cs="Times New Roman"/>
                      <w:sz w:val="21"/>
                      <w:szCs w:val="21"/>
                      <w:lang w:bidi="ar"/>
                    </w:rPr>
                    <w:t>人</w:t>
                  </w:r>
                </w:p>
              </w:tc>
              <w:tc>
                <w:tcPr>
                  <w:tcW w:w="3445"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sz w:val="21"/>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sz w:val="21"/>
                      <w:szCs w:val="21"/>
                      <w:lang w:bidi="ar"/>
                    </w:rPr>
                    <w:t>工作制度</w:t>
                  </w:r>
                </w:p>
              </w:tc>
              <w:tc>
                <w:tcPr>
                  <w:tcW w:w="3390" w:type="dxa"/>
                  <w:tcBorders>
                    <w:tl2br w:val="nil"/>
                    <w:tr2bl w:val="nil"/>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kern w:val="0"/>
                      <w:szCs w:val="21"/>
                      <w:lang w:bidi="ar"/>
                    </w:rPr>
                    <w:t>300天，2400小时</w:t>
                  </w:r>
                </w:p>
              </w:tc>
              <w:tc>
                <w:tcPr>
                  <w:tcW w:w="3445" w:type="dxa"/>
                  <w:tcBorders>
                    <w:tl2br w:val="nil"/>
                    <w:tr2bl w:val="nil"/>
                  </w:tcBorders>
                  <w:vAlign w:val="center"/>
                </w:tcPr>
                <w:p>
                  <w:pPr>
                    <w:pStyle w:val="23"/>
                    <w:widowControl w:val="0"/>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sz w:val="21"/>
                      <w:szCs w:val="21"/>
                      <w:lang w:bidi="ar"/>
                    </w:rPr>
                    <w:t>/</w:t>
                  </w:r>
                </w:p>
              </w:tc>
            </w:tr>
          </w:tbl>
          <w:p>
            <w:pPr>
              <w:spacing w:line="360" w:lineRule="auto"/>
              <w:ind w:firstLine="422" w:firstLineChars="200"/>
              <w:rPr>
                <w:rFonts w:hint="default" w:ascii="Times New Roman" w:hAnsi="Times New Roman" w:cs="Times New Roman"/>
                <w:b/>
                <w:bCs/>
                <w:szCs w:val="21"/>
              </w:rPr>
            </w:pPr>
            <w:r>
              <w:rPr>
                <w:rFonts w:hint="default" w:ascii="Times New Roman" w:hAnsi="Times New Roman" w:cs="Times New Roman"/>
                <w:b/>
                <w:bCs/>
                <w:szCs w:val="21"/>
              </w:rPr>
              <w:t>2.工程内容</w:t>
            </w:r>
          </w:p>
          <w:p>
            <w:pPr>
              <w:spacing w:line="360" w:lineRule="auto"/>
              <w:ind w:firstLine="420" w:firstLineChars="200"/>
              <w:rPr>
                <w:rFonts w:hint="default" w:ascii="Times New Roman" w:hAnsi="Times New Roman" w:cs="Times New Roman"/>
                <w:color w:val="FF0000"/>
                <w:szCs w:val="21"/>
              </w:rPr>
            </w:pPr>
            <w:r>
              <w:rPr>
                <w:rFonts w:hint="default" w:ascii="Times New Roman" w:hAnsi="Times New Roman" w:cs="Times New Roman"/>
                <w:szCs w:val="21"/>
              </w:rPr>
              <w:t>项目厂区主要建筑物包括：办公室、生产车间、仓库等。</w:t>
            </w:r>
          </w:p>
          <w:p>
            <w:pPr>
              <w:pStyle w:val="9"/>
              <w:spacing w:line="36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w:t>
            </w:r>
            <w:r>
              <w:rPr>
                <w:rFonts w:hint="eastAsia" w:cs="Times New Roman"/>
                <w:b/>
                <w:bCs/>
                <w:sz w:val="21"/>
                <w:szCs w:val="21"/>
                <w:lang w:val="en-US" w:eastAsia="zh-CN"/>
              </w:rPr>
              <w:t>9</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 xml:space="preserve"> 主要建、构筑物一览表</w:t>
            </w:r>
          </w:p>
          <w:tbl>
            <w:tblPr>
              <w:tblStyle w:val="26"/>
              <w:tblW w:w="79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080"/>
              <w:gridCol w:w="4680"/>
              <w:gridCol w:w="10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7"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工程名称</w:t>
                  </w:r>
                </w:p>
              </w:tc>
              <w:tc>
                <w:tcPr>
                  <w:tcW w:w="10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项目名称</w:t>
                  </w:r>
                </w:p>
              </w:tc>
              <w:tc>
                <w:tcPr>
                  <w:tcW w:w="46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建设内容及规模</w:t>
                  </w:r>
                </w:p>
              </w:tc>
              <w:tc>
                <w:tcPr>
                  <w:tcW w:w="1065"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7"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主体工程</w:t>
                  </w:r>
                </w:p>
              </w:tc>
              <w:tc>
                <w:tcPr>
                  <w:tcW w:w="1080" w:type="dxa"/>
                  <w:tcBorders>
                    <w:tl2br w:val="nil"/>
                    <w:tr2bl w:val="nil"/>
                  </w:tcBorders>
                  <w:vAlign w:val="center"/>
                </w:tcPr>
                <w:p>
                  <w:pPr>
                    <w:spacing w:line="320" w:lineRule="exact"/>
                    <w:jc w:val="center"/>
                    <w:rPr>
                      <w:rFonts w:hint="default" w:ascii="Times New Roman" w:hAnsi="Times New Roman" w:cs="Times New Roman"/>
                      <w:color w:val="auto"/>
                      <w:szCs w:val="20"/>
                    </w:rPr>
                  </w:pPr>
                  <w:r>
                    <w:rPr>
                      <w:rFonts w:hint="default" w:ascii="Times New Roman" w:hAnsi="Times New Roman" w:cs="Times New Roman"/>
                      <w:color w:val="auto"/>
                      <w:szCs w:val="20"/>
                    </w:rPr>
                    <w:t>生产车间</w:t>
                  </w:r>
                </w:p>
              </w:tc>
              <w:tc>
                <w:tcPr>
                  <w:tcW w:w="4680" w:type="dxa"/>
                  <w:tcBorders>
                    <w:tl2br w:val="nil"/>
                    <w:tr2bl w:val="nil"/>
                  </w:tcBorders>
                  <w:vAlign w:val="center"/>
                </w:tcPr>
                <w:p>
                  <w:pPr>
                    <w:spacing w:line="320" w:lineRule="exact"/>
                    <w:jc w:val="center"/>
                    <w:rPr>
                      <w:rFonts w:hint="default" w:ascii="Times New Roman" w:hAnsi="Times New Roman" w:eastAsia="宋体" w:cs="Times New Roman"/>
                      <w:color w:val="FF0000"/>
                      <w:szCs w:val="20"/>
                      <w:lang w:val="en-US" w:eastAsia="zh-CN"/>
                    </w:rPr>
                  </w:pPr>
                  <w:r>
                    <w:rPr>
                      <w:rFonts w:hint="eastAsia" w:cs="Times New Roman"/>
                      <w:color w:val="auto"/>
                      <w:szCs w:val="20"/>
                      <w:lang w:val="en-US" w:eastAsia="zh-CN"/>
                    </w:rPr>
                    <w:t>2</w:t>
                  </w:r>
                  <w:r>
                    <w:rPr>
                      <w:rFonts w:hint="default" w:ascii="Times New Roman" w:hAnsi="Times New Roman" w:cs="Times New Roman"/>
                      <w:color w:val="auto"/>
                      <w:szCs w:val="20"/>
                    </w:rPr>
                    <w:t>座，</w:t>
                  </w:r>
                  <w:r>
                    <w:rPr>
                      <w:rFonts w:hint="eastAsia" w:cs="Times New Roman"/>
                      <w:color w:val="auto"/>
                      <w:szCs w:val="20"/>
                      <w:lang w:val="en-US" w:eastAsia="zh-CN"/>
                    </w:rPr>
                    <w:t>每座</w:t>
                  </w:r>
                  <w:r>
                    <w:rPr>
                      <w:rFonts w:hint="default" w:ascii="Times New Roman" w:hAnsi="Times New Roman" w:cs="Times New Roman"/>
                      <w:color w:val="auto"/>
                      <w:szCs w:val="20"/>
                    </w:rPr>
                    <w:t>建筑面积约</w:t>
                  </w:r>
                  <w:r>
                    <w:rPr>
                      <w:rFonts w:hint="eastAsia" w:cs="Times New Roman"/>
                      <w:color w:val="auto"/>
                      <w:szCs w:val="20"/>
                      <w:lang w:val="en-US" w:eastAsia="zh-CN"/>
                    </w:rPr>
                    <w:t>5</w:t>
                  </w:r>
                  <w:r>
                    <w:rPr>
                      <w:rFonts w:hint="default" w:ascii="Times New Roman" w:hAnsi="Times New Roman" w:cs="Times New Roman"/>
                      <w:color w:val="auto"/>
                      <w:szCs w:val="20"/>
                    </w:rPr>
                    <w:t>00m</w:t>
                  </w:r>
                  <w:r>
                    <w:rPr>
                      <w:rFonts w:hint="default" w:ascii="Times New Roman" w:hAnsi="Times New Roman" w:cs="Times New Roman"/>
                      <w:color w:val="auto"/>
                      <w:szCs w:val="20"/>
                      <w:vertAlign w:val="superscript"/>
                    </w:rPr>
                    <w:t>2</w:t>
                  </w:r>
                  <w:r>
                    <w:rPr>
                      <w:rFonts w:hint="default" w:ascii="Times New Roman" w:hAnsi="Times New Roman" w:cs="Times New Roman"/>
                      <w:color w:val="auto"/>
                      <w:szCs w:val="20"/>
                    </w:rPr>
                    <w:t>，</w:t>
                  </w:r>
                  <w:r>
                    <w:rPr>
                      <w:rFonts w:hint="eastAsia" w:cs="Times New Roman"/>
                      <w:color w:val="auto"/>
                      <w:szCs w:val="20"/>
                      <w:lang w:val="en-US" w:eastAsia="zh-CN"/>
                    </w:rPr>
                    <w:t>北车间</w:t>
                  </w:r>
                  <w:r>
                    <w:rPr>
                      <w:rFonts w:hint="default" w:ascii="Times New Roman" w:hAnsi="Times New Roman" w:cs="Times New Roman"/>
                      <w:bCs/>
                      <w:color w:val="auto"/>
                      <w:szCs w:val="21"/>
                      <w:lang w:bidi="ar"/>
                    </w:rPr>
                    <w:t>新</w:t>
                  </w:r>
                  <w:r>
                    <w:rPr>
                      <w:rFonts w:hint="eastAsia" w:cs="Times New Roman"/>
                      <w:bCs/>
                      <w:color w:val="auto"/>
                      <w:szCs w:val="21"/>
                      <w:lang w:val="en-US" w:eastAsia="zh-CN" w:bidi="ar"/>
                    </w:rPr>
                    <w:t>上混料机、压片机、包衣机、装瓶机、包装机</w:t>
                  </w:r>
                  <w:r>
                    <w:rPr>
                      <w:rFonts w:hint="default" w:ascii="Times New Roman" w:hAnsi="Times New Roman" w:cs="Times New Roman"/>
                      <w:bCs/>
                      <w:color w:val="auto"/>
                      <w:szCs w:val="21"/>
                      <w:lang w:bidi="ar"/>
                    </w:rPr>
                    <w:t>等设备</w:t>
                  </w:r>
                  <w:r>
                    <w:rPr>
                      <w:rFonts w:hint="eastAsia" w:cs="Times New Roman"/>
                      <w:bCs/>
                      <w:color w:val="auto"/>
                      <w:szCs w:val="21"/>
                      <w:lang w:eastAsia="zh-CN" w:bidi="ar"/>
                    </w:rPr>
                    <w:t>，</w:t>
                  </w:r>
                  <w:r>
                    <w:rPr>
                      <w:rFonts w:hint="eastAsia" w:cs="Times New Roman"/>
                      <w:bCs/>
                      <w:color w:val="auto"/>
                      <w:szCs w:val="21"/>
                      <w:lang w:val="en-US" w:eastAsia="zh-CN" w:bidi="ar"/>
                    </w:rPr>
                    <w:t>南车间新上臭氧消毒机等设备</w:t>
                  </w:r>
                </w:p>
              </w:tc>
              <w:tc>
                <w:tcPr>
                  <w:tcW w:w="1065" w:type="dxa"/>
                  <w:tcBorders>
                    <w:tl2br w:val="nil"/>
                    <w:tr2bl w:val="nil"/>
                  </w:tcBorders>
                  <w:vAlign w:val="center"/>
                </w:tcPr>
                <w:p>
                  <w:pPr>
                    <w:spacing w:line="320" w:lineRule="exact"/>
                    <w:jc w:val="center"/>
                    <w:rPr>
                      <w:rFonts w:hint="default" w:ascii="Times New Roman" w:hAnsi="Times New Roman" w:cs="Times New Roman"/>
                      <w:color w:val="auto"/>
                      <w:szCs w:val="20"/>
                    </w:rPr>
                  </w:pPr>
                  <w:r>
                    <w:rPr>
                      <w:rFonts w:hint="default" w:ascii="Times New Roman" w:hAnsi="Times New Roman" w:cs="Times New Roman"/>
                      <w:bCs/>
                      <w:color w:val="auto"/>
                      <w:szCs w:val="21"/>
                      <w:lang w:bidi="ar"/>
                    </w:rPr>
                    <w:t>现有闲置车间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7"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储运工程</w:t>
                  </w:r>
                </w:p>
              </w:tc>
              <w:tc>
                <w:tcPr>
                  <w:tcW w:w="1080" w:type="dxa"/>
                  <w:tcBorders>
                    <w:tl2br w:val="nil"/>
                    <w:tr2bl w:val="nil"/>
                  </w:tcBorders>
                  <w:vAlign w:val="center"/>
                </w:tcPr>
                <w:p>
                  <w:pPr>
                    <w:spacing w:line="320" w:lineRule="exact"/>
                    <w:jc w:val="center"/>
                    <w:rPr>
                      <w:rFonts w:hint="default" w:ascii="Times New Roman" w:hAnsi="Times New Roman" w:cs="Times New Roman"/>
                      <w:color w:val="auto"/>
                      <w:szCs w:val="20"/>
                    </w:rPr>
                  </w:pPr>
                  <w:r>
                    <w:rPr>
                      <w:rFonts w:hint="default" w:ascii="Times New Roman" w:hAnsi="Times New Roman" w:cs="Times New Roman"/>
                      <w:color w:val="auto"/>
                      <w:szCs w:val="20"/>
                    </w:rPr>
                    <w:t>仓库</w:t>
                  </w:r>
                </w:p>
              </w:tc>
              <w:tc>
                <w:tcPr>
                  <w:tcW w:w="4680" w:type="dxa"/>
                  <w:tcBorders>
                    <w:tl2br w:val="nil"/>
                    <w:tr2bl w:val="nil"/>
                  </w:tcBorders>
                  <w:vAlign w:val="center"/>
                </w:tcPr>
                <w:p>
                  <w:pPr>
                    <w:spacing w:line="320" w:lineRule="exact"/>
                    <w:jc w:val="center"/>
                    <w:rPr>
                      <w:rFonts w:hint="default" w:ascii="Times New Roman" w:hAnsi="Times New Roman" w:cs="Times New Roman"/>
                      <w:bCs/>
                      <w:color w:val="auto"/>
                      <w:szCs w:val="21"/>
                    </w:rPr>
                  </w:pPr>
                  <w:r>
                    <w:rPr>
                      <w:rFonts w:hint="default" w:ascii="Times New Roman" w:hAnsi="Times New Roman" w:cs="Times New Roman"/>
                      <w:color w:val="auto"/>
                      <w:szCs w:val="20"/>
                    </w:rPr>
                    <w:t>1座，建筑面积约5</w:t>
                  </w:r>
                  <w:r>
                    <w:rPr>
                      <w:rFonts w:hint="eastAsia" w:cs="Times New Roman"/>
                      <w:color w:val="auto"/>
                      <w:szCs w:val="20"/>
                      <w:lang w:val="en-US" w:eastAsia="zh-CN"/>
                    </w:rPr>
                    <w:t>6</w:t>
                  </w:r>
                  <w:r>
                    <w:rPr>
                      <w:rFonts w:hint="default" w:ascii="Times New Roman" w:hAnsi="Times New Roman" w:cs="Times New Roman"/>
                      <w:color w:val="auto"/>
                      <w:szCs w:val="20"/>
                    </w:rPr>
                    <w:t>0m</w:t>
                  </w:r>
                  <w:r>
                    <w:rPr>
                      <w:rFonts w:hint="default" w:ascii="Times New Roman" w:hAnsi="Times New Roman" w:cs="Times New Roman"/>
                      <w:color w:val="auto"/>
                      <w:szCs w:val="20"/>
                      <w:vertAlign w:val="superscript"/>
                    </w:rPr>
                    <w:t>2</w:t>
                  </w:r>
                </w:p>
              </w:tc>
              <w:tc>
                <w:tcPr>
                  <w:tcW w:w="1065" w:type="dxa"/>
                  <w:tcBorders>
                    <w:tl2br w:val="nil"/>
                    <w:tr2bl w:val="nil"/>
                  </w:tcBorders>
                  <w:vAlign w:val="center"/>
                </w:tcPr>
                <w:p>
                  <w:pPr>
                    <w:spacing w:line="320" w:lineRule="exact"/>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依托现有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7"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辅助工程</w:t>
                  </w:r>
                </w:p>
              </w:tc>
              <w:tc>
                <w:tcPr>
                  <w:tcW w:w="1080" w:type="dxa"/>
                  <w:tcBorders>
                    <w:tl2br w:val="nil"/>
                    <w:tr2bl w:val="nil"/>
                  </w:tcBorders>
                  <w:vAlign w:val="center"/>
                </w:tcPr>
                <w:p>
                  <w:pPr>
                    <w:spacing w:line="320" w:lineRule="exact"/>
                    <w:jc w:val="center"/>
                    <w:rPr>
                      <w:rFonts w:hint="default" w:ascii="Times New Roman" w:hAnsi="Times New Roman" w:cs="Times New Roman"/>
                      <w:color w:val="auto"/>
                      <w:szCs w:val="20"/>
                    </w:rPr>
                  </w:pPr>
                  <w:r>
                    <w:rPr>
                      <w:rFonts w:hint="default" w:ascii="Times New Roman" w:hAnsi="Times New Roman" w:cs="Times New Roman"/>
                      <w:color w:val="auto"/>
                      <w:szCs w:val="20"/>
                    </w:rPr>
                    <w:t>办公室</w:t>
                  </w:r>
                </w:p>
              </w:tc>
              <w:tc>
                <w:tcPr>
                  <w:tcW w:w="4680" w:type="dxa"/>
                  <w:tcBorders>
                    <w:tl2br w:val="nil"/>
                    <w:tr2bl w:val="nil"/>
                  </w:tcBorders>
                  <w:vAlign w:val="center"/>
                </w:tcPr>
                <w:p>
                  <w:pPr>
                    <w:spacing w:line="320" w:lineRule="exact"/>
                    <w:jc w:val="center"/>
                    <w:rPr>
                      <w:rFonts w:hint="default" w:ascii="Times New Roman" w:hAnsi="Times New Roman" w:cs="Times New Roman"/>
                      <w:color w:val="auto"/>
                      <w:szCs w:val="20"/>
                    </w:rPr>
                  </w:pPr>
                  <w:r>
                    <w:rPr>
                      <w:rFonts w:hint="default" w:ascii="Times New Roman" w:hAnsi="Times New Roman" w:cs="Times New Roman"/>
                      <w:color w:val="auto"/>
                      <w:szCs w:val="20"/>
                    </w:rPr>
                    <w:t>1座，</w:t>
                  </w:r>
                  <w:r>
                    <w:rPr>
                      <w:rFonts w:hint="default" w:ascii="Times New Roman" w:hAnsi="Times New Roman" w:cs="Times New Roman"/>
                      <w:color w:val="auto"/>
                      <w:szCs w:val="21"/>
                    </w:rPr>
                    <w:t>建筑面积3</w:t>
                  </w:r>
                  <w:r>
                    <w:rPr>
                      <w:rFonts w:hint="eastAsia" w:cs="Times New Roman"/>
                      <w:color w:val="auto"/>
                      <w:szCs w:val="21"/>
                      <w:lang w:val="en-US" w:eastAsia="zh-CN"/>
                    </w:rPr>
                    <w:t>21</w:t>
                  </w:r>
                  <w:r>
                    <w:rPr>
                      <w:rFonts w:hint="default" w:ascii="Times New Roman" w:hAnsi="Times New Roman" w:cs="Times New Roman"/>
                      <w:color w:val="auto"/>
                      <w:szCs w:val="21"/>
                    </w:rPr>
                    <w:t>m</w:t>
                  </w:r>
                  <w:r>
                    <w:rPr>
                      <w:rFonts w:hint="default" w:ascii="Times New Roman" w:hAnsi="Times New Roman" w:cs="Times New Roman"/>
                      <w:color w:val="auto"/>
                      <w:szCs w:val="21"/>
                      <w:vertAlign w:val="superscript"/>
                    </w:rPr>
                    <w:t>2</w:t>
                  </w:r>
                </w:p>
              </w:tc>
              <w:tc>
                <w:tcPr>
                  <w:tcW w:w="1065" w:type="dxa"/>
                  <w:tcBorders>
                    <w:tl2br w:val="nil"/>
                    <w:tr2bl w:val="nil"/>
                  </w:tcBorders>
                  <w:vAlign w:val="center"/>
                </w:tcPr>
                <w:p>
                  <w:pPr>
                    <w:spacing w:line="320" w:lineRule="exact"/>
                    <w:jc w:val="center"/>
                    <w:rPr>
                      <w:rFonts w:hint="default" w:ascii="Times New Roman" w:hAnsi="Times New Roman" w:cs="Times New Roman"/>
                      <w:color w:val="auto"/>
                      <w:szCs w:val="20"/>
                    </w:rPr>
                  </w:pPr>
                  <w:r>
                    <w:rPr>
                      <w:rFonts w:hint="default" w:ascii="Times New Roman" w:hAnsi="Times New Roman" w:cs="Times New Roman"/>
                      <w:color w:val="auto"/>
                      <w:szCs w:val="21"/>
                      <w:lang w:bidi="ar"/>
                    </w:rPr>
                    <w:t>依托现有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7" w:type="dxa"/>
                  <w:vMerge w:val="restart"/>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公用工程</w:t>
                  </w:r>
                </w:p>
              </w:tc>
              <w:tc>
                <w:tcPr>
                  <w:tcW w:w="10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供水系统</w:t>
                  </w:r>
                </w:p>
              </w:tc>
              <w:tc>
                <w:tcPr>
                  <w:tcW w:w="4680" w:type="dxa"/>
                  <w:tcBorders>
                    <w:tl2br w:val="nil"/>
                    <w:tr2bl w:val="nil"/>
                  </w:tcBorders>
                  <w:vAlign w:val="center"/>
                </w:tcPr>
                <w:p>
                  <w:pPr>
                    <w:tabs>
                      <w:tab w:val="left" w:pos="1857"/>
                      <w:tab w:val="center" w:pos="2585"/>
                    </w:tabs>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color w:val="auto"/>
                      <w:szCs w:val="20"/>
                    </w:rPr>
                    <w:t>用水量</w:t>
                  </w:r>
                  <w:r>
                    <w:rPr>
                      <w:rFonts w:hint="eastAsia" w:cs="Times New Roman"/>
                      <w:color w:val="auto"/>
                      <w:szCs w:val="20"/>
                      <w:lang w:val="en-US" w:eastAsia="zh-CN"/>
                    </w:rPr>
                    <w:t>24</w:t>
                  </w:r>
                  <w:r>
                    <w:rPr>
                      <w:rFonts w:hint="default" w:ascii="Times New Roman" w:hAnsi="Times New Roman" w:cs="Times New Roman"/>
                      <w:color w:val="auto"/>
                      <w:szCs w:val="20"/>
                    </w:rPr>
                    <w:t>0m</w:t>
                  </w:r>
                  <w:r>
                    <w:rPr>
                      <w:rFonts w:hint="default" w:ascii="Times New Roman" w:hAnsi="Times New Roman" w:cs="Times New Roman"/>
                      <w:color w:val="auto"/>
                      <w:szCs w:val="20"/>
                      <w:vertAlign w:val="superscript"/>
                    </w:rPr>
                    <w:t>3</w:t>
                  </w:r>
                  <w:r>
                    <w:rPr>
                      <w:rFonts w:hint="default" w:ascii="Times New Roman" w:hAnsi="Times New Roman" w:cs="Times New Roman"/>
                      <w:bCs/>
                      <w:color w:val="auto"/>
                      <w:szCs w:val="21"/>
                    </w:rPr>
                    <w:t>/a，由临淄区自来水管网供给</w:t>
                  </w:r>
                </w:p>
              </w:tc>
              <w:tc>
                <w:tcPr>
                  <w:tcW w:w="1065"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依托现有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7" w:type="dxa"/>
                  <w:vMerge w:val="continue"/>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p>
              </w:tc>
              <w:tc>
                <w:tcPr>
                  <w:tcW w:w="10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供电系统</w:t>
                  </w:r>
                </w:p>
              </w:tc>
              <w:tc>
                <w:tcPr>
                  <w:tcW w:w="46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用电量为</w:t>
                  </w:r>
                  <w:r>
                    <w:rPr>
                      <w:rFonts w:hint="eastAsia" w:cs="Times New Roman"/>
                      <w:bCs/>
                      <w:color w:val="auto"/>
                      <w:szCs w:val="21"/>
                      <w:lang w:val="en-US" w:eastAsia="zh-CN"/>
                    </w:rPr>
                    <w:t>2</w:t>
                  </w:r>
                  <w:r>
                    <w:rPr>
                      <w:rFonts w:hint="default" w:ascii="Times New Roman" w:hAnsi="Times New Roman" w:cs="Times New Roman"/>
                      <w:bCs/>
                      <w:color w:val="auto"/>
                      <w:szCs w:val="21"/>
                    </w:rPr>
                    <w:t>万kWh/a，由临淄区供电电网接入</w:t>
                  </w:r>
                </w:p>
              </w:tc>
              <w:tc>
                <w:tcPr>
                  <w:tcW w:w="1065"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依托现有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7" w:type="dxa"/>
                  <w:vMerge w:val="restart"/>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环保工程</w:t>
                  </w:r>
                </w:p>
              </w:tc>
              <w:tc>
                <w:tcPr>
                  <w:tcW w:w="10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废气处理</w:t>
                  </w:r>
                </w:p>
              </w:tc>
              <w:tc>
                <w:tcPr>
                  <w:tcW w:w="46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布袋除尘装置</w:t>
                  </w:r>
                </w:p>
              </w:tc>
              <w:tc>
                <w:tcPr>
                  <w:tcW w:w="1065"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color w:val="auto"/>
                      <w:szCs w:val="21"/>
                      <w:lang w:bidi="ar"/>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7" w:type="dxa"/>
                  <w:vMerge w:val="continue"/>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highlight w:val="yellow"/>
                    </w:rPr>
                  </w:pPr>
                </w:p>
              </w:tc>
              <w:tc>
                <w:tcPr>
                  <w:tcW w:w="10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废水处理</w:t>
                  </w:r>
                </w:p>
              </w:tc>
              <w:tc>
                <w:tcPr>
                  <w:tcW w:w="4680" w:type="dxa"/>
                  <w:tcBorders>
                    <w:tl2br w:val="nil"/>
                    <w:tr2bl w:val="nil"/>
                  </w:tcBorders>
                  <w:vAlign w:val="center"/>
                </w:tcPr>
                <w:p>
                  <w:pPr>
                    <w:autoSpaceDN w:val="0"/>
                    <w:adjustRightInd w:val="0"/>
                    <w:snapToGrid w:val="0"/>
                    <w:spacing w:line="340" w:lineRule="exact"/>
                    <w:jc w:val="center"/>
                    <w:textAlignment w:val="center"/>
                    <w:rPr>
                      <w:rFonts w:hint="eastAsia" w:ascii="Times New Roman" w:hAnsi="Times New Roman" w:eastAsia="宋体" w:cs="Times New Roman"/>
                      <w:bCs/>
                      <w:color w:val="auto"/>
                      <w:szCs w:val="21"/>
                      <w:lang w:eastAsia="zh-CN"/>
                    </w:rPr>
                  </w:pPr>
                  <w:r>
                    <w:rPr>
                      <w:rFonts w:hint="default" w:ascii="Times New Roman" w:hAnsi="Times New Roman" w:cs="Times New Roman"/>
                      <w:bCs/>
                      <w:color w:val="auto"/>
                      <w:szCs w:val="21"/>
                    </w:rPr>
                    <w:t>主要为生活污水。生活污水进入厂区化粪池处理后定期由环卫部门定期清运</w:t>
                  </w:r>
                  <w:r>
                    <w:rPr>
                      <w:rFonts w:hint="eastAsia" w:cs="Times New Roman"/>
                      <w:bCs/>
                      <w:color w:val="auto"/>
                      <w:szCs w:val="21"/>
                      <w:lang w:eastAsia="zh-CN"/>
                    </w:rPr>
                    <w:t>。</w:t>
                  </w:r>
                </w:p>
              </w:tc>
              <w:tc>
                <w:tcPr>
                  <w:tcW w:w="1065"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依托现有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7" w:type="dxa"/>
                  <w:vMerge w:val="continue"/>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highlight w:val="yellow"/>
                    </w:rPr>
                  </w:pPr>
                </w:p>
              </w:tc>
              <w:tc>
                <w:tcPr>
                  <w:tcW w:w="10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固废处理</w:t>
                  </w:r>
                </w:p>
              </w:tc>
              <w:tc>
                <w:tcPr>
                  <w:tcW w:w="46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一般固废暂存</w:t>
                  </w:r>
                </w:p>
              </w:tc>
              <w:tc>
                <w:tcPr>
                  <w:tcW w:w="1065" w:type="dxa"/>
                  <w:tcBorders>
                    <w:tl2br w:val="nil"/>
                    <w:tr2bl w:val="nil"/>
                  </w:tcBorders>
                  <w:vAlign w:val="center"/>
                </w:tcPr>
                <w:p>
                  <w:pPr>
                    <w:autoSpaceDN w:val="0"/>
                    <w:adjustRightInd w:val="0"/>
                    <w:snapToGrid w:val="0"/>
                    <w:spacing w:line="340" w:lineRule="exact"/>
                    <w:jc w:val="center"/>
                    <w:textAlignment w:val="center"/>
                    <w:rPr>
                      <w:rFonts w:hint="eastAsia" w:ascii="Times New Roman" w:hAnsi="Times New Roman" w:eastAsia="宋体" w:cs="Times New Roman"/>
                      <w:bCs/>
                      <w:color w:val="auto"/>
                      <w:szCs w:val="21"/>
                      <w:lang w:eastAsia="zh-CN"/>
                    </w:rPr>
                  </w:pPr>
                  <w:r>
                    <w:rPr>
                      <w:rFonts w:hint="eastAsia" w:cs="Times New Roman"/>
                      <w:bCs/>
                      <w:color w:val="auto"/>
                      <w:szCs w:val="21"/>
                      <w:lang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7" w:type="dxa"/>
                  <w:vMerge w:val="continue"/>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highlight w:val="yellow"/>
                    </w:rPr>
                  </w:pPr>
                </w:p>
              </w:tc>
              <w:tc>
                <w:tcPr>
                  <w:tcW w:w="10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噪声处理</w:t>
                  </w:r>
                </w:p>
              </w:tc>
              <w:tc>
                <w:tcPr>
                  <w:tcW w:w="46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隔声、减振设施</w:t>
                  </w:r>
                </w:p>
              </w:tc>
              <w:tc>
                <w:tcPr>
                  <w:tcW w:w="1065"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color w:val="auto"/>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7" w:type="dxa"/>
                  <w:vMerge w:val="continue"/>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highlight w:val="yellow"/>
                    </w:rPr>
                  </w:pPr>
                </w:p>
              </w:tc>
              <w:tc>
                <w:tcPr>
                  <w:tcW w:w="10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rPr>
                    <w:t>其他</w:t>
                  </w:r>
                </w:p>
              </w:tc>
              <w:tc>
                <w:tcPr>
                  <w:tcW w:w="4680"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bCs/>
                      <w:color w:val="auto"/>
                      <w:szCs w:val="21"/>
                    </w:rPr>
                  </w:pPr>
                  <w:r>
                    <w:rPr>
                      <w:rFonts w:hint="default" w:ascii="Times New Roman" w:hAnsi="Times New Roman" w:cs="Times New Roman"/>
                      <w:color w:val="auto"/>
                    </w:rPr>
                    <w:t>厂区地面防渗处理</w:t>
                  </w:r>
                </w:p>
              </w:tc>
              <w:tc>
                <w:tcPr>
                  <w:tcW w:w="1065"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eastAsia="宋体" w:cs="Times New Roman"/>
                      <w:bCs/>
                      <w:color w:val="auto"/>
                      <w:szCs w:val="21"/>
                      <w:lang w:val="en-US" w:eastAsia="zh-CN"/>
                    </w:rPr>
                  </w:pPr>
                  <w:r>
                    <w:rPr>
                      <w:rFonts w:hint="eastAsia" w:cs="Times New Roman"/>
                      <w:bCs/>
                      <w:color w:val="auto"/>
                      <w:szCs w:val="21"/>
                      <w:lang w:val="en-US" w:eastAsia="zh-CN"/>
                    </w:rPr>
                    <w:t>依托现有修缮维护</w:t>
                  </w:r>
                </w:p>
              </w:tc>
            </w:tr>
          </w:tbl>
          <w:p>
            <w:pPr>
              <w:spacing w:line="360" w:lineRule="auto"/>
              <w:ind w:firstLine="422" w:firstLineChars="200"/>
              <w:rPr>
                <w:rFonts w:hint="default" w:ascii="Times New Roman" w:hAnsi="Times New Roman" w:cs="Times New Roman"/>
                <w:b/>
                <w:bCs/>
                <w:szCs w:val="21"/>
              </w:rPr>
            </w:pPr>
            <w:r>
              <w:rPr>
                <w:rFonts w:hint="eastAsia" w:cs="Times New Roman"/>
                <w:b/>
                <w:bCs/>
                <w:szCs w:val="21"/>
                <w:lang w:val="en-US" w:eastAsia="zh-CN"/>
              </w:rPr>
              <w:t>3</w:t>
            </w:r>
            <w:r>
              <w:rPr>
                <w:rFonts w:hint="default" w:ascii="Times New Roman" w:hAnsi="Times New Roman" w:cs="Times New Roman"/>
                <w:b/>
                <w:bCs/>
                <w:szCs w:val="21"/>
              </w:rPr>
              <w:t>.主要设备</w:t>
            </w:r>
          </w:p>
          <w:p>
            <w:pPr>
              <w:pStyle w:val="9"/>
              <w:spacing w:line="360" w:lineRule="auto"/>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w:t>
            </w:r>
            <w:r>
              <w:rPr>
                <w:rFonts w:hint="default" w:ascii="Times New Roman" w:hAnsi="Times New Roman" w:cs="Times New Roman"/>
                <w:b/>
                <w:bCs/>
                <w:color w:val="auto"/>
                <w:sz w:val="21"/>
                <w:szCs w:val="21"/>
                <w:lang w:val="en-US" w:eastAsia="zh-CN"/>
              </w:rPr>
              <w:t>1</w:t>
            </w:r>
            <w:r>
              <w:rPr>
                <w:rFonts w:hint="eastAsia" w:cs="Times New Roman"/>
                <w:b/>
                <w:bCs/>
                <w:color w:val="auto"/>
                <w:sz w:val="21"/>
                <w:szCs w:val="21"/>
                <w:lang w:val="en-US" w:eastAsia="zh-CN"/>
              </w:rPr>
              <w:t>0</w:t>
            </w:r>
            <w:r>
              <w:rPr>
                <w:rFonts w:hint="default" w:ascii="Times New Roman" w:hAnsi="Times New Roman" w:cs="Times New Roman"/>
                <w:b/>
                <w:bCs/>
                <w:color w:val="auto"/>
                <w:sz w:val="21"/>
                <w:szCs w:val="21"/>
              </w:rPr>
              <w:t xml:space="preserve">  项目生产设备一览表</w:t>
            </w:r>
          </w:p>
          <w:tbl>
            <w:tblPr>
              <w:tblStyle w:val="26"/>
              <w:tblW w:w="791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65"/>
              <w:gridCol w:w="1590"/>
              <w:gridCol w:w="1755"/>
              <w:gridCol w:w="915"/>
              <w:gridCol w:w="1065"/>
              <w:gridCol w:w="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6" w:type="dxa"/>
                  <w:tcBorders>
                    <w:tl2br w:val="nil"/>
                    <w:tr2bl w:val="nil"/>
                  </w:tcBorders>
                  <w:noWrap/>
                  <w:vAlign w:val="center"/>
                </w:tcPr>
                <w:p>
                  <w:pPr>
                    <w:widowControl/>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序号</w:t>
                  </w:r>
                </w:p>
              </w:tc>
              <w:tc>
                <w:tcPr>
                  <w:tcW w:w="2655" w:type="dxa"/>
                  <w:gridSpan w:val="2"/>
                  <w:tcBorders>
                    <w:tl2br w:val="nil"/>
                    <w:tr2bl w:val="nil"/>
                  </w:tcBorders>
                  <w:vAlign w:val="center"/>
                </w:tcPr>
                <w:p>
                  <w:pPr>
                    <w:widowControl/>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设备名称</w:t>
                  </w:r>
                </w:p>
              </w:tc>
              <w:tc>
                <w:tcPr>
                  <w:tcW w:w="1755" w:type="dxa"/>
                  <w:tcBorders>
                    <w:tl2br w:val="nil"/>
                    <w:tr2bl w:val="nil"/>
                  </w:tcBorders>
                  <w:noWrap/>
                  <w:vAlign w:val="center"/>
                </w:tcPr>
                <w:p>
                  <w:pPr>
                    <w:widowControl/>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设备型号</w:t>
                  </w:r>
                </w:p>
              </w:tc>
              <w:tc>
                <w:tcPr>
                  <w:tcW w:w="915" w:type="dxa"/>
                  <w:tcBorders>
                    <w:tl2br w:val="nil"/>
                    <w:tr2bl w:val="nil"/>
                  </w:tcBorders>
                  <w:noWrap/>
                  <w:vAlign w:val="center"/>
                </w:tcPr>
                <w:p>
                  <w:pPr>
                    <w:widowControl/>
                    <w:jc w:val="center"/>
                    <w:rPr>
                      <w:rFonts w:hint="default" w:ascii="Times New Roman" w:hAnsi="Times New Roman" w:eastAsia="宋体" w:cs="Times New Roman"/>
                      <w:b/>
                      <w:bCs/>
                      <w:color w:val="auto"/>
                      <w:kern w:val="0"/>
                      <w:szCs w:val="21"/>
                      <w:lang w:eastAsia="zh-CN"/>
                    </w:rPr>
                  </w:pPr>
                  <w:r>
                    <w:rPr>
                      <w:rFonts w:hint="default" w:ascii="Times New Roman" w:hAnsi="Times New Roman" w:cs="Times New Roman"/>
                      <w:b/>
                      <w:bCs/>
                      <w:color w:val="auto"/>
                      <w:kern w:val="0"/>
                      <w:szCs w:val="21"/>
                      <w:lang w:eastAsia="zh-CN"/>
                    </w:rPr>
                    <w:t>材质</w:t>
                  </w:r>
                </w:p>
              </w:tc>
              <w:tc>
                <w:tcPr>
                  <w:tcW w:w="1065" w:type="dxa"/>
                  <w:tcBorders>
                    <w:tl2br w:val="nil"/>
                    <w:tr2bl w:val="nil"/>
                  </w:tcBorders>
                  <w:noWrap/>
                  <w:vAlign w:val="center"/>
                </w:tcPr>
                <w:p>
                  <w:pPr>
                    <w:widowControl/>
                    <w:jc w:val="center"/>
                    <w:rPr>
                      <w:rFonts w:hint="default" w:ascii="Times New Roman" w:hAnsi="Times New Roman" w:cs="Times New Roman"/>
                      <w:b/>
                      <w:bCs/>
                      <w:color w:val="auto"/>
                      <w:kern w:val="0"/>
                      <w:szCs w:val="21"/>
                    </w:rPr>
                  </w:pPr>
                  <w:r>
                    <w:rPr>
                      <w:rFonts w:hint="eastAsia" w:cs="Times New Roman"/>
                      <w:b/>
                      <w:bCs/>
                      <w:color w:val="auto"/>
                      <w:kern w:val="0"/>
                      <w:szCs w:val="21"/>
                      <w:lang w:val="en-US" w:eastAsia="zh-CN"/>
                    </w:rPr>
                    <w:t>数量（套）</w:t>
                  </w:r>
                </w:p>
              </w:tc>
              <w:tc>
                <w:tcPr>
                  <w:tcW w:w="829" w:type="dxa"/>
                  <w:tcBorders>
                    <w:tl2br w:val="nil"/>
                    <w:tr2bl w:val="nil"/>
                  </w:tcBorders>
                  <w:noWrap/>
                  <w:vAlign w:val="center"/>
                </w:tcPr>
                <w:p>
                  <w:pPr>
                    <w:widowControl/>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6" w:type="dxa"/>
                  <w:vMerge w:val="restart"/>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r>
                    <w:rPr>
                      <w:rFonts w:hint="default" w:ascii="Times New Roman" w:hAnsi="Times New Roman" w:cs="Times New Roman" w:eastAsiaTheme="minorEastAsia"/>
                      <w:color w:val="auto"/>
                      <w:kern w:val="0"/>
                      <w:szCs w:val="21"/>
                    </w:rPr>
                    <w:t>1</w:t>
                  </w:r>
                </w:p>
              </w:tc>
              <w:tc>
                <w:tcPr>
                  <w:tcW w:w="1065" w:type="dxa"/>
                  <w:vMerge w:val="restart"/>
                  <w:tcBorders>
                    <w:tl2br w:val="nil"/>
                    <w:tr2bl w:val="nil"/>
                  </w:tcBorders>
                  <w:vAlign w:val="center"/>
                </w:tcPr>
                <w:p>
                  <w:pPr>
                    <w:widowControl/>
                    <w:jc w:val="center"/>
                    <w:rPr>
                      <w:rFonts w:hint="default" w:ascii="Times New Roman" w:hAnsi="Times New Roman" w:cs="Times New Roman" w:eastAsiaTheme="minorEastAsia"/>
                      <w:color w:val="auto"/>
                      <w:kern w:val="0"/>
                      <w:szCs w:val="21"/>
                      <w:lang w:val="en-US" w:eastAsia="zh-CN"/>
                    </w:rPr>
                  </w:pPr>
                  <w:r>
                    <w:rPr>
                      <w:rFonts w:hint="eastAsia" w:cs="Times New Roman" w:eastAsiaTheme="minorEastAsia"/>
                      <w:color w:val="auto"/>
                      <w:kern w:val="0"/>
                      <w:szCs w:val="21"/>
                      <w:lang w:val="en-US" w:eastAsia="zh-CN"/>
                    </w:rPr>
                    <w:t>全自动生产线</w:t>
                  </w:r>
                </w:p>
              </w:tc>
              <w:tc>
                <w:tcPr>
                  <w:tcW w:w="1590" w:type="dxa"/>
                  <w:tcBorders>
                    <w:tl2br w:val="nil"/>
                    <w:tr2bl w:val="nil"/>
                  </w:tcBorders>
                  <w:vAlign w:val="center"/>
                </w:tcPr>
                <w:p>
                  <w:pPr>
                    <w:widowControl/>
                    <w:jc w:val="center"/>
                    <w:rPr>
                      <w:rFonts w:hint="eastAsia"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Cs w:val="21"/>
                      <w:lang w:eastAsia="zh-CN"/>
                    </w:rPr>
                    <w:t>混料机</w:t>
                  </w:r>
                </w:p>
              </w:tc>
              <w:tc>
                <w:tcPr>
                  <w:tcW w:w="1755" w:type="dxa"/>
                  <w:tcBorders>
                    <w:tl2br w:val="nil"/>
                    <w:tr2bl w:val="nil"/>
                  </w:tcBorders>
                  <w:noWrap/>
                  <w:vAlign w:val="center"/>
                </w:tcPr>
                <w:p>
                  <w:pPr>
                    <w:widowControl/>
                    <w:jc w:val="center"/>
                    <w:rPr>
                      <w:rFonts w:hint="eastAsia" w:ascii="Times New Roman" w:hAnsi="Times New Roman" w:cs="Times New Roman" w:eastAsiaTheme="minorEastAsia"/>
                      <w:color w:val="auto"/>
                      <w:kern w:val="0"/>
                      <w:szCs w:val="21"/>
                      <w:highlight w:val="yellow"/>
                      <w:lang w:eastAsia="zh-CN"/>
                    </w:rPr>
                  </w:pPr>
                  <w:r>
                    <w:rPr>
                      <w:rFonts w:hint="eastAsia" w:cs="Times New Roman" w:eastAsiaTheme="minorEastAsia"/>
                      <w:color w:val="auto"/>
                      <w:kern w:val="0"/>
                      <w:szCs w:val="21"/>
                      <w:highlight w:val="none"/>
                      <w:lang w:val="en-US" w:eastAsia="zh-CN"/>
                    </w:rPr>
                    <w:t>SYH-1500</w:t>
                  </w:r>
                </w:p>
              </w:tc>
              <w:tc>
                <w:tcPr>
                  <w:tcW w:w="915" w:type="dxa"/>
                  <w:vMerge w:val="restart"/>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lang w:val="en-US" w:eastAsia="zh-CN"/>
                    </w:rPr>
                  </w:pPr>
                  <w:r>
                    <w:rPr>
                      <w:rFonts w:hint="default" w:ascii="Times New Roman" w:hAnsi="Times New Roman" w:cs="Times New Roman" w:eastAsiaTheme="minorEastAsia"/>
                      <w:color w:val="auto"/>
                      <w:kern w:val="0"/>
                      <w:szCs w:val="21"/>
                      <w:lang w:eastAsia="zh-CN"/>
                    </w:rPr>
                    <w:t>不锈钢</w:t>
                  </w:r>
                </w:p>
              </w:tc>
              <w:tc>
                <w:tcPr>
                  <w:tcW w:w="1065" w:type="dxa"/>
                  <w:vMerge w:val="restart"/>
                  <w:tcBorders>
                    <w:tl2br w:val="nil"/>
                    <w:tr2bl w:val="nil"/>
                  </w:tcBorders>
                  <w:noWrap/>
                  <w:vAlign w:val="center"/>
                </w:tcPr>
                <w:p>
                  <w:pPr>
                    <w:widowControl/>
                    <w:jc w:val="center"/>
                    <w:rPr>
                      <w:rFonts w:hint="eastAsia" w:ascii="Times New Roman" w:hAnsi="Times New Roman" w:cs="Times New Roman" w:eastAsiaTheme="minorEastAsia"/>
                      <w:color w:val="auto"/>
                      <w:kern w:val="0"/>
                      <w:szCs w:val="21"/>
                      <w:lang w:eastAsia="zh-CN"/>
                    </w:rPr>
                  </w:pPr>
                  <w:r>
                    <w:rPr>
                      <w:rFonts w:hint="eastAsia" w:cs="Times New Roman" w:eastAsiaTheme="minorEastAsia"/>
                      <w:color w:val="auto"/>
                      <w:kern w:val="0"/>
                      <w:szCs w:val="21"/>
                      <w:lang w:val="en-US" w:eastAsia="zh-CN"/>
                    </w:rPr>
                    <w:t>3</w:t>
                  </w:r>
                </w:p>
              </w:tc>
              <w:tc>
                <w:tcPr>
                  <w:tcW w:w="829" w:type="dxa"/>
                  <w:vMerge w:val="restart"/>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r>
                    <w:rPr>
                      <w:rFonts w:hint="default" w:ascii="Times New Roman" w:hAnsi="Times New Roman" w:cs="Times New Roman" w:eastAsiaTheme="minorEastAsia"/>
                      <w:color w:val="auto"/>
                      <w:kern w:val="0"/>
                      <w:szCs w:val="21"/>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6"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p>
              </w:tc>
              <w:tc>
                <w:tcPr>
                  <w:tcW w:w="1065" w:type="dxa"/>
                  <w:vMerge w:val="continue"/>
                  <w:tcBorders>
                    <w:tl2br w:val="nil"/>
                    <w:tr2bl w:val="nil"/>
                  </w:tcBorders>
                  <w:vAlign w:val="center"/>
                </w:tcPr>
                <w:p>
                  <w:pPr>
                    <w:widowControl/>
                    <w:jc w:val="center"/>
                    <w:rPr>
                      <w:rFonts w:hint="eastAsia" w:ascii="Times New Roman" w:hAnsi="Times New Roman" w:cs="Times New Roman" w:eastAsiaTheme="minorEastAsia"/>
                      <w:color w:val="auto"/>
                      <w:kern w:val="0"/>
                      <w:szCs w:val="21"/>
                      <w:lang w:eastAsia="zh-CN"/>
                    </w:rPr>
                  </w:pPr>
                </w:p>
              </w:tc>
              <w:tc>
                <w:tcPr>
                  <w:tcW w:w="1590" w:type="dxa"/>
                  <w:tcBorders>
                    <w:tl2br w:val="nil"/>
                    <w:tr2bl w:val="nil"/>
                  </w:tcBorders>
                  <w:vAlign w:val="center"/>
                </w:tcPr>
                <w:p>
                  <w:pPr>
                    <w:widowControl/>
                    <w:jc w:val="center"/>
                    <w:rPr>
                      <w:rFonts w:hint="eastAsia"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Cs w:val="21"/>
                      <w:lang w:eastAsia="zh-CN"/>
                    </w:rPr>
                    <w:t>压片机</w:t>
                  </w:r>
                </w:p>
              </w:tc>
              <w:tc>
                <w:tcPr>
                  <w:tcW w:w="1755" w:type="dxa"/>
                  <w:tcBorders>
                    <w:tl2br w:val="nil"/>
                    <w:tr2bl w:val="nil"/>
                  </w:tcBorders>
                  <w:noWrap/>
                  <w:vAlign w:val="center"/>
                </w:tcPr>
                <w:p>
                  <w:pPr>
                    <w:widowControl/>
                    <w:jc w:val="center"/>
                    <w:rPr>
                      <w:rFonts w:hint="default" w:cs="Times New Roman" w:eastAsiaTheme="minorEastAsia"/>
                      <w:color w:val="auto"/>
                      <w:kern w:val="0"/>
                      <w:szCs w:val="21"/>
                      <w:highlight w:val="none"/>
                      <w:lang w:val="en-US" w:eastAsia="zh-CN"/>
                    </w:rPr>
                  </w:pPr>
                  <w:r>
                    <w:rPr>
                      <w:rFonts w:hint="eastAsia" w:cs="Times New Roman" w:eastAsiaTheme="minorEastAsia"/>
                      <w:color w:val="auto"/>
                      <w:kern w:val="0"/>
                      <w:szCs w:val="21"/>
                      <w:highlight w:val="none"/>
                      <w:lang w:val="en-US" w:eastAsia="zh-CN"/>
                    </w:rPr>
                    <w:t>ZP15-17-19</w:t>
                  </w:r>
                </w:p>
              </w:tc>
              <w:tc>
                <w:tcPr>
                  <w:tcW w:w="915"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p>
              </w:tc>
              <w:tc>
                <w:tcPr>
                  <w:tcW w:w="1065" w:type="dxa"/>
                  <w:vMerge w:val="continue"/>
                  <w:tcBorders>
                    <w:tl2br w:val="nil"/>
                    <w:tr2bl w:val="nil"/>
                  </w:tcBorders>
                  <w:noWrap/>
                  <w:vAlign w:val="center"/>
                </w:tcPr>
                <w:p>
                  <w:pPr>
                    <w:widowControl/>
                    <w:jc w:val="center"/>
                    <w:rPr>
                      <w:rFonts w:hint="eastAsia" w:ascii="Times New Roman" w:hAnsi="Times New Roman" w:cs="Times New Roman" w:eastAsiaTheme="minorEastAsia"/>
                      <w:color w:val="auto"/>
                      <w:kern w:val="0"/>
                      <w:szCs w:val="21"/>
                      <w:lang w:eastAsia="zh-CN"/>
                    </w:rPr>
                  </w:pPr>
                </w:p>
              </w:tc>
              <w:tc>
                <w:tcPr>
                  <w:tcW w:w="829"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6"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p>
              </w:tc>
              <w:tc>
                <w:tcPr>
                  <w:tcW w:w="1065" w:type="dxa"/>
                  <w:vMerge w:val="continue"/>
                  <w:tcBorders>
                    <w:tl2br w:val="nil"/>
                    <w:tr2bl w:val="nil"/>
                  </w:tcBorders>
                  <w:vAlign w:val="center"/>
                </w:tcPr>
                <w:p>
                  <w:pPr>
                    <w:widowControl/>
                    <w:jc w:val="center"/>
                    <w:rPr>
                      <w:rFonts w:hint="eastAsia" w:ascii="Times New Roman" w:hAnsi="Times New Roman" w:cs="Times New Roman" w:eastAsiaTheme="minorEastAsia"/>
                      <w:color w:val="auto"/>
                      <w:kern w:val="0"/>
                      <w:szCs w:val="21"/>
                      <w:lang w:eastAsia="zh-CN"/>
                    </w:rPr>
                  </w:pPr>
                </w:p>
              </w:tc>
              <w:tc>
                <w:tcPr>
                  <w:tcW w:w="1590" w:type="dxa"/>
                  <w:tcBorders>
                    <w:tl2br w:val="nil"/>
                    <w:tr2bl w:val="nil"/>
                  </w:tcBorders>
                  <w:vAlign w:val="center"/>
                </w:tcPr>
                <w:p>
                  <w:pPr>
                    <w:widowControl/>
                    <w:jc w:val="center"/>
                    <w:rPr>
                      <w:rFonts w:hint="eastAsia"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Cs w:val="21"/>
                      <w:lang w:eastAsia="zh-CN"/>
                    </w:rPr>
                    <w:t>包衣机</w:t>
                  </w:r>
                </w:p>
              </w:tc>
              <w:tc>
                <w:tcPr>
                  <w:tcW w:w="1755" w:type="dxa"/>
                  <w:tcBorders>
                    <w:tl2br w:val="nil"/>
                    <w:tr2bl w:val="nil"/>
                  </w:tcBorders>
                  <w:noWrap/>
                  <w:vAlign w:val="center"/>
                </w:tcPr>
                <w:p>
                  <w:pPr>
                    <w:widowControl/>
                    <w:jc w:val="center"/>
                    <w:rPr>
                      <w:rFonts w:hint="default" w:cs="Times New Roman" w:eastAsiaTheme="minorEastAsia"/>
                      <w:color w:val="auto"/>
                      <w:kern w:val="0"/>
                      <w:szCs w:val="21"/>
                      <w:highlight w:val="none"/>
                      <w:lang w:val="en-US" w:eastAsia="zh-CN"/>
                    </w:rPr>
                  </w:pPr>
                  <w:r>
                    <w:rPr>
                      <w:rFonts w:hint="eastAsia" w:cs="Times New Roman" w:eastAsiaTheme="minorEastAsia"/>
                      <w:color w:val="auto"/>
                      <w:kern w:val="0"/>
                      <w:szCs w:val="21"/>
                      <w:highlight w:val="none"/>
                      <w:lang w:val="en-US" w:eastAsia="zh-CN"/>
                    </w:rPr>
                    <w:t>BG_G-150</w:t>
                  </w:r>
                </w:p>
              </w:tc>
              <w:tc>
                <w:tcPr>
                  <w:tcW w:w="915"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p>
              </w:tc>
              <w:tc>
                <w:tcPr>
                  <w:tcW w:w="1065" w:type="dxa"/>
                  <w:vMerge w:val="continue"/>
                  <w:tcBorders>
                    <w:tl2br w:val="nil"/>
                    <w:tr2bl w:val="nil"/>
                  </w:tcBorders>
                  <w:noWrap/>
                  <w:vAlign w:val="center"/>
                </w:tcPr>
                <w:p>
                  <w:pPr>
                    <w:widowControl/>
                    <w:jc w:val="center"/>
                    <w:rPr>
                      <w:rFonts w:hint="eastAsia" w:ascii="Times New Roman" w:hAnsi="Times New Roman" w:cs="Times New Roman" w:eastAsiaTheme="minorEastAsia"/>
                      <w:color w:val="auto"/>
                      <w:kern w:val="0"/>
                      <w:szCs w:val="21"/>
                      <w:lang w:eastAsia="zh-CN"/>
                    </w:rPr>
                  </w:pPr>
                </w:p>
              </w:tc>
              <w:tc>
                <w:tcPr>
                  <w:tcW w:w="829"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6"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p>
              </w:tc>
              <w:tc>
                <w:tcPr>
                  <w:tcW w:w="1065" w:type="dxa"/>
                  <w:vMerge w:val="continue"/>
                  <w:tcBorders>
                    <w:tl2br w:val="nil"/>
                    <w:tr2bl w:val="nil"/>
                  </w:tcBorders>
                  <w:vAlign w:val="center"/>
                </w:tcPr>
                <w:p>
                  <w:pPr>
                    <w:widowControl/>
                    <w:jc w:val="center"/>
                    <w:rPr>
                      <w:rFonts w:hint="eastAsia" w:ascii="Times New Roman" w:hAnsi="Times New Roman" w:cs="Times New Roman" w:eastAsiaTheme="minorEastAsia"/>
                      <w:color w:val="auto"/>
                      <w:kern w:val="0"/>
                      <w:szCs w:val="21"/>
                      <w:lang w:eastAsia="zh-CN"/>
                    </w:rPr>
                  </w:pPr>
                </w:p>
              </w:tc>
              <w:tc>
                <w:tcPr>
                  <w:tcW w:w="1590" w:type="dxa"/>
                  <w:tcBorders>
                    <w:tl2br w:val="nil"/>
                    <w:tr2bl w:val="nil"/>
                  </w:tcBorders>
                  <w:vAlign w:val="center"/>
                </w:tcPr>
                <w:p>
                  <w:pPr>
                    <w:widowControl/>
                    <w:jc w:val="center"/>
                    <w:rPr>
                      <w:rFonts w:hint="eastAsia"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Cs w:val="21"/>
                      <w:lang w:eastAsia="zh-CN"/>
                    </w:rPr>
                    <w:t>装瓶机</w:t>
                  </w:r>
                </w:p>
              </w:tc>
              <w:tc>
                <w:tcPr>
                  <w:tcW w:w="1755"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highlight w:val="yellow"/>
                    </w:rPr>
                  </w:pPr>
                  <w:r>
                    <w:rPr>
                      <w:rFonts w:hint="default" w:cs="Times New Roman" w:eastAsiaTheme="minorEastAsia"/>
                      <w:color w:val="auto"/>
                      <w:kern w:val="0"/>
                      <w:szCs w:val="21"/>
                      <w:highlight w:val="none"/>
                      <w:lang w:val="en-US" w:eastAsia="zh-CN"/>
                    </w:rPr>
                    <w:t>SL-60</w:t>
                  </w:r>
                </w:p>
              </w:tc>
              <w:tc>
                <w:tcPr>
                  <w:tcW w:w="915"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lang w:eastAsia="zh-CN"/>
                    </w:rPr>
                  </w:pPr>
                </w:p>
              </w:tc>
              <w:tc>
                <w:tcPr>
                  <w:tcW w:w="1065" w:type="dxa"/>
                  <w:vMerge w:val="continue"/>
                  <w:tcBorders>
                    <w:tl2br w:val="nil"/>
                    <w:tr2bl w:val="nil"/>
                  </w:tcBorders>
                  <w:noWrap/>
                  <w:vAlign w:val="center"/>
                </w:tcPr>
                <w:p>
                  <w:pPr>
                    <w:widowControl/>
                    <w:jc w:val="center"/>
                    <w:rPr>
                      <w:rFonts w:hint="eastAsia" w:ascii="Times New Roman" w:hAnsi="Times New Roman" w:cs="Times New Roman" w:eastAsiaTheme="minorEastAsia"/>
                      <w:color w:val="auto"/>
                      <w:kern w:val="0"/>
                      <w:szCs w:val="21"/>
                      <w:lang w:eastAsia="zh-CN"/>
                    </w:rPr>
                  </w:pPr>
                </w:p>
              </w:tc>
              <w:tc>
                <w:tcPr>
                  <w:tcW w:w="829"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6"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p>
              </w:tc>
              <w:tc>
                <w:tcPr>
                  <w:tcW w:w="1065" w:type="dxa"/>
                  <w:vMerge w:val="continue"/>
                  <w:tcBorders>
                    <w:tl2br w:val="nil"/>
                    <w:tr2bl w:val="nil"/>
                  </w:tcBorders>
                  <w:vAlign w:val="center"/>
                </w:tcPr>
                <w:p>
                  <w:pPr>
                    <w:widowControl/>
                    <w:jc w:val="center"/>
                    <w:rPr>
                      <w:rFonts w:hint="eastAsia" w:ascii="Times New Roman" w:hAnsi="Times New Roman" w:cs="Times New Roman" w:eastAsiaTheme="minorEastAsia"/>
                      <w:color w:val="auto"/>
                      <w:kern w:val="0"/>
                      <w:szCs w:val="21"/>
                      <w:lang w:eastAsia="zh-CN"/>
                    </w:rPr>
                  </w:pPr>
                </w:p>
              </w:tc>
              <w:tc>
                <w:tcPr>
                  <w:tcW w:w="1590" w:type="dxa"/>
                  <w:tcBorders>
                    <w:tl2br w:val="nil"/>
                    <w:tr2bl w:val="nil"/>
                  </w:tcBorders>
                  <w:vAlign w:val="center"/>
                </w:tcPr>
                <w:p>
                  <w:pPr>
                    <w:widowControl/>
                    <w:jc w:val="center"/>
                    <w:rPr>
                      <w:rFonts w:hint="eastAsia"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Cs w:val="21"/>
                      <w:lang w:eastAsia="zh-CN"/>
                    </w:rPr>
                    <w:t>包装（封口）机</w:t>
                  </w:r>
                </w:p>
              </w:tc>
              <w:tc>
                <w:tcPr>
                  <w:tcW w:w="1755" w:type="dxa"/>
                  <w:tcBorders>
                    <w:tl2br w:val="nil"/>
                    <w:tr2bl w:val="nil"/>
                  </w:tcBorders>
                  <w:noWrap/>
                  <w:vAlign w:val="center"/>
                </w:tcPr>
                <w:p>
                  <w:pPr>
                    <w:widowControl/>
                    <w:jc w:val="center"/>
                    <w:rPr>
                      <w:rFonts w:hint="default" w:cs="Times New Roman" w:eastAsiaTheme="minorEastAsia"/>
                      <w:color w:val="auto"/>
                      <w:kern w:val="0"/>
                      <w:szCs w:val="21"/>
                      <w:highlight w:val="none"/>
                      <w:lang w:val="en-US" w:eastAsia="zh-CN"/>
                    </w:rPr>
                  </w:pPr>
                  <w:r>
                    <w:rPr>
                      <w:rFonts w:hint="default" w:cs="Times New Roman" w:eastAsiaTheme="minorEastAsia"/>
                      <w:color w:val="auto"/>
                      <w:kern w:val="0"/>
                      <w:szCs w:val="21"/>
                      <w:highlight w:val="none"/>
                      <w:lang w:val="en-US" w:eastAsia="zh-CN"/>
                    </w:rPr>
                    <w:t>SJIIIKZF100</w:t>
                  </w:r>
                </w:p>
              </w:tc>
              <w:tc>
                <w:tcPr>
                  <w:tcW w:w="915"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lang w:val="en-US" w:eastAsia="zh-CN"/>
                    </w:rPr>
                  </w:pPr>
                </w:p>
              </w:tc>
              <w:tc>
                <w:tcPr>
                  <w:tcW w:w="1065" w:type="dxa"/>
                  <w:vMerge w:val="continue"/>
                  <w:tcBorders>
                    <w:tl2br w:val="nil"/>
                    <w:tr2bl w:val="nil"/>
                  </w:tcBorders>
                  <w:noWrap/>
                  <w:vAlign w:val="center"/>
                </w:tcPr>
                <w:p>
                  <w:pPr>
                    <w:widowControl/>
                    <w:jc w:val="center"/>
                    <w:rPr>
                      <w:rFonts w:hint="eastAsia" w:ascii="Times New Roman" w:hAnsi="Times New Roman" w:cs="Times New Roman" w:eastAsiaTheme="minorEastAsia"/>
                      <w:color w:val="auto"/>
                      <w:kern w:val="0"/>
                      <w:szCs w:val="21"/>
                      <w:lang w:eastAsia="zh-CN"/>
                    </w:rPr>
                  </w:pPr>
                </w:p>
              </w:tc>
              <w:tc>
                <w:tcPr>
                  <w:tcW w:w="829"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6"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Cs w:val="21"/>
                    </w:rPr>
                    <w:t>2</w:t>
                  </w:r>
                </w:p>
              </w:tc>
              <w:tc>
                <w:tcPr>
                  <w:tcW w:w="1065" w:type="dxa"/>
                  <w:tcBorders>
                    <w:tl2br w:val="nil"/>
                    <w:tr2bl w:val="nil"/>
                  </w:tcBorders>
                  <w:vAlign w:val="center"/>
                </w:tcPr>
                <w:p>
                  <w:pPr>
                    <w:widowControl/>
                    <w:jc w:val="center"/>
                    <w:rPr>
                      <w:rFonts w:hint="default" w:ascii="Times New Roman" w:hAnsi="Times New Roman" w:cs="Times New Roman" w:eastAsiaTheme="minorEastAsia"/>
                      <w:color w:val="auto"/>
                      <w:kern w:val="0"/>
                      <w:szCs w:val="21"/>
                      <w:lang w:val="en-US" w:eastAsia="zh-CN"/>
                    </w:rPr>
                  </w:pPr>
                  <w:r>
                    <w:rPr>
                      <w:rFonts w:hint="eastAsia" w:cs="Times New Roman" w:eastAsiaTheme="minorEastAsia"/>
                      <w:color w:val="auto"/>
                      <w:kern w:val="0"/>
                      <w:szCs w:val="21"/>
                      <w:lang w:val="en-US" w:eastAsia="zh-CN"/>
                    </w:rPr>
                    <w:t>消毒线</w:t>
                  </w:r>
                </w:p>
              </w:tc>
              <w:tc>
                <w:tcPr>
                  <w:tcW w:w="1590" w:type="dxa"/>
                  <w:tcBorders>
                    <w:tl2br w:val="nil"/>
                    <w:tr2bl w:val="nil"/>
                  </w:tcBorders>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Cs w:val="21"/>
                      <w:lang w:eastAsia="zh-CN"/>
                    </w:rPr>
                    <w:t>臭氧消毒机</w:t>
                  </w:r>
                  <w:r>
                    <w:rPr>
                      <w:rFonts w:hint="eastAsia" w:cs="Times New Roman" w:eastAsiaTheme="minorEastAsia"/>
                      <w:color w:val="auto"/>
                      <w:kern w:val="0"/>
                      <w:szCs w:val="21"/>
                      <w:lang w:val="en-US" w:eastAsia="zh-CN"/>
                    </w:rPr>
                    <w:t>*2</w:t>
                  </w:r>
                </w:p>
              </w:tc>
              <w:tc>
                <w:tcPr>
                  <w:tcW w:w="1755" w:type="dxa"/>
                  <w:tcBorders>
                    <w:tl2br w:val="nil"/>
                    <w:tr2bl w:val="nil"/>
                  </w:tcBorders>
                  <w:noWrap/>
                  <w:vAlign w:val="center"/>
                </w:tcPr>
                <w:p>
                  <w:pPr>
                    <w:widowControl/>
                    <w:jc w:val="center"/>
                    <w:rPr>
                      <w:rFonts w:hint="default" w:cs="Times New Roman" w:eastAsiaTheme="minorEastAsia"/>
                      <w:color w:val="auto"/>
                      <w:kern w:val="0"/>
                      <w:szCs w:val="21"/>
                      <w:highlight w:val="none"/>
                      <w:lang w:val="en-US" w:eastAsia="zh-CN"/>
                    </w:rPr>
                  </w:pPr>
                  <w:r>
                    <w:rPr>
                      <w:rFonts w:hint="default" w:cs="Times New Roman" w:eastAsiaTheme="minorEastAsia"/>
                      <w:color w:val="auto"/>
                      <w:kern w:val="0"/>
                      <w:szCs w:val="21"/>
                      <w:highlight w:val="none"/>
                      <w:lang w:val="en-US" w:eastAsia="zh-CN"/>
                    </w:rPr>
                    <w:t>ZCA-20</w:t>
                  </w:r>
                </w:p>
              </w:tc>
              <w:tc>
                <w:tcPr>
                  <w:tcW w:w="915"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r>
                    <w:rPr>
                      <w:rFonts w:hint="default" w:ascii="Times New Roman" w:hAnsi="Times New Roman" w:cs="Times New Roman" w:eastAsiaTheme="minorEastAsia"/>
                      <w:color w:val="auto"/>
                      <w:kern w:val="0"/>
                      <w:szCs w:val="21"/>
                      <w:lang w:eastAsia="zh-CN"/>
                    </w:rPr>
                    <w:t>不锈钢</w:t>
                  </w:r>
                </w:p>
              </w:tc>
              <w:tc>
                <w:tcPr>
                  <w:tcW w:w="1065" w:type="dxa"/>
                  <w:tcBorders>
                    <w:tl2br w:val="nil"/>
                    <w:tr2bl w:val="nil"/>
                  </w:tcBorders>
                  <w:noWrap/>
                  <w:vAlign w:val="center"/>
                </w:tcPr>
                <w:p>
                  <w:pPr>
                    <w:widowControl/>
                    <w:jc w:val="center"/>
                    <w:rPr>
                      <w:rFonts w:hint="eastAsia" w:ascii="Times New Roman" w:hAnsi="Times New Roman" w:cs="Times New Roman" w:eastAsiaTheme="minorEastAsia"/>
                      <w:color w:val="auto"/>
                      <w:kern w:val="0"/>
                      <w:szCs w:val="21"/>
                      <w:lang w:eastAsia="zh-CN"/>
                    </w:rPr>
                  </w:pPr>
                  <w:r>
                    <w:rPr>
                      <w:rFonts w:hint="eastAsia" w:cs="Times New Roman" w:eastAsiaTheme="minorEastAsia"/>
                      <w:color w:val="auto"/>
                      <w:kern w:val="0"/>
                      <w:szCs w:val="21"/>
                      <w:lang w:val="en-US" w:eastAsia="zh-CN"/>
                    </w:rPr>
                    <w:t>1</w:t>
                  </w:r>
                </w:p>
              </w:tc>
              <w:tc>
                <w:tcPr>
                  <w:tcW w:w="829"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r>
                    <w:rPr>
                      <w:rFonts w:hint="default" w:ascii="Times New Roman" w:hAnsi="Times New Roman" w:cs="Times New Roman" w:eastAsiaTheme="minorEastAsia"/>
                      <w:color w:val="auto"/>
                      <w:kern w:val="0"/>
                      <w:szCs w:val="21"/>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6" w:type="dxa"/>
                  <w:vMerge w:val="restart"/>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Cs w:val="21"/>
                    </w:rPr>
                    <w:t>3</w:t>
                  </w:r>
                </w:p>
              </w:tc>
              <w:tc>
                <w:tcPr>
                  <w:tcW w:w="1065" w:type="dxa"/>
                  <w:vMerge w:val="restart"/>
                  <w:tcBorders>
                    <w:tl2br w:val="nil"/>
                    <w:tr2bl w:val="nil"/>
                  </w:tcBorders>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 w:val="21"/>
                      <w:szCs w:val="21"/>
                      <w:lang w:val="en-US" w:eastAsia="zh-CN" w:bidi="ar-SA"/>
                    </w:rPr>
                    <w:t>装箱喷码线</w:t>
                  </w:r>
                </w:p>
              </w:tc>
              <w:tc>
                <w:tcPr>
                  <w:tcW w:w="1590" w:type="dxa"/>
                  <w:tcBorders>
                    <w:tl2br w:val="nil"/>
                    <w:tr2bl w:val="nil"/>
                  </w:tcBorders>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Cs w:val="21"/>
                    </w:rPr>
                    <w:t>滚动装箱平台</w:t>
                  </w:r>
                </w:p>
              </w:tc>
              <w:tc>
                <w:tcPr>
                  <w:tcW w:w="1755"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bidi="ar-SA"/>
                    </w:rPr>
                  </w:pPr>
                  <w:r>
                    <w:rPr>
                      <w:rFonts w:hint="default" w:ascii="Times New Roman" w:hAnsi="Times New Roman" w:cs="Times New Roman" w:eastAsiaTheme="minorEastAsia"/>
                      <w:color w:val="auto"/>
                      <w:kern w:val="0"/>
                      <w:szCs w:val="21"/>
                      <w:highlight w:val="none"/>
                    </w:rPr>
                    <w:t>D2008型</w:t>
                  </w:r>
                </w:p>
              </w:tc>
              <w:tc>
                <w:tcPr>
                  <w:tcW w:w="915"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r>
                    <w:rPr>
                      <w:rFonts w:hint="default" w:ascii="Times New Roman" w:hAnsi="Times New Roman" w:cs="Times New Roman" w:eastAsiaTheme="minorEastAsia"/>
                      <w:color w:val="auto"/>
                      <w:kern w:val="0"/>
                      <w:szCs w:val="21"/>
                      <w:lang w:eastAsia="zh-CN"/>
                    </w:rPr>
                    <w:t>不锈钢</w:t>
                  </w:r>
                </w:p>
              </w:tc>
              <w:tc>
                <w:tcPr>
                  <w:tcW w:w="1065" w:type="dxa"/>
                  <w:vMerge w:val="restart"/>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r>
                    <w:rPr>
                      <w:rFonts w:hint="default" w:ascii="Times New Roman" w:hAnsi="Times New Roman" w:cs="Times New Roman" w:eastAsiaTheme="minorEastAsia"/>
                      <w:color w:val="auto"/>
                      <w:kern w:val="0"/>
                      <w:szCs w:val="21"/>
                    </w:rPr>
                    <w:t>1</w:t>
                  </w:r>
                </w:p>
              </w:tc>
              <w:tc>
                <w:tcPr>
                  <w:tcW w:w="829" w:type="dxa"/>
                  <w:vMerge w:val="restart"/>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r>
                    <w:rPr>
                      <w:rFonts w:hint="default" w:ascii="Times New Roman" w:hAnsi="Times New Roman" w:cs="Times New Roman" w:eastAsiaTheme="minorEastAsia"/>
                      <w:color w:val="auto"/>
                      <w:kern w:val="0"/>
                      <w:szCs w:val="21"/>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6"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p>
              </w:tc>
              <w:tc>
                <w:tcPr>
                  <w:tcW w:w="1065" w:type="dxa"/>
                  <w:vMerge w:val="continue"/>
                  <w:tcBorders>
                    <w:tl2br w:val="nil"/>
                    <w:tr2bl w:val="nil"/>
                  </w:tcBorders>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p>
              </w:tc>
              <w:tc>
                <w:tcPr>
                  <w:tcW w:w="1590" w:type="dxa"/>
                  <w:tcBorders>
                    <w:tl2br w:val="nil"/>
                    <w:tr2bl w:val="nil"/>
                  </w:tcBorders>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Cs w:val="21"/>
                    </w:rPr>
                    <w:t>激光喷码机</w:t>
                  </w:r>
                </w:p>
              </w:tc>
              <w:tc>
                <w:tcPr>
                  <w:tcW w:w="1755"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bidi="ar-SA"/>
                    </w:rPr>
                  </w:pPr>
                  <w:r>
                    <w:rPr>
                      <w:rFonts w:hint="default" w:ascii="Times New Roman" w:hAnsi="Times New Roman" w:cs="Times New Roman" w:eastAsiaTheme="minorEastAsia"/>
                      <w:color w:val="auto"/>
                      <w:kern w:val="0"/>
                      <w:szCs w:val="21"/>
                      <w:highlight w:val="none"/>
                    </w:rPr>
                    <w:t>YNW-700Y（Q）</w:t>
                  </w:r>
                </w:p>
              </w:tc>
              <w:tc>
                <w:tcPr>
                  <w:tcW w:w="915"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r>
                    <w:rPr>
                      <w:rFonts w:hint="default" w:ascii="Times New Roman" w:hAnsi="Times New Roman" w:cs="Times New Roman" w:eastAsiaTheme="minorEastAsia"/>
                      <w:color w:val="auto"/>
                      <w:kern w:val="0"/>
                      <w:szCs w:val="21"/>
                      <w:lang w:eastAsia="zh-CN"/>
                    </w:rPr>
                    <w:t>不锈钢</w:t>
                  </w:r>
                </w:p>
              </w:tc>
              <w:tc>
                <w:tcPr>
                  <w:tcW w:w="1065"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p>
              </w:tc>
              <w:tc>
                <w:tcPr>
                  <w:tcW w:w="829" w:type="dxa"/>
                  <w:vMerge w:val="continue"/>
                  <w:tcBorders>
                    <w:tl2br w:val="nil"/>
                    <w:tr2bl w:val="nil"/>
                  </w:tcBorders>
                  <w:noWrap/>
                  <w:vAlign w:val="center"/>
                </w:tcPr>
                <w:p>
                  <w:pPr>
                    <w:widowControl/>
                    <w:jc w:val="center"/>
                    <w:rPr>
                      <w:rFonts w:hint="default" w:ascii="Times New Roman" w:hAnsi="Times New Roman" w:cs="Times New Roman" w:eastAsiaTheme="minorEastAsia"/>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6"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 w:val="21"/>
                      <w:szCs w:val="21"/>
                      <w:lang w:val="en-US" w:eastAsia="zh-CN" w:bidi="ar-SA"/>
                    </w:rPr>
                    <w:t>4</w:t>
                  </w:r>
                </w:p>
              </w:tc>
              <w:tc>
                <w:tcPr>
                  <w:tcW w:w="1065" w:type="dxa"/>
                  <w:tcBorders>
                    <w:tl2br w:val="nil"/>
                    <w:tr2bl w:val="nil"/>
                  </w:tcBorders>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 w:val="21"/>
                      <w:szCs w:val="21"/>
                      <w:lang w:val="en-US" w:eastAsia="zh-CN" w:bidi="ar-SA"/>
                    </w:rPr>
                    <w:t>环保装置</w:t>
                  </w:r>
                </w:p>
              </w:tc>
              <w:tc>
                <w:tcPr>
                  <w:tcW w:w="1590" w:type="dxa"/>
                  <w:tcBorders>
                    <w:tl2br w:val="nil"/>
                    <w:tr2bl w:val="nil"/>
                  </w:tcBorders>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Cs w:val="21"/>
                    </w:rPr>
                    <w:t>布袋除尘器</w:t>
                  </w:r>
                </w:p>
              </w:tc>
              <w:tc>
                <w:tcPr>
                  <w:tcW w:w="1755" w:type="dxa"/>
                  <w:tcBorders>
                    <w:tl2br w:val="nil"/>
                    <w:tr2bl w:val="nil"/>
                  </w:tcBorders>
                  <w:noWrap/>
                  <w:vAlign w:val="center"/>
                </w:tcPr>
                <w:p>
                  <w:pPr>
                    <w:widowControl/>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w:t>
                  </w:r>
                </w:p>
              </w:tc>
              <w:tc>
                <w:tcPr>
                  <w:tcW w:w="915" w:type="dxa"/>
                  <w:tcBorders>
                    <w:tl2br w:val="nil"/>
                    <w:tr2bl w:val="nil"/>
                  </w:tcBorders>
                  <w:noWrap/>
                  <w:vAlign w:val="center"/>
                </w:tcPr>
                <w:p>
                  <w:pPr>
                    <w:widowControl/>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eastAsiaTheme="minorEastAsia"/>
                      <w:color w:val="auto"/>
                      <w:kern w:val="0"/>
                      <w:szCs w:val="21"/>
                      <w:lang w:val="en-US" w:eastAsia="zh-CN"/>
                    </w:rPr>
                    <w:t>/</w:t>
                  </w:r>
                </w:p>
              </w:tc>
              <w:tc>
                <w:tcPr>
                  <w:tcW w:w="1065"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Cs w:val="21"/>
                    </w:rPr>
                    <w:t>1</w:t>
                  </w:r>
                </w:p>
              </w:tc>
              <w:tc>
                <w:tcPr>
                  <w:tcW w:w="829"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Cs w:val="21"/>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6" w:type="dxa"/>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 w:val="21"/>
                      <w:szCs w:val="21"/>
                      <w:lang w:val="en-US" w:eastAsia="zh-CN" w:bidi="ar-SA"/>
                    </w:rPr>
                    <w:t>5</w:t>
                  </w:r>
                </w:p>
              </w:tc>
              <w:tc>
                <w:tcPr>
                  <w:tcW w:w="2655" w:type="dxa"/>
                  <w:gridSpan w:val="2"/>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 w:val="21"/>
                      <w:szCs w:val="21"/>
                      <w:lang w:val="en-US" w:eastAsia="zh-CN" w:bidi="ar-SA"/>
                    </w:rPr>
                    <w:t>合计</w:t>
                  </w:r>
                </w:p>
              </w:tc>
              <w:tc>
                <w:tcPr>
                  <w:tcW w:w="1755" w:type="dxa"/>
                </w:tcPr>
                <w:p>
                  <w:pPr>
                    <w:widowControl/>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w:t>
                  </w:r>
                </w:p>
              </w:tc>
              <w:tc>
                <w:tcPr>
                  <w:tcW w:w="915" w:type="dxa"/>
                </w:tcPr>
                <w:p>
                  <w:pPr>
                    <w:widowControl/>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highlight w:val="none"/>
                    </w:rPr>
                    <w:t>/</w:t>
                  </w:r>
                </w:p>
              </w:tc>
              <w:tc>
                <w:tcPr>
                  <w:tcW w:w="1065" w:type="dxa"/>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 w:val="21"/>
                      <w:szCs w:val="21"/>
                      <w:lang w:val="en-US" w:eastAsia="zh-CN" w:bidi="ar-SA"/>
                    </w:rPr>
                    <w:t>6</w:t>
                  </w:r>
                </w:p>
              </w:tc>
              <w:tc>
                <w:tcPr>
                  <w:tcW w:w="829" w:type="dxa"/>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highlight w:val="none"/>
                    </w:rPr>
                    <w:t>/</w:t>
                  </w:r>
                </w:p>
              </w:tc>
            </w:tr>
          </w:tbl>
          <w:p>
            <w:pPr>
              <w:keepNext w:val="0"/>
              <w:keepLines w:val="0"/>
              <w:pageBreakBefore w:val="0"/>
              <w:widowControl w:val="0"/>
              <w:kinsoku/>
              <w:wordWrap/>
              <w:overflowPunct/>
              <w:topLinePunct w:val="0"/>
              <w:autoSpaceDE/>
              <w:autoSpaceDN/>
              <w:bidi w:val="0"/>
              <w:adjustRightInd/>
              <w:snapToGrid/>
              <w:spacing w:before="120" w:beforeLines="50" w:line="360" w:lineRule="auto"/>
              <w:ind w:firstLine="422" w:firstLineChars="200"/>
              <w:textAlignment w:val="auto"/>
              <w:rPr>
                <w:rFonts w:hint="default" w:ascii="Times New Roman" w:hAnsi="Times New Roman" w:cs="Times New Roman"/>
                <w:b/>
                <w:bCs/>
                <w:color w:val="auto"/>
                <w:szCs w:val="21"/>
              </w:rPr>
            </w:pPr>
            <w:r>
              <w:rPr>
                <w:rFonts w:hint="eastAsia" w:cs="Times New Roman"/>
                <w:b/>
                <w:bCs/>
                <w:color w:val="auto"/>
                <w:szCs w:val="21"/>
                <w:lang w:val="en-US" w:eastAsia="zh-CN"/>
              </w:rPr>
              <w:t>4</w:t>
            </w:r>
            <w:r>
              <w:rPr>
                <w:rFonts w:hint="default" w:ascii="Times New Roman" w:hAnsi="Times New Roman" w:cs="Times New Roman"/>
                <w:b/>
                <w:bCs/>
                <w:color w:val="auto"/>
                <w:szCs w:val="21"/>
              </w:rPr>
              <w:t>.生产规模</w:t>
            </w:r>
          </w:p>
          <w:p>
            <w:pPr>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产品规模：</w:t>
            </w:r>
            <w:r>
              <w:rPr>
                <w:rFonts w:hint="eastAsia" w:cs="Times New Roman"/>
                <w:bCs/>
                <w:color w:val="auto"/>
                <w:szCs w:val="21"/>
                <w:lang w:val="en-US" w:eastAsia="zh-CN" w:bidi="ar"/>
              </w:rPr>
              <w:t>1038</w:t>
            </w:r>
            <w:r>
              <w:rPr>
                <w:rFonts w:hint="default" w:ascii="Times New Roman" w:hAnsi="Times New Roman" w:cs="Times New Roman"/>
                <w:bCs/>
                <w:color w:val="auto"/>
                <w:szCs w:val="21"/>
                <w:lang w:bidi="ar"/>
              </w:rPr>
              <w:t>吨/年</w:t>
            </w:r>
            <w:r>
              <w:rPr>
                <w:rFonts w:hint="eastAsia" w:cs="Times New Roman"/>
                <w:bCs/>
                <w:color w:val="auto"/>
                <w:szCs w:val="21"/>
                <w:lang w:eastAsia="zh-CN" w:bidi="ar"/>
              </w:rPr>
              <w:t>SOD食品，</w:t>
            </w:r>
            <w:r>
              <w:rPr>
                <w:rFonts w:hint="eastAsia" w:cs="Times New Roman"/>
                <w:bCs/>
                <w:color w:val="auto"/>
                <w:szCs w:val="21"/>
                <w:lang w:val="en-US" w:eastAsia="zh-CN" w:bidi="ar"/>
              </w:rPr>
              <w:t>约</w:t>
            </w:r>
            <w:r>
              <w:rPr>
                <w:rFonts w:hint="eastAsia"/>
                <w:color w:val="auto"/>
                <w:lang w:val="en-US" w:eastAsia="zh-CN"/>
              </w:rPr>
              <w:t>3460万瓶/年</w:t>
            </w:r>
            <w:r>
              <w:rPr>
                <w:rFonts w:hint="default" w:ascii="Times New Roman" w:hAnsi="Times New Roman" w:cs="Times New Roman"/>
                <w:bCs/>
                <w:color w:val="auto"/>
                <w:szCs w:val="21"/>
              </w:rPr>
              <w:t>。</w:t>
            </w:r>
          </w:p>
          <w:p>
            <w:pPr>
              <w:pStyle w:val="40"/>
              <w:spacing w:line="36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表</w:t>
            </w:r>
            <w:r>
              <w:rPr>
                <w:rFonts w:hint="default" w:ascii="Times New Roman" w:hAnsi="Times New Roman" w:cs="Times New Roman"/>
                <w:bCs/>
                <w:color w:val="auto"/>
                <w:sz w:val="21"/>
                <w:szCs w:val="21"/>
                <w:lang w:val="en-US" w:eastAsia="zh-CN"/>
              </w:rPr>
              <w:t>1</w:t>
            </w:r>
            <w:r>
              <w:rPr>
                <w:rFonts w:hint="eastAsia" w:ascii="Times New Roman" w:cs="Times New Roman"/>
                <w:bCs/>
                <w:color w:val="auto"/>
                <w:sz w:val="21"/>
                <w:szCs w:val="21"/>
                <w:lang w:val="en-US" w:eastAsia="zh-CN"/>
              </w:rPr>
              <w:t>1</w:t>
            </w:r>
            <w:r>
              <w:rPr>
                <w:rFonts w:hint="default" w:ascii="Times New Roman" w:hAnsi="Times New Roman" w:cs="Times New Roman"/>
                <w:bCs/>
                <w:color w:val="auto"/>
                <w:sz w:val="21"/>
                <w:szCs w:val="21"/>
              </w:rPr>
              <w:t xml:space="preserve">  产品方案一览表</w:t>
            </w:r>
          </w:p>
          <w:tbl>
            <w:tblPr>
              <w:tblStyle w:val="26"/>
              <w:tblW w:w="79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3"/>
              <w:gridCol w:w="705"/>
              <w:gridCol w:w="1065"/>
              <w:gridCol w:w="3255"/>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223" w:type="dxa"/>
                  <w:vAlign w:val="center"/>
                </w:tcPr>
                <w:p>
                  <w:pPr>
                    <w:jc w:val="center"/>
                    <w:textAlignment w:val="baseline"/>
                    <w:rPr>
                      <w:rFonts w:hint="default" w:ascii="Times New Roman" w:hAnsi="Times New Roman" w:cs="Times New Roman"/>
                      <w:b/>
                      <w:bCs/>
                      <w:color w:val="auto"/>
                    </w:rPr>
                  </w:pPr>
                  <w:r>
                    <w:rPr>
                      <w:rFonts w:hint="default" w:ascii="Times New Roman" w:hAnsi="Times New Roman" w:cs="Times New Roman"/>
                      <w:b/>
                      <w:bCs/>
                      <w:color w:val="auto"/>
                    </w:rPr>
                    <w:t>产品名称</w:t>
                  </w:r>
                </w:p>
              </w:tc>
              <w:tc>
                <w:tcPr>
                  <w:tcW w:w="705" w:type="dxa"/>
                  <w:vAlign w:val="center"/>
                </w:tcPr>
                <w:p>
                  <w:pPr>
                    <w:jc w:val="center"/>
                    <w:textAlignment w:val="baseline"/>
                    <w:rPr>
                      <w:rFonts w:hint="default" w:ascii="Times New Roman" w:hAnsi="Times New Roman" w:cs="Times New Roman"/>
                      <w:b/>
                      <w:bCs/>
                      <w:color w:val="auto"/>
                    </w:rPr>
                  </w:pPr>
                  <w:r>
                    <w:rPr>
                      <w:rFonts w:hint="default" w:ascii="Times New Roman" w:hAnsi="Times New Roman" w:cs="Times New Roman"/>
                      <w:b/>
                      <w:bCs/>
                      <w:color w:val="auto"/>
                    </w:rPr>
                    <w:t>单位</w:t>
                  </w:r>
                </w:p>
              </w:tc>
              <w:tc>
                <w:tcPr>
                  <w:tcW w:w="1065" w:type="dxa"/>
                  <w:tcBorders>
                    <w:right w:val="single" w:color="auto" w:sz="4" w:space="0"/>
                  </w:tcBorders>
                </w:tcPr>
                <w:p>
                  <w:pPr>
                    <w:jc w:val="center"/>
                    <w:textAlignment w:val="baseline"/>
                    <w:rPr>
                      <w:rFonts w:hint="default" w:ascii="Times New Roman" w:hAnsi="Times New Roman" w:cs="Times New Roman"/>
                      <w:b/>
                      <w:bCs/>
                      <w:color w:val="auto"/>
                    </w:rPr>
                  </w:pPr>
                  <w:r>
                    <w:rPr>
                      <w:rFonts w:hint="default" w:ascii="Times New Roman" w:hAnsi="Times New Roman" w:cs="Times New Roman"/>
                      <w:b/>
                      <w:bCs/>
                      <w:color w:val="auto"/>
                    </w:rPr>
                    <w:t>年产量</w:t>
                  </w:r>
                </w:p>
              </w:tc>
              <w:tc>
                <w:tcPr>
                  <w:tcW w:w="3255" w:type="dxa"/>
                  <w:tcBorders>
                    <w:right w:val="single" w:color="auto" w:sz="4" w:space="0"/>
                  </w:tcBorders>
                  <w:vAlign w:val="center"/>
                </w:tcPr>
                <w:p>
                  <w:pPr>
                    <w:jc w:val="center"/>
                    <w:textAlignment w:val="baseline"/>
                    <w:rPr>
                      <w:rFonts w:hint="default" w:ascii="Times New Roman" w:hAnsi="Times New Roman" w:eastAsia="宋体" w:cs="Times New Roman"/>
                      <w:b/>
                      <w:bCs/>
                      <w:color w:val="auto"/>
                      <w:lang w:eastAsia="zh-CN"/>
                    </w:rPr>
                  </w:pPr>
                  <w:r>
                    <w:rPr>
                      <w:rFonts w:hint="eastAsia" w:cs="Times New Roman"/>
                      <w:b/>
                      <w:bCs/>
                      <w:color w:val="auto"/>
                      <w:lang w:val="en-US" w:eastAsia="zh-CN"/>
                    </w:rPr>
                    <w:t>规格</w:t>
                  </w:r>
                </w:p>
              </w:tc>
              <w:tc>
                <w:tcPr>
                  <w:tcW w:w="1667" w:type="dxa"/>
                  <w:tcBorders>
                    <w:left w:val="single" w:color="auto" w:sz="4" w:space="0"/>
                  </w:tcBorders>
                  <w:vAlign w:val="center"/>
                </w:tcPr>
                <w:p>
                  <w:pPr>
                    <w:jc w:val="center"/>
                    <w:textAlignment w:val="baseline"/>
                    <w:rPr>
                      <w:rFonts w:hint="default" w:ascii="Times New Roman" w:hAnsi="Times New Roman" w:eastAsia="宋体" w:cs="Times New Roman"/>
                      <w:b/>
                      <w:bCs/>
                      <w:color w:val="auto"/>
                      <w:kern w:val="2"/>
                      <w:sz w:val="21"/>
                      <w:szCs w:val="24"/>
                      <w:lang w:val="en-US" w:eastAsia="zh-CN" w:bidi="ar-SA"/>
                    </w:rPr>
                  </w:pPr>
                  <w:r>
                    <w:rPr>
                      <w:rFonts w:hint="default" w:ascii="Times New Roman" w:hAnsi="Times New Roman" w:cs="Times New Roman"/>
                      <w:b/>
                      <w:bCs/>
                      <w:color w:val="auto"/>
                      <w:lang w:eastAsia="zh-CN"/>
                    </w:rPr>
                    <w:t>应用范围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223" w:type="dxa"/>
                  <w:vAlign w:val="center"/>
                </w:tcPr>
                <w:p>
                  <w:pPr>
                    <w:jc w:val="center"/>
                    <w:textAlignment w:val="baseline"/>
                    <w:rPr>
                      <w:rFonts w:hint="eastAsia" w:ascii="Times New Roman" w:hAnsi="Times New Roman" w:eastAsia="宋体" w:cs="Times New Roman"/>
                      <w:color w:val="auto"/>
                      <w:lang w:eastAsia="zh-CN"/>
                    </w:rPr>
                  </w:pPr>
                  <w:r>
                    <w:rPr>
                      <w:rFonts w:hint="eastAsia" w:cs="Times New Roman"/>
                      <w:bCs/>
                      <w:color w:val="auto"/>
                      <w:szCs w:val="21"/>
                      <w:lang w:eastAsia="zh-CN" w:bidi="ar"/>
                    </w:rPr>
                    <w:t>SOD食品</w:t>
                  </w:r>
                </w:p>
              </w:tc>
              <w:tc>
                <w:tcPr>
                  <w:tcW w:w="705" w:type="dxa"/>
                  <w:vAlign w:val="center"/>
                </w:tcPr>
                <w:p>
                  <w:pPr>
                    <w:jc w:val="center"/>
                    <w:textAlignment w:val="baseline"/>
                    <w:rPr>
                      <w:rFonts w:hint="default" w:ascii="Times New Roman" w:hAnsi="Times New Roman" w:cs="Times New Roman"/>
                      <w:color w:val="auto"/>
                    </w:rPr>
                  </w:pPr>
                  <w:r>
                    <w:rPr>
                      <w:rFonts w:hint="default" w:ascii="Times New Roman" w:hAnsi="Times New Roman" w:cs="Times New Roman"/>
                      <w:color w:val="auto"/>
                    </w:rPr>
                    <w:t>t/a</w:t>
                  </w:r>
                </w:p>
              </w:tc>
              <w:tc>
                <w:tcPr>
                  <w:tcW w:w="1065" w:type="dxa"/>
                  <w:vAlign w:val="center"/>
                </w:tcPr>
                <w:p>
                  <w:pPr>
                    <w:jc w:val="center"/>
                    <w:textAlignment w:val="baseline"/>
                    <w:rPr>
                      <w:rFonts w:hint="default" w:ascii="Times New Roman" w:hAnsi="Times New Roman" w:eastAsia="宋体" w:cs="Times New Roman"/>
                      <w:color w:val="auto"/>
                      <w:lang w:val="en-US" w:eastAsia="zh-CN"/>
                    </w:rPr>
                  </w:pPr>
                  <w:r>
                    <w:rPr>
                      <w:rFonts w:hint="eastAsia" w:cs="Times New Roman"/>
                      <w:color w:val="auto"/>
                      <w:lang w:val="en-US" w:eastAsia="zh-CN"/>
                    </w:rPr>
                    <w:t>1038</w:t>
                  </w:r>
                </w:p>
              </w:tc>
              <w:tc>
                <w:tcPr>
                  <w:tcW w:w="3255" w:type="dxa"/>
                  <w:tcBorders>
                    <w:right w:val="single" w:color="auto" w:sz="4" w:space="0"/>
                  </w:tcBorders>
                  <w:vAlign w:val="center"/>
                </w:tcPr>
                <w:p>
                  <w:pPr>
                    <w:jc w:val="center"/>
                    <w:textAlignment w:val="baseline"/>
                    <w:rPr>
                      <w:rFonts w:hint="default" w:ascii="Times New Roman" w:hAnsi="Times New Roman" w:cs="Times New Roman"/>
                      <w:color w:val="auto"/>
                    </w:rPr>
                  </w:pPr>
                  <w:r>
                    <w:rPr>
                      <w:rFonts w:hint="eastAsia" w:cs="Times New Roman"/>
                      <w:bCs/>
                      <w:color w:val="auto"/>
                      <w:kern w:val="36"/>
                      <w:szCs w:val="21"/>
                      <w:lang w:val="en-US" w:eastAsia="zh-CN" w:bidi="ar"/>
                    </w:rPr>
                    <w:t>片状</w:t>
                  </w:r>
                  <w:r>
                    <w:rPr>
                      <w:rFonts w:hint="default" w:ascii="Times New Roman" w:hAnsi="Times New Roman" w:cs="Times New Roman"/>
                      <w:bCs/>
                      <w:color w:val="auto"/>
                      <w:kern w:val="36"/>
                      <w:szCs w:val="21"/>
                      <w:lang w:val="en-US" w:eastAsia="zh-CN" w:bidi="ar"/>
                    </w:rPr>
                    <w:t>，出厂规格</w:t>
                  </w:r>
                  <w:r>
                    <w:rPr>
                      <w:rFonts w:hint="eastAsia" w:ascii="Times New Roman" w:hAnsi="Times New Roman" w:cs="Times New Roman"/>
                      <w:bCs/>
                      <w:color w:val="auto"/>
                      <w:kern w:val="36"/>
                      <w:szCs w:val="21"/>
                      <w:lang w:val="en-US" w:eastAsia="zh-CN" w:bidi="ar"/>
                    </w:rPr>
                    <w:t>60ml瓶</w:t>
                  </w:r>
                  <w:r>
                    <w:rPr>
                      <w:rFonts w:hint="eastAsia" w:cs="Times New Roman"/>
                      <w:bCs/>
                      <w:color w:val="auto"/>
                      <w:kern w:val="36"/>
                      <w:szCs w:val="21"/>
                      <w:lang w:val="en-US" w:eastAsia="zh-CN" w:bidi="ar"/>
                    </w:rPr>
                    <w:t>装</w:t>
                  </w:r>
                  <w:r>
                    <w:rPr>
                      <w:rFonts w:hint="eastAsia" w:ascii="Times New Roman" w:hAnsi="Times New Roman" w:cs="Times New Roman"/>
                      <w:bCs/>
                      <w:color w:val="auto"/>
                      <w:kern w:val="36"/>
                      <w:szCs w:val="21"/>
                      <w:lang w:val="en-US" w:eastAsia="zh-CN" w:bidi="ar"/>
                    </w:rPr>
                    <w:t>，每瓶装30克产品，60粒</w:t>
                  </w:r>
                  <w:r>
                    <w:rPr>
                      <w:rFonts w:hint="eastAsia" w:cs="Times New Roman"/>
                      <w:bCs/>
                      <w:color w:val="auto"/>
                      <w:kern w:val="36"/>
                      <w:szCs w:val="21"/>
                      <w:lang w:val="en-US" w:eastAsia="zh-CN" w:bidi="ar"/>
                    </w:rPr>
                    <w:t>（30克）</w:t>
                  </w:r>
                </w:p>
              </w:tc>
              <w:tc>
                <w:tcPr>
                  <w:tcW w:w="1667" w:type="dxa"/>
                  <w:tcBorders>
                    <w:left w:val="single" w:color="auto" w:sz="4" w:space="0"/>
                  </w:tcBorders>
                  <w:vAlign w:val="center"/>
                </w:tcPr>
                <w:p>
                  <w:pPr>
                    <w:jc w:val="center"/>
                    <w:textAlignment w:val="baseline"/>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cs="Times New Roman"/>
                      <w:bCs/>
                      <w:color w:val="auto"/>
                      <w:kern w:val="36"/>
                      <w:szCs w:val="21"/>
                      <w:lang w:val="en-US" w:eastAsia="zh-CN" w:bidi="ar"/>
                    </w:rPr>
                    <w:t>提高</w:t>
                  </w:r>
                  <w:r>
                    <w:rPr>
                      <w:rFonts w:hint="eastAsia" w:cs="Times New Roman"/>
                      <w:bCs/>
                      <w:color w:val="auto"/>
                      <w:kern w:val="36"/>
                      <w:szCs w:val="21"/>
                      <w:lang w:val="en-US" w:eastAsia="zh-CN" w:bidi="ar"/>
                    </w:rPr>
                    <w:t>人体</w:t>
                  </w:r>
                  <w:r>
                    <w:rPr>
                      <w:rFonts w:hint="default" w:ascii="Times New Roman" w:hAnsi="Times New Roman" w:cs="Times New Roman"/>
                      <w:bCs/>
                      <w:color w:val="auto"/>
                      <w:kern w:val="36"/>
                      <w:szCs w:val="21"/>
                      <w:lang w:val="en-US" w:eastAsia="zh-CN" w:bidi="ar"/>
                    </w:rPr>
                    <w:t>抵抗力、预防疾病等</w:t>
                  </w:r>
                </w:p>
              </w:tc>
            </w:tr>
          </w:tbl>
          <w:p>
            <w:pPr>
              <w:spacing w:line="360" w:lineRule="auto"/>
              <w:ind w:left="420" w:leftChars="200"/>
              <w:rPr>
                <w:rFonts w:hint="default" w:ascii="Times New Roman" w:hAnsi="Times New Roman" w:cs="Times New Roman"/>
                <w:b/>
                <w:bCs/>
                <w:szCs w:val="21"/>
              </w:rPr>
            </w:pPr>
            <w:r>
              <w:rPr>
                <w:rFonts w:hint="eastAsia" w:cs="Times New Roman"/>
                <w:b/>
                <w:bCs/>
                <w:szCs w:val="21"/>
                <w:lang w:val="en-US" w:eastAsia="zh-CN"/>
              </w:rPr>
              <w:t>5</w:t>
            </w:r>
            <w:r>
              <w:rPr>
                <w:rFonts w:hint="default" w:ascii="Times New Roman" w:hAnsi="Times New Roman" w:cs="Times New Roman"/>
                <w:b/>
                <w:bCs/>
                <w:szCs w:val="21"/>
              </w:rPr>
              <w:t>.原辅料消耗</w:t>
            </w:r>
          </w:p>
          <w:p>
            <w:pPr>
              <w:pStyle w:val="40"/>
              <w:spacing w:line="36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表</w:t>
            </w:r>
            <w:r>
              <w:rPr>
                <w:rFonts w:hint="eastAsia" w:ascii="Times New Roman" w:cs="Times New Roman"/>
                <w:bCs/>
                <w:color w:val="auto"/>
                <w:sz w:val="21"/>
                <w:szCs w:val="21"/>
                <w:lang w:val="en-US" w:eastAsia="zh-CN"/>
              </w:rPr>
              <w:t>12</w:t>
            </w:r>
            <w:r>
              <w:rPr>
                <w:rFonts w:hint="default" w:ascii="Times New Roman" w:hAnsi="Times New Roman" w:cs="Times New Roman"/>
                <w:bCs/>
                <w:color w:val="auto"/>
                <w:sz w:val="21"/>
                <w:szCs w:val="21"/>
              </w:rPr>
              <w:t xml:space="preserve">  本项目原辅材料及动力消耗一览表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85"/>
              <w:gridCol w:w="1785"/>
              <w:gridCol w:w="3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05" w:type="dxa"/>
                  <w:tcBorders>
                    <w:tl2br w:val="nil"/>
                    <w:tr2bl w:val="nil"/>
                  </w:tcBorders>
                  <w:vAlign w:val="center"/>
                </w:tcPr>
                <w:p>
                  <w:pPr>
                    <w:pStyle w:val="88"/>
                    <w:rPr>
                      <w:rFonts w:hint="default" w:ascii="Times New Roman" w:hAnsi="Times New Roman" w:cs="Times New Roman"/>
                      <w:b/>
                      <w:szCs w:val="21"/>
                    </w:rPr>
                  </w:pPr>
                  <w:r>
                    <w:rPr>
                      <w:rFonts w:hint="default" w:ascii="Times New Roman" w:hAnsi="Times New Roman" w:cs="Times New Roman"/>
                      <w:b/>
                      <w:szCs w:val="21"/>
                    </w:rPr>
                    <w:t>序号</w:t>
                  </w:r>
                </w:p>
              </w:tc>
              <w:tc>
                <w:tcPr>
                  <w:tcW w:w="1785" w:type="dxa"/>
                  <w:tcBorders>
                    <w:tl2br w:val="nil"/>
                    <w:tr2bl w:val="nil"/>
                  </w:tcBorders>
                  <w:vAlign w:val="center"/>
                </w:tcPr>
                <w:p>
                  <w:pPr>
                    <w:pStyle w:val="88"/>
                    <w:rPr>
                      <w:rFonts w:hint="default" w:ascii="Times New Roman" w:hAnsi="Times New Roman" w:cs="Times New Roman"/>
                      <w:b/>
                      <w:szCs w:val="21"/>
                    </w:rPr>
                  </w:pPr>
                  <w:r>
                    <w:rPr>
                      <w:rFonts w:hint="default" w:ascii="Times New Roman" w:hAnsi="Times New Roman" w:cs="Times New Roman"/>
                      <w:b/>
                      <w:szCs w:val="21"/>
                    </w:rPr>
                    <w:t>名称</w:t>
                  </w:r>
                </w:p>
              </w:tc>
              <w:tc>
                <w:tcPr>
                  <w:tcW w:w="1785" w:type="dxa"/>
                  <w:tcBorders>
                    <w:tl2br w:val="nil"/>
                    <w:tr2bl w:val="nil"/>
                  </w:tcBorders>
                  <w:vAlign w:val="center"/>
                </w:tcPr>
                <w:p>
                  <w:pPr>
                    <w:pStyle w:val="88"/>
                    <w:rPr>
                      <w:rFonts w:hint="default" w:ascii="Times New Roman" w:hAnsi="Times New Roman" w:cs="Times New Roman"/>
                      <w:szCs w:val="21"/>
                    </w:rPr>
                  </w:pPr>
                  <w:r>
                    <w:rPr>
                      <w:rFonts w:hint="default" w:ascii="Times New Roman" w:hAnsi="Times New Roman" w:cs="Times New Roman"/>
                      <w:b/>
                      <w:szCs w:val="21"/>
                    </w:rPr>
                    <w:t>年耗量（t/a）</w:t>
                  </w:r>
                </w:p>
              </w:tc>
              <w:tc>
                <w:tcPr>
                  <w:tcW w:w="3640" w:type="dxa"/>
                  <w:tcBorders>
                    <w:tl2br w:val="nil"/>
                    <w:tr2bl w:val="nil"/>
                  </w:tcBorders>
                  <w:vAlign w:val="center"/>
                </w:tcPr>
                <w:p>
                  <w:pPr>
                    <w:pStyle w:val="88"/>
                    <w:rPr>
                      <w:rFonts w:hint="default" w:ascii="Times New Roman" w:hAnsi="Times New Roman" w:cs="Times New Roman"/>
                      <w:b/>
                      <w:szCs w:val="21"/>
                    </w:rPr>
                  </w:pPr>
                  <w:r>
                    <w:rPr>
                      <w:rFonts w:hint="default" w:ascii="Times New Roman" w:hAnsi="Times New Roman" w:cs="Times New Roman"/>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05" w:type="dxa"/>
                  <w:tcBorders>
                    <w:tl2br w:val="nil"/>
                    <w:tr2bl w:val="nil"/>
                  </w:tcBorders>
                  <w:vAlign w:val="center"/>
                </w:tcPr>
                <w:p>
                  <w:pPr>
                    <w:pStyle w:val="89"/>
                    <w:rPr>
                      <w:rFonts w:hint="default" w:ascii="Times New Roman" w:hAnsi="Times New Roman" w:cs="Times New Roman"/>
                      <w:b/>
                      <w:color w:val="auto"/>
                    </w:rPr>
                  </w:pPr>
                  <w:r>
                    <w:rPr>
                      <w:rFonts w:hint="default" w:ascii="Times New Roman" w:hAnsi="Times New Roman" w:cs="Times New Roman"/>
                      <w:color w:val="auto"/>
                      <w:kern w:val="36"/>
                    </w:rPr>
                    <w:t>1</w:t>
                  </w:r>
                </w:p>
              </w:tc>
              <w:tc>
                <w:tcPr>
                  <w:tcW w:w="1785" w:type="dxa"/>
                  <w:tcBorders>
                    <w:tl2br w:val="nil"/>
                    <w:tr2bl w:val="nil"/>
                  </w:tcBorders>
                  <w:vAlign w:val="center"/>
                </w:tcPr>
                <w:p>
                  <w:pPr>
                    <w:pStyle w:val="88"/>
                    <w:rPr>
                      <w:rFonts w:hint="default" w:ascii="Times New Roman" w:hAnsi="Times New Roman" w:cs="Times New Roman"/>
                      <w:bCs/>
                      <w:sz w:val="21"/>
                      <w:szCs w:val="21"/>
                    </w:rPr>
                  </w:pPr>
                  <w:r>
                    <w:rPr>
                      <w:rFonts w:hint="default" w:ascii="Times New Roman" w:hAnsi="Times New Roman" w:cs="Times New Roman"/>
                      <w:bCs/>
                      <w:sz w:val="21"/>
                      <w:szCs w:val="21"/>
                      <w:lang w:val="en-US" w:eastAsia="zh-CN"/>
                    </w:rPr>
                    <w:t>辣木叶</w:t>
                  </w:r>
                  <w:r>
                    <w:rPr>
                      <w:rFonts w:hint="eastAsia" w:ascii="Times New Roman" w:hAnsi="Times New Roman" w:cs="Times New Roman"/>
                      <w:bCs/>
                      <w:sz w:val="21"/>
                      <w:szCs w:val="21"/>
                      <w:lang w:val="en-US" w:eastAsia="zh-CN"/>
                    </w:rPr>
                    <w:t>粉</w:t>
                  </w:r>
                </w:p>
              </w:tc>
              <w:tc>
                <w:tcPr>
                  <w:tcW w:w="1785" w:type="dxa"/>
                  <w:tcBorders>
                    <w:tl2br w:val="nil"/>
                    <w:tr2bl w:val="nil"/>
                  </w:tcBorders>
                  <w:vAlign w:val="center"/>
                </w:tcPr>
                <w:p>
                  <w:pPr>
                    <w:pStyle w:val="88"/>
                    <w:rPr>
                      <w:rFonts w:hint="default" w:ascii="Times New Roman" w:hAnsi="Times New Roman" w:eastAsia="宋体" w:cs="Times New Roman"/>
                      <w:bCs/>
                      <w:szCs w:val="21"/>
                      <w:lang w:val="en-US" w:eastAsia="zh-CN"/>
                    </w:rPr>
                  </w:pPr>
                  <w:r>
                    <w:rPr>
                      <w:rFonts w:hint="eastAsia" w:cs="Times New Roman"/>
                      <w:bCs/>
                      <w:szCs w:val="21"/>
                      <w:lang w:val="en-US" w:eastAsia="zh-CN"/>
                    </w:rPr>
                    <w:t>80</w:t>
                  </w:r>
                </w:p>
              </w:tc>
              <w:tc>
                <w:tcPr>
                  <w:tcW w:w="3640" w:type="dxa"/>
                  <w:tcBorders>
                    <w:tl2br w:val="nil"/>
                    <w:tr2bl w:val="nil"/>
                  </w:tcBorders>
                  <w:vAlign w:val="center"/>
                </w:tcPr>
                <w:p>
                  <w:pPr>
                    <w:pStyle w:val="88"/>
                    <w:rPr>
                      <w:rFonts w:hint="default" w:ascii="Times New Roman" w:hAnsi="Times New Roman" w:cs="Times New Roman"/>
                      <w:bCs/>
                      <w:szCs w:val="21"/>
                    </w:rPr>
                  </w:pPr>
                  <w:r>
                    <w:rPr>
                      <w:rFonts w:hint="eastAsia" w:cs="Times New Roman"/>
                      <w:bCs/>
                      <w:szCs w:val="21"/>
                      <w:lang w:eastAsia="zh-CN"/>
                    </w:rPr>
                    <w:t>粉状，袋装，</w:t>
                  </w:r>
                  <w:r>
                    <w:rPr>
                      <w:rFonts w:hint="default" w:ascii="Times New Roman" w:hAnsi="Times New Roman" w:cs="Times New Roman"/>
                      <w:bCs/>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05" w:type="dxa"/>
                  <w:tcBorders>
                    <w:tl2br w:val="nil"/>
                    <w:tr2bl w:val="nil"/>
                  </w:tcBorders>
                  <w:vAlign w:val="center"/>
                </w:tcPr>
                <w:p>
                  <w:pPr>
                    <w:pStyle w:val="89"/>
                    <w:rPr>
                      <w:rFonts w:hint="default" w:ascii="Times New Roman" w:hAnsi="Times New Roman" w:cs="Times New Roman"/>
                      <w:color w:val="auto"/>
                      <w:kern w:val="36"/>
                    </w:rPr>
                  </w:pPr>
                  <w:r>
                    <w:rPr>
                      <w:rFonts w:hint="default" w:ascii="Times New Roman" w:hAnsi="Times New Roman" w:cs="Times New Roman"/>
                      <w:color w:val="auto"/>
                      <w:kern w:val="36"/>
                    </w:rPr>
                    <w:t>2</w:t>
                  </w:r>
                </w:p>
              </w:tc>
              <w:tc>
                <w:tcPr>
                  <w:tcW w:w="1785" w:type="dxa"/>
                  <w:tcBorders>
                    <w:tl2br w:val="nil"/>
                    <w:tr2bl w:val="nil"/>
                  </w:tcBorders>
                  <w:vAlign w:val="center"/>
                </w:tcPr>
                <w:p>
                  <w:pPr>
                    <w:pStyle w:val="38"/>
                    <w:spacing w:line="240" w:lineRule="auto"/>
                    <w:rPr>
                      <w:rFonts w:hint="default" w:ascii="Times New Roman" w:hAnsi="Times New Roman" w:cs="Times New Roman"/>
                      <w:kern w:val="36"/>
                      <w:sz w:val="21"/>
                      <w:szCs w:val="21"/>
                    </w:rPr>
                  </w:pPr>
                  <w:r>
                    <w:rPr>
                      <w:rFonts w:hint="default" w:ascii="Times New Roman" w:hAnsi="Times New Roman" w:cs="Times New Roman"/>
                      <w:sz w:val="21"/>
                      <w:szCs w:val="21"/>
                      <w:lang w:val="en-US" w:eastAsia="zh-CN"/>
                    </w:rPr>
                    <w:t>桑叶</w:t>
                  </w:r>
                  <w:r>
                    <w:rPr>
                      <w:rFonts w:hint="eastAsia" w:ascii="Times New Roman" w:hAnsi="Times New Roman" w:cs="Times New Roman"/>
                      <w:bCs/>
                      <w:sz w:val="21"/>
                      <w:szCs w:val="21"/>
                      <w:lang w:val="en-US" w:eastAsia="zh-CN"/>
                    </w:rPr>
                    <w:t>粉</w:t>
                  </w:r>
                </w:p>
              </w:tc>
              <w:tc>
                <w:tcPr>
                  <w:tcW w:w="1785" w:type="dxa"/>
                  <w:tcBorders>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80</w:t>
                  </w:r>
                </w:p>
              </w:tc>
              <w:tc>
                <w:tcPr>
                  <w:tcW w:w="3640" w:type="dxa"/>
                  <w:tcBorders>
                    <w:tl2br w:val="nil"/>
                    <w:tr2bl w:val="nil"/>
                  </w:tcBorders>
                  <w:vAlign w:val="center"/>
                </w:tcPr>
                <w:p>
                  <w:pPr>
                    <w:jc w:val="center"/>
                    <w:rPr>
                      <w:rFonts w:hint="default" w:ascii="Times New Roman" w:hAnsi="Times New Roman" w:cs="Times New Roman"/>
                      <w:szCs w:val="21"/>
                    </w:rPr>
                  </w:pPr>
                  <w:r>
                    <w:rPr>
                      <w:rFonts w:hint="eastAsia" w:cs="Times New Roman"/>
                      <w:bCs/>
                      <w:szCs w:val="21"/>
                      <w:lang w:eastAsia="zh-CN"/>
                    </w:rPr>
                    <w:t>粉状，袋装，</w:t>
                  </w:r>
                  <w:r>
                    <w:rPr>
                      <w:rFonts w:hint="default" w:ascii="Times New Roman" w:hAnsi="Times New Roman" w:cs="Times New Roman"/>
                      <w:bCs/>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05" w:type="dxa"/>
                  <w:tcBorders>
                    <w:tl2br w:val="nil"/>
                    <w:tr2bl w:val="nil"/>
                  </w:tcBorders>
                  <w:vAlign w:val="center"/>
                </w:tcPr>
                <w:p>
                  <w:pPr>
                    <w:pStyle w:val="89"/>
                    <w:rPr>
                      <w:rFonts w:hint="default" w:ascii="Times New Roman" w:hAnsi="Times New Roman" w:cs="Times New Roman"/>
                      <w:color w:val="auto"/>
                      <w:kern w:val="36"/>
                    </w:rPr>
                  </w:pPr>
                  <w:r>
                    <w:rPr>
                      <w:rFonts w:hint="default" w:ascii="Times New Roman" w:hAnsi="Times New Roman" w:cs="Times New Roman"/>
                      <w:color w:val="auto"/>
                      <w:kern w:val="36"/>
                    </w:rPr>
                    <w:t>3</w:t>
                  </w:r>
                </w:p>
              </w:tc>
              <w:tc>
                <w:tcPr>
                  <w:tcW w:w="1785" w:type="dxa"/>
                  <w:tcBorders>
                    <w:tl2br w:val="nil"/>
                    <w:tr2bl w:val="nil"/>
                  </w:tcBorders>
                  <w:vAlign w:val="center"/>
                </w:tcPr>
                <w:p>
                  <w:pPr>
                    <w:pStyle w:val="38"/>
                    <w:spacing w:line="240" w:lineRule="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芹菜叶</w:t>
                  </w:r>
                  <w:r>
                    <w:rPr>
                      <w:rFonts w:hint="eastAsia" w:ascii="Times New Roman" w:hAnsi="Times New Roman" w:cs="Times New Roman"/>
                      <w:bCs/>
                      <w:sz w:val="21"/>
                      <w:szCs w:val="21"/>
                      <w:lang w:val="en-US" w:eastAsia="zh-CN"/>
                    </w:rPr>
                    <w:t>粉</w:t>
                  </w:r>
                </w:p>
              </w:tc>
              <w:tc>
                <w:tcPr>
                  <w:tcW w:w="1785" w:type="dxa"/>
                  <w:tcBorders>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80</w:t>
                  </w:r>
                </w:p>
              </w:tc>
              <w:tc>
                <w:tcPr>
                  <w:tcW w:w="3640" w:type="dxa"/>
                  <w:tcBorders>
                    <w:tl2br w:val="nil"/>
                    <w:tr2bl w:val="nil"/>
                  </w:tcBorders>
                  <w:vAlign w:val="center"/>
                </w:tcPr>
                <w:p>
                  <w:pPr>
                    <w:jc w:val="center"/>
                    <w:rPr>
                      <w:rFonts w:hint="default" w:ascii="Times New Roman" w:hAnsi="Times New Roman" w:cs="Times New Roman"/>
                      <w:bCs/>
                      <w:szCs w:val="21"/>
                    </w:rPr>
                  </w:pPr>
                  <w:r>
                    <w:rPr>
                      <w:rFonts w:hint="eastAsia" w:cs="Times New Roman"/>
                      <w:bCs/>
                      <w:szCs w:val="21"/>
                      <w:lang w:eastAsia="zh-CN"/>
                    </w:rPr>
                    <w:t>粉状，袋装，</w:t>
                  </w:r>
                  <w:r>
                    <w:rPr>
                      <w:rFonts w:hint="default" w:ascii="Times New Roman" w:hAnsi="Times New Roman" w:cs="Times New Roman"/>
                      <w:bCs/>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05" w:type="dxa"/>
                  <w:tcBorders>
                    <w:tl2br w:val="nil"/>
                    <w:tr2bl w:val="nil"/>
                  </w:tcBorders>
                  <w:vAlign w:val="center"/>
                </w:tcPr>
                <w:p>
                  <w:pPr>
                    <w:pStyle w:val="89"/>
                    <w:rPr>
                      <w:rFonts w:hint="default" w:ascii="Times New Roman" w:hAnsi="Times New Roman" w:cs="Times New Roman"/>
                      <w:color w:val="auto"/>
                      <w:kern w:val="36"/>
                    </w:rPr>
                  </w:pPr>
                  <w:r>
                    <w:rPr>
                      <w:rFonts w:hint="default" w:ascii="Times New Roman" w:hAnsi="Times New Roman" w:cs="Times New Roman"/>
                      <w:color w:val="auto"/>
                      <w:kern w:val="36"/>
                    </w:rPr>
                    <w:t>4</w:t>
                  </w:r>
                </w:p>
              </w:tc>
              <w:tc>
                <w:tcPr>
                  <w:tcW w:w="1785" w:type="dxa"/>
                  <w:tcBorders>
                    <w:tl2br w:val="nil"/>
                    <w:tr2bl w:val="nil"/>
                  </w:tcBorders>
                  <w:vAlign w:val="center"/>
                </w:tcPr>
                <w:p>
                  <w:pPr>
                    <w:pStyle w:val="38"/>
                    <w:spacing w:line="240" w:lineRule="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大麦苗</w:t>
                  </w:r>
                  <w:r>
                    <w:rPr>
                      <w:rFonts w:hint="eastAsia" w:ascii="Times New Roman" w:hAnsi="Times New Roman" w:cs="Times New Roman"/>
                      <w:bCs/>
                      <w:sz w:val="21"/>
                      <w:szCs w:val="21"/>
                      <w:lang w:val="en-US" w:eastAsia="zh-CN"/>
                    </w:rPr>
                    <w:t>粉</w:t>
                  </w:r>
                </w:p>
              </w:tc>
              <w:tc>
                <w:tcPr>
                  <w:tcW w:w="1785" w:type="dxa"/>
                  <w:tcBorders>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80</w:t>
                  </w:r>
                </w:p>
              </w:tc>
              <w:tc>
                <w:tcPr>
                  <w:tcW w:w="3640" w:type="dxa"/>
                  <w:tcBorders>
                    <w:tl2br w:val="nil"/>
                    <w:tr2bl w:val="nil"/>
                  </w:tcBorders>
                  <w:vAlign w:val="center"/>
                </w:tcPr>
                <w:p>
                  <w:pPr>
                    <w:jc w:val="center"/>
                    <w:rPr>
                      <w:rFonts w:hint="default" w:ascii="Times New Roman" w:hAnsi="Times New Roman" w:cs="Times New Roman"/>
                      <w:bCs/>
                      <w:szCs w:val="21"/>
                    </w:rPr>
                  </w:pPr>
                  <w:r>
                    <w:rPr>
                      <w:rFonts w:hint="eastAsia" w:cs="Times New Roman"/>
                      <w:bCs/>
                      <w:szCs w:val="21"/>
                      <w:lang w:eastAsia="zh-CN"/>
                    </w:rPr>
                    <w:t>粉状，袋装，</w:t>
                  </w:r>
                  <w:r>
                    <w:rPr>
                      <w:rFonts w:hint="default" w:ascii="Times New Roman" w:hAnsi="Times New Roman" w:cs="Times New Roman"/>
                      <w:bCs/>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05" w:type="dxa"/>
                  <w:tcBorders>
                    <w:tl2br w:val="nil"/>
                    <w:tr2bl w:val="nil"/>
                  </w:tcBorders>
                  <w:vAlign w:val="center"/>
                </w:tcPr>
                <w:p>
                  <w:pPr>
                    <w:pStyle w:val="89"/>
                    <w:rPr>
                      <w:rFonts w:hint="default" w:ascii="Times New Roman" w:hAnsi="Times New Roman" w:cs="Times New Roman"/>
                      <w:color w:val="auto"/>
                      <w:kern w:val="36"/>
                    </w:rPr>
                  </w:pPr>
                  <w:r>
                    <w:rPr>
                      <w:rFonts w:hint="default" w:ascii="Times New Roman" w:hAnsi="Times New Roman" w:cs="Times New Roman"/>
                      <w:color w:val="auto"/>
                      <w:kern w:val="36"/>
                    </w:rPr>
                    <w:t>5</w:t>
                  </w:r>
                </w:p>
              </w:tc>
              <w:tc>
                <w:tcPr>
                  <w:tcW w:w="1785" w:type="dxa"/>
                  <w:tcBorders>
                    <w:tl2br w:val="nil"/>
                    <w:tr2bl w:val="nil"/>
                  </w:tcBorders>
                  <w:vAlign w:val="center"/>
                </w:tcPr>
                <w:p>
                  <w:pPr>
                    <w:pStyle w:val="38"/>
                    <w:spacing w:line="240" w:lineRule="auto"/>
                    <w:rPr>
                      <w:rFonts w:hint="default" w:ascii="Times New Roman" w:hAnsi="Times New Roman" w:cs="Times New Roman"/>
                      <w:sz w:val="21"/>
                      <w:szCs w:val="21"/>
                    </w:rPr>
                  </w:pPr>
                  <w:r>
                    <w:rPr>
                      <w:rFonts w:hint="default" w:ascii="Times New Roman" w:hAnsi="Times New Roman" w:cs="Times New Roman"/>
                      <w:sz w:val="21"/>
                      <w:szCs w:val="21"/>
                      <w:highlight w:val="none"/>
                      <w:lang w:val="en-US" w:eastAsia="zh-CN"/>
                    </w:rPr>
                    <w:t>刺梨</w:t>
                  </w:r>
                  <w:r>
                    <w:rPr>
                      <w:rFonts w:hint="eastAsia" w:ascii="Times New Roman" w:hAnsi="Times New Roman" w:cs="Times New Roman"/>
                      <w:bCs/>
                      <w:sz w:val="21"/>
                      <w:szCs w:val="21"/>
                      <w:lang w:val="en-US" w:eastAsia="zh-CN"/>
                    </w:rPr>
                    <w:t>粉</w:t>
                  </w:r>
                </w:p>
              </w:tc>
              <w:tc>
                <w:tcPr>
                  <w:tcW w:w="1785" w:type="dxa"/>
                  <w:tcBorders>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555</w:t>
                  </w:r>
                </w:p>
              </w:tc>
              <w:tc>
                <w:tcPr>
                  <w:tcW w:w="3640" w:type="dxa"/>
                  <w:tcBorders>
                    <w:tl2br w:val="nil"/>
                    <w:tr2bl w:val="nil"/>
                  </w:tcBorders>
                  <w:vAlign w:val="center"/>
                </w:tcPr>
                <w:p>
                  <w:pPr>
                    <w:jc w:val="center"/>
                    <w:rPr>
                      <w:rFonts w:hint="default" w:ascii="Times New Roman" w:hAnsi="Times New Roman" w:cs="Times New Roman"/>
                      <w:bCs/>
                      <w:szCs w:val="21"/>
                    </w:rPr>
                  </w:pPr>
                  <w:r>
                    <w:rPr>
                      <w:rFonts w:hint="eastAsia" w:cs="Times New Roman"/>
                      <w:bCs/>
                      <w:szCs w:val="21"/>
                      <w:lang w:eastAsia="zh-CN"/>
                    </w:rPr>
                    <w:t>粉状，袋装，</w:t>
                  </w:r>
                  <w:r>
                    <w:rPr>
                      <w:rFonts w:hint="default" w:ascii="Times New Roman" w:hAnsi="Times New Roman" w:cs="Times New Roman"/>
                      <w:bCs/>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05" w:type="dxa"/>
                  <w:tcBorders>
                    <w:tl2br w:val="nil"/>
                    <w:tr2bl w:val="nil"/>
                  </w:tcBorders>
                  <w:vAlign w:val="center"/>
                </w:tcPr>
                <w:p>
                  <w:pPr>
                    <w:pStyle w:val="89"/>
                    <w:rPr>
                      <w:rFonts w:hint="default" w:ascii="Times New Roman" w:hAnsi="Times New Roman" w:cs="Times New Roman"/>
                      <w:color w:val="auto"/>
                      <w:kern w:val="36"/>
                    </w:rPr>
                  </w:pPr>
                  <w:r>
                    <w:rPr>
                      <w:rFonts w:hint="default" w:ascii="Times New Roman" w:hAnsi="Times New Roman" w:cs="Times New Roman"/>
                      <w:color w:val="auto"/>
                      <w:kern w:val="36"/>
                    </w:rPr>
                    <w:t>6</w:t>
                  </w:r>
                </w:p>
              </w:tc>
              <w:tc>
                <w:tcPr>
                  <w:tcW w:w="1785" w:type="dxa"/>
                  <w:tcBorders>
                    <w:tl2br w:val="nil"/>
                    <w:tr2bl w:val="nil"/>
                  </w:tcBorders>
                  <w:vAlign w:val="center"/>
                </w:tcPr>
                <w:p>
                  <w:pPr>
                    <w:pStyle w:val="38"/>
                    <w:spacing w:line="240" w:lineRule="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木糖醇</w:t>
                  </w:r>
                  <w:r>
                    <w:rPr>
                      <w:rFonts w:hint="eastAsia" w:ascii="Times New Roman" w:hAnsi="Times New Roman" w:cs="Times New Roman"/>
                      <w:bCs/>
                      <w:sz w:val="21"/>
                      <w:szCs w:val="21"/>
                      <w:lang w:val="en-US" w:eastAsia="zh-CN"/>
                    </w:rPr>
                    <w:t>粉</w:t>
                  </w:r>
                </w:p>
              </w:tc>
              <w:tc>
                <w:tcPr>
                  <w:tcW w:w="1785" w:type="dxa"/>
                  <w:tcBorders>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80</w:t>
                  </w:r>
                </w:p>
              </w:tc>
              <w:tc>
                <w:tcPr>
                  <w:tcW w:w="3640" w:type="dxa"/>
                  <w:tcBorders>
                    <w:tl2br w:val="nil"/>
                    <w:tr2bl w:val="nil"/>
                  </w:tcBorders>
                  <w:vAlign w:val="center"/>
                </w:tcPr>
                <w:p>
                  <w:pPr>
                    <w:jc w:val="center"/>
                    <w:rPr>
                      <w:rFonts w:hint="default" w:ascii="Times New Roman" w:hAnsi="Times New Roman" w:cs="Times New Roman"/>
                      <w:bCs/>
                      <w:szCs w:val="21"/>
                    </w:rPr>
                  </w:pPr>
                  <w:r>
                    <w:rPr>
                      <w:rFonts w:hint="eastAsia" w:cs="Times New Roman"/>
                      <w:bCs/>
                      <w:szCs w:val="21"/>
                      <w:lang w:eastAsia="zh-CN"/>
                    </w:rPr>
                    <w:t>粉状，袋装，</w:t>
                  </w:r>
                  <w:r>
                    <w:rPr>
                      <w:rFonts w:hint="default" w:ascii="Times New Roman" w:hAnsi="Times New Roman" w:cs="Times New Roman"/>
                      <w:bCs/>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05" w:type="dxa"/>
                  <w:tcBorders>
                    <w:tl2br w:val="nil"/>
                    <w:tr2bl w:val="nil"/>
                  </w:tcBorders>
                  <w:vAlign w:val="center"/>
                </w:tcPr>
                <w:p>
                  <w:pPr>
                    <w:pStyle w:val="89"/>
                    <w:rPr>
                      <w:rFonts w:hint="default" w:ascii="Times New Roman" w:hAnsi="Times New Roman" w:cs="Times New Roman"/>
                      <w:color w:val="auto"/>
                      <w:kern w:val="36"/>
                    </w:rPr>
                  </w:pPr>
                  <w:r>
                    <w:rPr>
                      <w:rFonts w:hint="default" w:ascii="Times New Roman" w:hAnsi="Times New Roman" w:cs="Times New Roman"/>
                      <w:color w:val="auto"/>
                      <w:kern w:val="36"/>
                    </w:rPr>
                    <w:t>7</w:t>
                  </w:r>
                </w:p>
              </w:tc>
              <w:tc>
                <w:tcPr>
                  <w:tcW w:w="1785" w:type="dxa"/>
                  <w:tcBorders>
                    <w:tl2br w:val="nil"/>
                    <w:tr2bl w:val="nil"/>
                  </w:tcBorders>
                  <w:vAlign w:val="center"/>
                </w:tcPr>
                <w:p>
                  <w:pPr>
                    <w:pStyle w:val="38"/>
                    <w:spacing w:line="240" w:lineRule="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麦芽糊</w:t>
                  </w:r>
                  <w:r>
                    <w:rPr>
                      <w:rFonts w:hint="eastAsia" w:ascii="Times New Roman" w:hAnsi="Times New Roman" w:cs="Times New Roman"/>
                      <w:bCs/>
                      <w:sz w:val="21"/>
                      <w:szCs w:val="21"/>
                      <w:lang w:val="en-US" w:eastAsia="zh-CN"/>
                    </w:rPr>
                    <w:t>粉</w:t>
                  </w:r>
                </w:p>
              </w:tc>
              <w:tc>
                <w:tcPr>
                  <w:tcW w:w="1785" w:type="dxa"/>
                  <w:tcBorders>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80</w:t>
                  </w:r>
                </w:p>
              </w:tc>
              <w:tc>
                <w:tcPr>
                  <w:tcW w:w="3640" w:type="dxa"/>
                  <w:tcBorders>
                    <w:tl2br w:val="nil"/>
                    <w:tr2bl w:val="nil"/>
                  </w:tcBorders>
                  <w:vAlign w:val="center"/>
                </w:tcPr>
                <w:p>
                  <w:pPr>
                    <w:jc w:val="center"/>
                    <w:rPr>
                      <w:rFonts w:hint="default" w:ascii="Times New Roman" w:hAnsi="Times New Roman" w:cs="Times New Roman"/>
                      <w:bCs/>
                      <w:szCs w:val="21"/>
                    </w:rPr>
                  </w:pPr>
                  <w:r>
                    <w:rPr>
                      <w:rFonts w:hint="eastAsia" w:cs="Times New Roman"/>
                      <w:bCs/>
                      <w:szCs w:val="21"/>
                      <w:lang w:eastAsia="zh-CN"/>
                    </w:rPr>
                    <w:t>粉状，袋装，</w:t>
                  </w:r>
                  <w:r>
                    <w:rPr>
                      <w:rFonts w:hint="default" w:ascii="Times New Roman" w:hAnsi="Times New Roman" w:cs="Times New Roman"/>
                      <w:bCs/>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05" w:type="dxa"/>
                  <w:tcBorders>
                    <w:tl2br w:val="nil"/>
                    <w:tr2bl w:val="nil"/>
                  </w:tcBorders>
                  <w:vAlign w:val="center"/>
                </w:tcPr>
                <w:p>
                  <w:pPr>
                    <w:pStyle w:val="89"/>
                    <w:rPr>
                      <w:rFonts w:hint="default" w:ascii="Times New Roman" w:hAnsi="Times New Roman" w:eastAsia="宋体" w:cs="Times New Roman"/>
                      <w:color w:val="auto"/>
                      <w:kern w:val="36"/>
                      <w:sz w:val="21"/>
                      <w:szCs w:val="21"/>
                      <w:lang w:val="en-US" w:eastAsia="zh-CN" w:bidi="ar-SA"/>
                    </w:rPr>
                  </w:pPr>
                  <w:r>
                    <w:rPr>
                      <w:rFonts w:hint="default" w:ascii="Times New Roman" w:hAnsi="Times New Roman" w:cs="Times New Roman"/>
                      <w:color w:val="auto"/>
                      <w:kern w:val="36"/>
                    </w:rPr>
                    <w:t>8</w:t>
                  </w:r>
                </w:p>
              </w:tc>
              <w:tc>
                <w:tcPr>
                  <w:tcW w:w="1785" w:type="dxa"/>
                  <w:tcBorders>
                    <w:tl2br w:val="nil"/>
                    <w:tr2bl w:val="nil"/>
                  </w:tcBorders>
                  <w:vAlign w:val="center"/>
                </w:tcPr>
                <w:p>
                  <w:pPr>
                    <w:pStyle w:val="38"/>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胃溶型薄膜包衣预混剂</w:t>
                  </w:r>
                </w:p>
              </w:tc>
              <w:tc>
                <w:tcPr>
                  <w:tcW w:w="1785" w:type="dxa"/>
                  <w:tcBorders>
                    <w:tl2br w:val="nil"/>
                    <w:tr2bl w:val="nil"/>
                  </w:tcBorders>
                  <w:vAlign w:val="center"/>
                </w:tcPr>
                <w:p>
                  <w:pPr>
                    <w:jc w:val="center"/>
                    <w:rPr>
                      <w:rFonts w:hint="default" w:cs="Times New Roman"/>
                      <w:szCs w:val="21"/>
                      <w:lang w:val="en-US" w:eastAsia="zh-CN"/>
                    </w:rPr>
                  </w:pPr>
                  <w:r>
                    <w:rPr>
                      <w:rFonts w:hint="eastAsia" w:cs="Times New Roman"/>
                      <w:szCs w:val="21"/>
                      <w:lang w:val="en-US" w:eastAsia="zh-CN"/>
                    </w:rPr>
                    <w:t>3</w:t>
                  </w:r>
                </w:p>
              </w:tc>
              <w:tc>
                <w:tcPr>
                  <w:tcW w:w="3640" w:type="dxa"/>
                  <w:tcBorders>
                    <w:tl2br w:val="nil"/>
                    <w:tr2bl w:val="nil"/>
                  </w:tcBorders>
                  <w:vAlign w:val="center"/>
                </w:tcPr>
                <w:p>
                  <w:pPr>
                    <w:jc w:val="center"/>
                    <w:rPr>
                      <w:rFonts w:hint="default" w:ascii="Times New Roman" w:hAnsi="Times New Roman" w:cs="Times New Roman"/>
                      <w:bCs/>
                      <w:szCs w:val="21"/>
                    </w:rPr>
                  </w:pPr>
                  <w:r>
                    <w:rPr>
                      <w:rFonts w:hint="eastAsia" w:cs="Times New Roman"/>
                      <w:bCs/>
                      <w:szCs w:val="21"/>
                      <w:lang w:eastAsia="zh-CN"/>
                    </w:rPr>
                    <w:t>粉状，袋装，</w:t>
                  </w:r>
                  <w:r>
                    <w:rPr>
                      <w:rFonts w:hint="default" w:ascii="Times New Roman" w:hAnsi="Times New Roman" w:cs="Times New Roman"/>
                      <w:bCs/>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05" w:type="dxa"/>
                  <w:tcBorders>
                    <w:tl2br w:val="nil"/>
                    <w:tr2bl w:val="nil"/>
                  </w:tcBorders>
                  <w:vAlign w:val="center"/>
                </w:tcPr>
                <w:p>
                  <w:pPr>
                    <w:pStyle w:val="89"/>
                    <w:rPr>
                      <w:rFonts w:hint="default" w:ascii="Times New Roman" w:hAnsi="Times New Roman" w:eastAsia="宋体" w:cs="Times New Roman"/>
                      <w:color w:val="auto"/>
                      <w:kern w:val="36"/>
                      <w:sz w:val="21"/>
                      <w:szCs w:val="21"/>
                      <w:lang w:val="en-US" w:eastAsia="zh-CN" w:bidi="ar-SA"/>
                    </w:rPr>
                  </w:pPr>
                  <w:r>
                    <w:rPr>
                      <w:rFonts w:hint="default" w:ascii="Times New Roman" w:hAnsi="Times New Roman" w:cs="Times New Roman"/>
                      <w:color w:val="auto"/>
                      <w:kern w:val="36"/>
                    </w:rPr>
                    <w:t>9</w:t>
                  </w:r>
                </w:p>
              </w:tc>
              <w:tc>
                <w:tcPr>
                  <w:tcW w:w="1785" w:type="dxa"/>
                  <w:tcBorders>
                    <w:tl2br w:val="nil"/>
                    <w:tr2bl w:val="nil"/>
                  </w:tcBorders>
                  <w:vAlign w:val="center"/>
                </w:tcPr>
                <w:p>
                  <w:pPr>
                    <w:pStyle w:val="38"/>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包装瓶</w:t>
                  </w:r>
                </w:p>
              </w:tc>
              <w:tc>
                <w:tcPr>
                  <w:tcW w:w="1785" w:type="dxa"/>
                  <w:tcBorders>
                    <w:tl2br w:val="nil"/>
                    <w:tr2bl w:val="nil"/>
                  </w:tcBorders>
                  <w:vAlign w:val="center"/>
                </w:tcPr>
                <w:p>
                  <w:pPr>
                    <w:jc w:val="center"/>
                    <w:rPr>
                      <w:rFonts w:hint="default" w:ascii="Times New Roman" w:hAnsi="Times New Roman" w:cs="Times New Roman"/>
                      <w:color w:val="auto"/>
                      <w:szCs w:val="21"/>
                    </w:rPr>
                  </w:pPr>
                  <w:r>
                    <w:rPr>
                      <w:rFonts w:hint="eastAsia" w:cs="Times New Roman"/>
                      <w:color w:val="auto"/>
                      <w:szCs w:val="21"/>
                      <w:lang w:val="en-US" w:eastAsia="zh-CN"/>
                    </w:rPr>
                    <w:t>3460</w:t>
                  </w:r>
                  <w:r>
                    <w:rPr>
                      <w:rFonts w:hint="default" w:ascii="Times New Roman" w:hAnsi="Times New Roman" w:cs="Times New Roman"/>
                      <w:color w:val="auto"/>
                      <w:szCs w:val="21"/>
                    </w:rPr>
                    <w:t>万个</w:t>
                  </w:r>
                </w:p>
              </w:tc>
              <w:tc>
                <w:tcPr>
                  <w:tcW w:w="3640" w:type="dxa"/>
                  <w:tcBorders>
                    <w:tl2br w:val="nil"/>
                    <w:tr2bl w:val="nil"/>
                  </w:tcBorders>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外购（</w:t>
                  </w:r>
                  <w:r>
                    <w:rPr>
                      <w:rFonts w:hint="eastAsia" w:cs="Times New Roman"/>
                      <w:bCs/>
                      <w:color w:val="auto"/>
                      <w:szCs w:val="21"/>
                      <w:lang w:val="en-US" w:eastAsia="zh-CN"/>
                    </w:rPr>
                    <w:t>60</w:t>
                  </w:r>
                  <w:r>
                    <w:rPr>
                      <w:rFonts w:hint="eastAsia" w:ascii="Times New Roman" w:hAnsi="Times New Roman" w:cs="Times New Roman"/>
                      <w:bCs/>
                      <w:color w:val="auto"/>
                      <w:kern w:val="36"/>
                      <w:szCs w:val="21"/>
                      <w:lang w:val="en-US" w:eastAsia="zh-CN" w:bidi="ar"/>
                    </w:rPr>
                    <w:t>m</w:t>
                  </w:r>
                  <w:r>
                    <w:rPr>
                      <w:rFonts w:hint="eastAsia" w:cs="Times New Roman"/>
                      <w:bCs/>
                      <w:color w:val="auto"/>
                      <w:kern w:val="36"/>
                      <w:szCs w:val="21"/>
                      <w:lang w:val="en-US" w:eastAsia="zh-CN" w:bidi="ar"/>
                    </w:rPr>
                    <w:t>L/个</w:t>
                  </w:r>
                  <w:r>
                    <w:rPr>
                      <w:rFonts w:hint="default" w:ascii="Times New Roman" w:hAnsi="Times New Roman" w:cs="Times New Roman"/>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05" w:type="dxa"/>
                  <w:tcBorders>
                    <w:tl2br w:val="nil"/>
                    <w:tr2bl w:val="nil"/>
                  </w:tcBorders>
                  <w:vAlign w:val="center"/>
                </w:tcPr>
                <w:p>
                  <w:pPr>
                    <w:pStyle w:val="89"/>
                    <w:rPr>
                      <w:rFonts w:hint="default" w:ascii="Times New Roman" w:hAnsi="Times New Roman" w:eastAsia="宋体" w:cs="Times New Roman"/>
                      <w:color w:val="auto"/>
                      <w:kern w:val="36"/>
                      <w:sz w:val="21"/>
                      <w:szCs w:val="21"/>
                      <w:lang w:val="en-US" w:eastAsia="zh-CN" w:bidi="ar-SA"/>
                    </w:rPr>
                  </w:pPr>
                  <w:r>
                    <w:rPr>
                      <w:rFonts w:hint="default" w:ascii="Times New Roman" w:hAnsi="Times New Roman" w:cs="Times New Roman"/>
                      <w:color w:val="auto"/>
                      <w:kern w:val="36"/>
                    </w:rPr>
                    <w:t>10</w:t>
                  </w:r>
                </w:p>
              </w:tc>
              <w:tc>
                <w:tcPr>
                  <w:tcW w:w="1785" w:type="dxa"/>
                  <w:tcBorders>
                    <w:tl2br w:val="nil"/>
                    <w:tr2bl w:val="nil"/>
                  </w:tcBorders>
                  <w:vAlign w:val="center"/>
                </w:tcPr>
                <w:p>
                  <w:pPr>
                    <w:pStyle w:val="38"/>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食品级喷码油墨</w:t>
                  </w:r>
                </w:p>
              </w:tc>
              <w:tc>
                <w:tcPr>
                  <w:tcW w:w="1785" w:type="dxa"/>
                  <w:tcBorders>
                    <w:tl2br w:val="nil"/>
                    <w:tr2bl w:val="nil"/>
                  </w:tcBorders>
                  <w:vAlign w:val="center"/>
                </w:tcPr>
                <w:p>
                  <w:pPr>
                    <w:pStyle w:val="38"/>
                    <w:spacing w:line="240" w:lineRule="auto"/>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20</w:t>
                  </w:r>
                  <w:r>
                    <w:rPr>
                      <w:rFonts w:hint="default" w:ascii="Times New Roman" w:hAnsi="Times New Roman" w:cs="Times New Roman"/>
                      <w:color w:val="auto"/>
                      <w:sz w:val="21"/>
                      <w:szCs w:val="21"/>
                    </w:rPr>
                    <w:t>kg</w:t>
                  </w:r>
                </w:p>
              </w:tc>
              <w:tc>
                <w:tcPr>
                  <w:tcW w:w="3640" w:type="dxa"/>
                  <w:tcBorders>
                    <w:tl2br w:val="nil"/>
                    <w:tr2bl w:val="nil"/>
                  </w:tcBorders>
                  <w:vAlign w:val="center"/>
                </w:tcPr>
                <w:p>
                  <w:pPr>
                    <w:pStyle w:val="38"/>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05" w:type="dxa"/>
                  <w:tcBorders>
                    <w:tl2br w:val="nil"/>
                    <w:tr2bl w:val="nil"/>
                  </w:tcBorders>
                  <w:vAlign w:val="center"/>
                </w:tcPr>
                <w:p>
                  <w:pPr>
                    <w:pStyle w:val="89"/>
                    <w:rPr>
                      <w:rFonts w:hint="default" w:ascii="Times New Roman" w:hAnsi="Times New Roman" w:eastAsia="宋体" w:cs="Times New Roman"/>
                      <w:color w:val="auto"/>
                      <w:kern w:val="36"/>
                      <w:sz w:val="21"/>
                      <w:szCs w:val="21"/>
                      <w:lang w:val="en-US" w:eastAsia="zh-CN" w:bidi="ar-SA"/>
                    </w:rPr>
                  </w:pPr>
                  <w:r>
                    <w:rPr>
                      <w:rFonts w:hint="default" w:ascii="Times New Roman" w:hAnsi="Times New Roman" w:cs="Times New Roman"/>
                      <w:color w:val="auto"/>
                      <w:kern w:val="36"/>
                    </w:rPr>
                    <w:t>1</w:t>
                  </w:r>
                  <w:r>
                    <w:rPr>
                      <w:rFonts w:hint="eastAsia" w:cs="Times New Roman"/>
                      <w:color w:val="auto"/>
                      <w:kern w:val="36"/>
                      <w:lang w:val="en-US" w:eastAsia="zh-CN"/>
                    </w:rPr>
                    <w:t>1</w:t>
                  </w:r>
                </w:p>
              </w:tc>
              <w:tc>
                <w:tcPr>
                  <w:tcW w:w="1785" w:type="dxa"/>
                  <w:tcBorders>
                    <w:tl2br w:val="nil"/>
                    <w:tr2bl w:val="nil"/>
                  </w:tcBorders>
                  <w:vAlign w:val="center"/>
                </w:tcPr>
                <w:p>
                  <w:pPr>
                    <w:pStyle w:val="38"/>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纸箱</w:t>
                  </w:r>
                </w:p>
              </w:tc>
              <w:tc>
                <w:tcPr>
                  <w:tcW w:w="1785" w:type="dxa"/>
                  <w:tcBorders>
                    <w:tl2br w:val="nil"/>
                    <w:tr2bl w:val="nil"/>
                  </w:tcBorders>
                  <w:vAlign w:val="center"/>
                </w:tcPr>
                <w:p>
                  <w:pPr>
                    <w:pStyle w:val="38"/>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r>
                    <w:rPr>
                      <w:rFonts w:hint="eastAsia" w:ascii="Times New Roman" w:hAnsi="Times New Roman" w:cs="Times New Roman"/>
                      <w:color w:val="auto"/>
                      <w:sz w:val="21"/>
                      <w:szCs w:val="21"/>
                      <w:lang w:val="en-US" w:eastAsia="zh-CN"/>
                    </w:rPr>
                    <w:t>8</w:t>
                  </w:r>
                  <w:r>
                    <w:rPr>
                      <w:rFonts w:hint="default" w:ascii="Times New Roman" w:hAnsi="Times New Roman" w:cs="Times New Roman"/>
                      <w:color w:val="auto"/>
                      <w:sz w:val="21"/>
                      <w:szCs w:val="21"/>
                    </w:rPr>
                    <w:t>万个</w:t>
                  </w:r>
                </w:p>
              </w:tc>
              <w:tc>
                <w:tcPr>
                  <w:tcW w:w="3640" w:type="dxa"/>
                  <w:tcBorders>
                    <w:tl2br w:val="nil"/>
                    <w:tr2bl w:val="nil"/>
                  </w:tcBorders>
                  <w:vAlign w:val="center"/>
                </w:tcPr>
                <w:p>
                  <w:pPr>
                    <w:pStyle w:val="38"/>
                    <w:spacing w:line="240" w:lineRule="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每箱装50瓶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05" w:type="dxa"/>
                  <w:tcBorders>
                    <w:tl2br w:val="nil"/>
                    <w:tr2bl w:val="nil"/>
                  </w:tcBorders>
                  <w:vAlign w:val="center"/>
                </w:tcPr>
                <w:p>
                  <w:pPr>
                    <w:pStyle w:val="89"/>
                    <w:rPr>
                      <w:rFonts w:hint="eastAsia" w:ascii="Times New Roman" w:hAnsi="Times New Roman" w:eastAsia="宋体" w:cs="Times New Roman"/>
                      <w:color w:val="auto"/>
                      <w:kern w:val="36"/>
                      <w:sz w:val="21"/>
                      <w:szCs w:val="21"/>
                      <w:lang w:val="en-US" w:eastAsia="zh-CN" w:bidi="ar-SA"/>
                    </w:rPr>
                  </w:pPr>
                  <w:r>
                    <w:rPr>
                      <w:rFonts w:hint="default" w:ascii="Times New Roman" w:hAnsi="Times New Roman" w:cs="Times New Roman"/>
                      <w:color w:val="auto"/>
                      <w:kern w:val="36"/>
                    </w:rPr>
                    <w:t>1</w:t>
                  </w:r>
                  <w:r>
                    <w:rPr>
                      <w:rFonts w:hint="eastAsia" w:cs="Times New Roman"/>
                      <w:color w:val="auto"/>
                      <w:kern w:val="36"/>
                      <w:lang w:val="en-US" w:eastAsia="zh-CN"/>
                    </w:rPr>
                    <w:t>2</w:t>
                  </w:r>
                </w:p>
              </w:tc>
              <w:tc>
                <w:tcPr>
                  <w:tcW w:w="1785" w:type="dxa"/>
                  <w:tcBorders>
                    <w:tl2br w:val="nil"/>
                    <w:tr2bl w:val="nil"/>
                  </w:tcBorders>
                  <w:vAlign w:val="center"/>
                </w:tcPr>
                <w:p>
                  <w:pPr>
                    <w:pStyle w:val="38"/>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w:t>
                  </w:r>
                </w:p>
              </w:tc>
              <w:tc>
                <w:tcPr>
                  <w:tcW w:w="1785" w:type="dxa"/>
                  <w:tcBorders>
                    <w:tl2br w:val="nil"/>
                    <w:tr2bl w:val="nil"/>
                  </w:tcBorders>
                  <w:vAlign w:val="center"/>
                </w:tcPr>
                <w:p>
                  <w:pPr>
                    <w:tabs>
                      <w:tab w:val="left" w:pos="1857"/>
                      <w:tab w:val="center" w:pos="2585"/>
                    </w:tabs>
                    <w:autoSpaceDN w:val="0"/>
                    <w:adjustRightInd w:val="0"/>
                    <w:snapToGrid w:val="0"/>
                    <w:spacing w:line="340" w:lineRule="exact"/>
                    <w:jc w:val="center"/>
                    <w:textAlignment w:val="center"/>
                    <w:rPr>
                      <w:rFonts w:hint="default" w:ascii="Times New Roman" w:hAnsi="Times New Roman" w:cs="Times New Roman"/>
                      <w:color w:val="auto"/>
                      <w:szCs w:val="21"/>
                    </w:rPr>
                  </w:pPr>
                  <w:r>
                    <w:rPr>
                      <w:rFonts w:hint="eastAsia" w:cs="Times New Roman"/>
                      <w:color w:val="auto"/>
                      <w:szCs w:val="20"/>
                      <w:lang w:val="en-US" w:eastAsia="zh-CN"/>
                    </w:rPr>
                    <w:t>240</w:t>
                  </w:r>
                  <w:r>
                    <w:rPr>
                      <w:rFonts w:hint="default" w:ascii="Times New Roman" w:hAnsi="Times New Roman" w:cs="Times New Roman"/>
                      <w:color w:val="auto"/>
                      <w:szCs w:val="20"/>
                    </w:rPr>
                    <w:t>m</w:t>
                  </w:r>
                  <w:r>
                    <w:rPr>
                      <w:rFonts w:hint="default" w:ascii="Times New Roman" w:hAnsi="Times New Roman" w:cs="Times New Roman"/>
                      <w:color w:val="auto"/>
                      <w:szCs w:val="20"/>
                      <w:vertAlign w:val="superscript"/>
                    </w:rPr>
                    <w:t>3</w:t>
                  </w:r>
                  <w:r>
                    <w:rPr>
                      <w:rFonts w:hint="default" w:ascii="Times New Roman" w:hAnsi="Times New Roman" w:cs="Times New Roman"/>
                      <w:bCs/>
                      <w:color w:val="auto"/>
                      <w:szCs w:val="21"/>
                    </w:rPr>
                    <w:t>/a</w:t>
                  </w:r>
                </w:p>
              </w:tc>
              <w:tc>
                <w:tcPr>
                  <w:tcW w:w="3640"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凤凰镇自来水管网供水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5" w:type="dxa"/>
                  <w:tcBorders>
                    <w:tl2br w:val="nil"/>
                    <w:tr2bl w:val="nil"/>
                  </w:tcBorders>
                  <w:vAlign w:val="center"/>
                </w:tcPr>
                <w:p>
                  <w:pPr>
                    <w:pStyle w:val="89"/>
                    <w:rPr>
                      <w:rFonts w:hint="default" w:ascii="Times New Roman" w:hAnsi="Times New Roman" w:eastAsia="宋体" w:cs="Times New Roman"/>
                      <w:color w:val="auto"/>
                      <w:kern w:val="36"/>
                      <w:lang w:val="en-US" w:eastAsia="zh-CN"/>
                    </w:rPr>
                  </w:pPr>
                  <w:r>
                    <w:rPr>
                      <w:rFonts w:hint="eastAsia" w:cs="Times New Roman"/>
                      <w:color w:val="auto"/>
                      <w:kern w:val="36"/>
                      <w:lang w:val="en-US" w:eastAsia="zh-CN"/>
                    </w:rPr>
                    <w:t>13</w:t>
                  </w:r>
                </w:p>
              </w:tc>
              <w:tc>
                <w:tcPr>
                  <w:tcW w:w="1785" w:type="dxa"/>
                  <w:tcBorders>
                    <w:tl2br w:val="nil"/>
                    <w:tr2bl w:val="nil"/>
                  </w:tcBorders>
                  <w:vAlign w:val="center"/>
                </w:tcPr>
                <w:p>
                  <w:pPr>
                    <w:pStyle w:val="38"/>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电</w:t>
                  </w:r>
                </w:p>
              </w:tc>
              <w:tc>
                <w:tcPr>
                  <w:tcW w:w="1785" w:type="dxa"/>
                  <w:tcBorders>
                    <w:tl2br w:val="nil"/>
                    <w:tr2bl w:val="nil"/>
                  </w:tcBorders>
                  <w:vAlign w:val="center"/>
                </w:tcPr>
                <w:p>
                  <w:pPr>
                    <w:autoSpaceDN w:val="0"/>
                    <w:adjustRightInd w:val="0"/>
                    <w:snapToGrid w:val="0"/>
                    <w:spacing w:line="340" w:lineRule="exact"/>
                    <w:jc w:val="center"/>
                    <w:textAlignment w:val="center"/>
                    <w:rPr>
                      <w:rFonts w:hint="default" w:ascii="Times New Roman" w:hAnsi="Times New Roman" w:cs="Times New Roman"/>
                      <w:color w:val="auto"/>
                      <w:szCs w:val="21"/>
                    </w:rPr>
                  </w:pPr>
                  <w:r>
                    <w:rPr>
                      <w:rFonts w:hint="eastAsia" w:cs="Times New Roman"/>
                      <w:bCs/>
                      <w:color w:val="auto"/>
                      <w:szCs w:val="21"/>
                      <w:lang w:val="en-US" w:eastAsia="zh-CN"/>
                    </w:rPr>
                    <w:t>2</w:t>
                  </w:r>
                  <w:r>
                    <w:rPr>
                      <w:rFonts w:hint="default" w:ascii="Times New Roman" w:hAnsi="Times New Roman" w:cs="Times New Roman"/>
                      <w:bCs/>
                      <w:color w:val="auto"/>
                      <w:szCs w:val="21"/>
                    </w:rPr>
                    <w:t>万kWh/a</w:t>
                  </w:r>
                </w:p>
              </w:tc>
              <w:tc>
                <w:tcPr>
                  <w:tcW w:w="3640"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bCs/>
                      <w:color w:val="auto"/>
                      <w:szCs w:val="21"/>
                    </w:rPr>
                    <w:t>临淄区供电电网接入</w:t>
                  </w:r>
                </w:p>
              </w:tc>
            </w:tr>
          </w:tbl>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注：</w:t>
            </w:r>
          </w:p>
          <w:p>
            <w:pPr>
              <w:spacing w:line="360" w:lineRule="auto"/>
              <w:ind w:firstLine="422" w:firstLineChars="200"/>
              <w:rPr>
                <w:rFonts w:hint="default" w:ascii="Times New Roman" w:hAnsi="Times New Roman" w:cs="Times New Roman"/>
                <w:color w:val="auto"/>
                <w:szCs w:val="21"/>
              </w:rPr>
            </w:pPr>
            <w:r>
              <w:rPr>
                <w:rFonts w:hint="eastAsia" w:cs="Times New Roman"/>
                <w:b/>
                <w:bCs/>
                <w:color w:val="auto"/>
                <w:szCs w:val="21"/>
                <w:lang w:val="en-US" w:eastAsia="zh-CN"/>
              </w:rPr>
              <w:t>刺梨</w:t>
            </w:r>
            <w:r>
              <w:rPr>
                <w:rFonts w:hint="default" w:ascii="Times New Roman" w:hAnsi="Times New Roman" w:cs="Times New Roman"/>
                <w:b/>
                <w:bCs/>
                <w:color w:val="auto"/>
                <w:szCs w:val="21"/>
              </w:rPr>
              <w:t>：</w:t>
            </w:r>
            <w:r>
              <w:rPr>
                <w:rFonts w:hint="default" w:ascii="Times New Roman" w:hAnsi="Times New Roman" w:cs="Times New Roman"/>
                <w:color w:val="auto"/>
                <w:szCs w:val="21"/>
              </w:rPr>
              <w:t>刺梨的营养价值较高，含有丰富的磷、钙，适当食用可以增强体质、维持骨密度，预防骨质疏松。刺梨中还含有丰富的维生素C，不仅可以增强免疫力、抑制癌细胞生长分裂，还可以清除氧自由基，能够减少黑色素生成、美白养颜、延缓衰老。维生素C还能改善铁、钙和叶酸的利用，促进胆固醇代谢，预防心血管疾病。</w:t>
            </w:r>
          </w:p>
          <w:p>
            <w:pPr>
              <w:spacing w:line="360" w:lineRule="auto"/>
              <w:ind w:firstLine="422" w:firstLineChars="200"/>
              <w:rPr>
                <w:rFonts w:hint="eastAsia" w:cs="Times New Roman"/>
                <w:b w:val="0"/>
                <w:bCs w:val="0"/>
                <w:color w:val="auto"/>
                <w:szCs w:val="21"/>
                <w:lang w:val="en-US" w:eastAsia="zh-CN"/>
              </w:rPr>
            </w:pPr>
            <w:r>
              <w:rPr>
                <w:rFonts w:hint="eastAsia" w:cs="Times New Roman"/>
                <w:b/>
                <w:bCs/>
                <w:color w:val="auto"/>
                <w:szCs w:val="21"/>
                <w:lang w:val="en-US" w:eastAsia="zh-CN"/>
              </w:rPr>
              <w:t>辣木叶粉：</w:t>
            </w:r>
            <w:r>
              <w:rPr>
                <w:rFonts w:hint="eastAsia" w:cs="Times New Roman"/>
                <w:b w:val="0"/>
                <w:bCs w:val="0"/>
                <w:color w:val="auto"/>
                <w:szCs w:val="21"/>
                <w:lang w:val="en-US" w:eastAsia="zh-CN"/>
              </w:rPr>
              <w:t>辣木叶粉中的芽糊精、辣木叶粉、金针菇粉、花生粉等成分不仅可以调节血压血脂，还有通便利尿的作用，长期服用有助于增强人体免疫功能，延缓衰老，预防疾病，尤其适合三高和有瘦身需求的人群使用。</w:t>
            </w:r>
          </w:p>
          <w:p>
            <w:pPr>
              <w:spacing w:line="360" w:lineRule="auto"/>
              <w:ind w:firstLine="422" w:firstLineChars="200"/>
              <w:rPr>
                <w:rFonts w:hint="eastAsia" w:cs="Times New Roman"/>
                <w:b w:val="0"/>
                <w:bCs w:val="0"/>
                <w:color w:val="auto"/>
                <w:szCs w:val="21"/>
                <w:lang w:val="en-US" w:eastAsia="zh-CN"/>
              </w:rPr>
            </w:pPr>
            <w:r>
              <w:rPr>
                <w:rFonts w:hint="eastAsia" w:cs="Times New Roman"/>
                <w:b/>
                <w:bCs/>
                <w:color w:val="auto"/>
                <w:szCs w:val="21"/>
                <w:lang w:val="en-US" w:eastAsia="zh-CN"/>
              </w:rPr>
              <w:t>桑叶：</w:t>
            </w:r>
            <w:r>
              <w:rPr>
                <w:rFonts w:hint="eastAsia" w:cs="Times New Roman"/>
                <w:b w:val="0"/>
                <w:bCs w:val="0"/>
                <w:color w:val="auto"/>
                <w:szCs w:val="21"/>
                <w:lang w:val="en-US" w:eastAsia="zh-CN"/>
              </w:rPr>
              <w:t>桑叶是桑叶科落叶乔木植物桑的叶。味苦、甘、性寒。桑叶中营养成分特别丰富，干桑叶中约含粗蛋白24.0克，粗脂肪4.0克，含食物纤维52.9克，钙2699毫克，桑叶含有人体所需的18种氨基酸，含神经传递物质及降压物质γ—酪氨酸，每百克桑叶中平均有226毫克，谷氨酸高达2323毫克，天冬氨酸2049毫克，可见桑叶是氨基酸的宝库。</w:t>
            </w:r>
          </w:p>
          <w:p>
            <w:pPr>
              <w:spacing w:line="360" w:lineRule="auto"/>
              <w:ind w:firstLine="422" w:firstLineChars="200"/>
              <w:rPr>
                <w:rFonts w:hint="default" w:cs="Times New Roman"/>
                <w:b w:val="0"/>
                <w:bCs w:val="0"/>
                <w:color w:val="auto"/>
                <w:szCs w:val="21"/>
                <w:lang w:val="en-US" w:eastAsia="zh-CN"/>
              </w:rPr>
            </w:pPr>
            <w:r>
              <w:rPr>
                <w:rFonts w:hint="eastAsia" w:cs="Times New Roman"/>
                <w:b/>
                <w:bCs/>
                <w:color w:val="auto"/>
                <w:szCs w:val="21"/>
                <w:lang w:val="en-US" w:eastAsia="zh-CN"/>
              </w:rPr>
              <w:t>木糖醇粉：</w:t>
            </w:r>
            <w:r>
              <w:rPr>
                <w:rFonts w:hint="eastAsia" w:cs="Times New Roman"/>
                <w:b w:val="0"/>
                <w:bCs w:val="0"/>
                <w:color w:val="auto"/>
                <w:szCs w:val="21"/>
                <w:lang w:val="en-US" w:eastAsia="zh-CN"/>
              </w:rPr>
              <w:t>化学式C</w:t>
            </w:r>
            <w:r>
              <w:rPr>
                <w:rFonts w:hint="eastAsia" w:cs="Times New Roman"/>
                <w:b w:val="0"/>
                <w:bCs w:val="0"/>
                <w:color w:val="auto"/>
                <w:szCs w:val="21"/>
                <w:vertAlign w:val="subscript"/>
                <w:lang w:val="en-US" w:eastAsia="zh-CN"/>
              </w:rPr>
              <w:t>5</w:t>
            </w:r>
            <w:r>
              <w:rPr>
                <w:rFonts w:hint="eastAsia" w:cs="Times New Roman"/>
                <w:b w:val="0"/>
                <w:bCs w:val="0"/>
                <w:color w:val="auto"/>
                <w:szCs w:val="21"/>
                <w:lang w:val="en-US" w:eastAsia="zh-CN"/>
              </w:rPr>
              <w:t>H</w:t>
            </w:r>
            <w:r>
              <w:rPr>
                <w:rFonts w:hint="eastAsia" w:cs="Times New Roman"/>
                <w:b w:val="0"/>
                <w:bCs w:val="0"/>
                <w:color w:val="auto"/>
                <w:szCs w:val="21"/>
                <w:vertAlign w:val="subscript"/>
                <w:lang w:val="en-US" w:eastAsia="zh-CN"/>
              </w:rPr>
              <w:t>12</w:t>
            </w:r>
            <w:r>
              <w:rPr>
                <w:rFonts w:hint="eastAsia" w:cs="Times New Roman"/>
                <w:b w:val="0"/>
                <w:bCs w:val="0"/>
                <w:color w:val="auto"/>
                <w:szCs w:val="21"/>
                <w:lang w:val="en-US" w:eastAsia="zh-CN"/>
              </w:rPr>
              <w:t>O</w:t>
            </w:r>
            <w:r>
              <w:rPr>
                <w:rFonts w:hint="eastAsia" w:cs="Times New Roman"/>
                <w:b w:val="0"/>
                <w:bCs w:val="0"/>
                <w:color w:val="auto"/>
                <w:szCs w:val="21"/>
                <w:vertAlign w:val="subscript"/>
                <w:lang w:val="en-US" w:eastAsia="zh-CN"/>
              </w:rPr>
              <w:t>5</w:t>
            </w:r>
            <w:r>
              <w:rPr>
                <w:rFonts w:hint="eastAsia" w:cs="Times New Roman"/>
                <w:b w:val="0"/>
                <w:bCs w:val="0"/>
                <w:color w:val="auto"/>
                <w:szCs w:val="21"/>
                <w:lang w:val="en-US" w:eastAsia="zh-CN"/>
              </w:rPr>
              <w:t>，原产于芬兰，是从白桦树、橡树、玉米芯、甘蔗渣等植物原料中提取出来的一种天然甜味剂。在自然界中，木糖醇的分布范围很广，广泛存在于各种水果、蔬菜、谷类之中，但含量很低。对于人体来说，木糖醇也不是一种“舶来品”，它本就是人们身体正常糖类代谢的中间体。</w:t>
            </w:r>
          </w:p>
          <w:p>
            <w:pPr>
              <w:spacing w:line="360" w:lineRule="auto"/>
              <w:ind w:firstLine="422" w:firstLineChars="200"/>
              <w:rPr>
                <w:rFonts w:hint="default" w:cs="Times New Roman"/>
                <w:b w:val="0"/>
                <w:bCs w:val="0"/>
                <w:color w:val="auto"/>
                <w:szCs w:val="21"/>
                <w:lang w:val="en-US" w:eastAsia="zh-CN"/>
              </w:rPr>
            </w:pPr>
            <w:r>
              <w:rPr>
                <w:rFonts w:hint="eastAsia" w:cs="Times New Roman"/>
                <w:b/>
                <w:bCs/>
                <w:color w:val="auto"/>
                <w:szCs w:val="21"/>
                <w:lang w:val="en-US" w:eastAsia="zh-CN"/>
              </w:rPr>
              <w:t>麦芽糊：</w:t>
            </w:r>
            <w:r>
              <w:rPr>
                <w:rFonts w:hint="eastAsia" w:cs="Times New Roman"/>
                <w:b w:val="0"/>
                <w:bCs w:val="0"/>
                <w:color w:val="auto"/>
                <w:szCs w:val="21"/>
                <w:lang w:val="en-US" w:eastAsia="zh-CN"/>
              </w:rPr>
              <w:t>麦芽糊精（MD），是一种多糖类食品原料，是一种介于淀粉和淀粉糖之间的低转化产品。外观上白色或略带浅黄色的无定形粉末，无肉眼可见杂质，具有特殊气味，味道上不甜或者微甜。</w:t>
            </w:r>
          </w:p>
          <w:p>
            <w:pPr>
              <w:spacing w:line="360" w:lineRule="auto"/>
              <w:ind w:firstLine="422" w:firstLineChars="200"/>
              <w:rPr>
                <w:rFonts w:hint="default" w:cs="Times New Roman"/>
                <w:b w:val="0"/>
                <w:bCs w:val="0"/>
                <w:color w:val="auto"/>
                <w:szCs w:val="21"/>
                <w:lang w:val="en-US" w:eastAsia="zh-CN"/>
              </w:rPr>
            </w:pPr>
            <w:r>
              <w:rPr>
                <w:rFonts w:hint="default" w:ascii="Times New Roman" w:hAnsi="Times New Roman" w:cs="Times New Roman"/>
                <w:b/>
                <w:bCs/>
                <w:color w:val="auto"/>
                <w:sz w:val="21"/>
                <w:szCs w:val="21"/>
                <w:lang w:val="en-US" w:eastAsia="zh-CN"/>
              </w:rPr>
              <w:t>胃溶型薄膜包衣预混剂</w:t>
            </w:r>
            <w:r>
              <w:rPr>
                <w:rFonts w:hint="eastAsia" w:cs="Times New Roman"/>
                <w:b/>
                <w:bCs/>
                <w:color w:val="auto"/>
                <w:sz w:val="21"/>
                <w:szCs w:val="21"/>
                <w:lang w:val="en-US" w:eastAsia="zh-CN"/>
              </w:rPr>
              <w:t>：</w:t>
            </w:r>
            <w:r>
              <w:rPr>
                <w:rFonts w:hint="eastAsia" w:cs="Times New Roman"/>
                <w:color w:val="auto"/>
                <w:sz w:val="21"/>
                <w:szCs w:val="21"/>
                <w:lang w:val="en-US" w:eastAsia="zh-CN"/>
              </w:rPr>
              <w:t>胃溶型薄膜包衣预混剂(药用辅料)为色泽均匀的颗料型粉未，无臭、无味。本品能溶解或部分悬浮于水、乙醇中，成为均匀的，呈悬浊状的胶体。其适用范围：70%以下乙醇/水混合液。可用作中、西药物固体制剂、丸剂、颗粒剂的胃溶型包衣材料，还可用作中药颗粒制剂的防潮隔膜。</w:t>
            </w:r>
          </w:p>
          <w:p>
            <w:pPr>
              <w:spacing w:line="360" w:lineRule="auto"/>
              <w:ind w:firstLine="422" w:firstLineChars="200"/>
              <w:rPr>
                <w:rFonts w:hint="default" w:cs="Times New Roman"/>
                <w:b w:val="0"/>
                <w:bCs w:val="0"/>
                <w:color w:val="auto"/>
                <w:szCs w:val="21"/>
                <w:lang w:val="en-US" w:eastAsia="zh-CN"/>
              </w:rPr>
            </w:pPr>
            <w:r>
              <w:rPr>
                <w:rFonts w:hint="eastAsia" w:cs="Times New Roman"/>
                <w:b/>
                <w:bCs/>
                <w:color w:val="auto"/>
                <w:szCs w:val="21"/>
                <w:lang w:val="en-US" w:eastAsia="zh-CN"/>
              </w:rPr>
              <w:t>食品级喷码油墨：</w:t>
            </w:r>
            <w:r>
              <w:rPr>
                <w:rFonts w:hint="eastAsia" w:cs="Times New Roman"/>
                <w:b w:val="0"/>
                <w:bCs w:val="0"/>
                <w:color w:val="auto"/>
                <w:szCs w:val="21"/>
                <w:lang w:val="en-US" w:eastAsia="zh-CN"/>
              </w:rPr>
              <w:t>主要由颜料和稀释剂组成，其中稀释成分为食用级纯酒精，颜料成分为食品级印染料。根据厂家提供资料，7×5点阵打印，每升食品级喷码油墨能喷9千万个字符，该项目包装瓶喷码需求约50字符/瓶，共需喷码3460万瓶，合计173千万个字符，项目使用食品级喷码油墨密度约1g/cm</w:t>
            </w:r>
            <w:r>
              <w:rPr>
                <w:rFonts w:hint="eastAsia" w:cs="Times New Roman"/>
                <w:b w:val="0"/>
                <w:bCs w:val="0"/>
                <w:color w:val="auto"/>
                <w:szCs w:val="21"/>
                <w:vertAlign w:val="superscript"/>
                <w:lang w:val="en-US" w:eastAsia="zh-CN"/>
              </w:rPr>
              <w:t>3</w:t>
            </w:r>
            <w:r>
              <w:rPr>
                <w:rFonts w:hint="eastAsia" w:cs="Times New Roman"/>
                <w:b w:val="0"/>
                <w:bCs w:val="0"/>
                <w:color w:val="auto"/>
                <w:szCs w:val="21"/>
                <w:lang w:val="en-US" w:eastAsia="zh-CN"/>
              </w:rPr>
              <w:t>，核算得需食品级喷码油墨约19kg，本项目预计使用品级喷码油墨20kg，可以满足喷码需求。</w:t>
            </w:r>
          </w:p>
          <w:p>
            <w:pPr>
              <w:spacing w:line="360" w:lineRule="auto"/>
              <w:ind w:firstLine="422" w:firstLineChars="200"/>
              <w:rPr>
                <w:rFonts w:hint="default" w:ascii="Times New Roman" w:hAnsi="Times New Roman" w:cs="Times New Roman"/>
                <w:color w:val="auto"/>
                <w:szCs w:val="21"/>
              </w:rPr>
            </w:pPr>
            <w:r>
              <w:rPr>
                <w:rFonts w:hint="eastAsia" w:cs="Times New Roman"/>
                <w:b/>
                <w:bCs/>
                <w:color w:val="auto"/>
                <w:szCs w:val="21"/>
                <w:lang w:val="en-US" w:eastAsia="zh-CN"/>
              </w:rPr>
              <w:t>6</w:t>
            </w:r>
            <w:r>
              <w:rPr>
                <w:rFonts w:hint="default" w:ascii="Times New Roman" w:hAnsi="Times New Roman" w:cs="Times New Roman"/>
                <w:b/>
                <w:bCs/>
                <w:color w:val="auto"/>
                <w:szCs w:val="21"/>
              </w:rPr>
              <w:t>.职工人数及工作制度</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本项目劳动定员</w:t>
            </w:r>
            <w:r>
              <w:rPr>
                <w:rFonts w:hint="eastAsia" w:cs="Times New Roman"/>
                <w:color w:val="auto"/>
                <w:szCs w:val="21"/>
                <w:lang w:val="en-US" w:eastAsia="zh-CN"/>
              </w:rPr>
              <w:t>16</w:t>
            </w:r>
            <w:r>
              <w:rPr>
                <w:rFonts w:hint="default" w:ascii="Times New Roman" w:hAnsi="Times New Roman" w:cs="Times New Roman"/>
                <w:color w:val="auto"/>
                <w:szCs w:val="21"/>
              </w:rPr>
              <w:t>人，每班8小时，全年共计2400工作时。</w:t>
            </w:r>
          </w:p>
          <w:p>
            <w:pPr>
              <w:spacing w:line="360" w:lineRule="auto"/>
              <w:ind w:firstLine="422" w:firstLineChars="200"/>
              <w:rPr>
                <w:rFonts w:hint="default" w:ascii="Times New Roman" w:hAnsi="Times New Roman" w:cs="Times New Roman"/>
                <w:color w:val="auto"/>
                <w:szCs w:val="21"/>
              </w:rPr>
            </w:pPr>
            <w:r>
              <w:rPr>
                <w:rFonts w:hint="eastAsia" w:cs="Times New Roman"/>
                <w:b/>
                <w:bCs/>
                <w:color w:val="auto"/>
                <w:szCs w:val="21"/>
                <w:lang w:val="en-US" w:eastAsia="zh-CN"/>
              </w:rPr>
              <w:t>7</w:t>
            </w:r>
            <w:r>
              <w:rPr>
                <w:rFonts w:hint="default" w:ascii="Times New Roman" w:hAnsi="Times New Roman" w:cs="Times New Roman"/>
                <w:b/>
                <w:bCs/>
                <w:color w:val="auto"/>
                <w:szCs w:val="21"/>
              </w:rPr>
              <w:t>.项目平面布置</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本项目占地面积</w:t>
            </w:r>
            <w:r>
              <w:rPr>
                <w:rFonts w:hint="eastAsia" w:cs="Times New Roman"/>
                <w:color w:val="auto"/>
                <w:szCs w:val="21"/>
                <w:lang w:val="en-US" w:eastAsia="zh-CN"/>
              </w:rPr>
              <w:t>4030.81</w:t>
            </w:r>
            <w:r>
              <w:rPr>
                <w:rFonts w:hint="default" w:ascii="Times New Roman" w:hAnsi="Times New Roman" w:cs="Times New Roman"/>
                <w:color w:val="auto"/>
                <w:szCs w:val="21"/>
              </w:rPr>
              <w:t>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。本项目布置由南向北依次为门卫、休息室、办公室、仓库、车间。</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厂区工程建筑布局层次分明，生产、办公、功能区划分清楚，便于组织生产和管理，根据安全、卫生、环保、施工等要求，结合厂区地质地形、气象等自然条件，因地制宜地对工厂建构筑物，运输线路等进行总平面布置，力求生产装置紧凑，辅助装置服务到位，有利于生产、安全管理，保护环境。平面布置详细情况见附图</w:t>
            </w:r>
            <w:r>
              <w:rPr>
                <w:rFonts w:hint="eastAsia" w:cs="Times New Roman"/>
                <w:szCs w:val="21"/>
                <w:lang w:val="en-US" w:eastAsia="zh-CN"/>
              </w:rPr>
              <w:t>-平面布置图</w:t>
            </w:r>
            <w:r>
              <w:rPr>
                <w:rFonts w:hint="default" w:ascii="Times New Roman" w:hAnsi="Times New Roman" w:cs="Times New Roman"/>
                <w:szCs w:val="21"/>
              </w:rPr>
              <w:t>。</w:t>
            </w:r>
          </w:p>
          <w:p>
            <w:pPr>
              <w:spacing w:line="360" w:lineRule="auto"/>
              <w:ind w:firstLine="422" w:firstLineChars="200"/>
              <w:rPr>
                <w:rFonts w:hint="default" w:ascii="Times New Roman" w:hAnsi="Times New Roman" w:cs="Times New Roman"/>
                <w:color w:val="auto"/>
                <w:szCs w:val="21"/>
              </w:rPr>
            </w:pPr>
            <w:r>
              <w:rPr>
                <w:rFonts w:hint="eastAsia" w:cs="Times New Roman"/>
                <w:b/>
                <w:bCs/>
                <w:color w:val="auto"/>
                <w:szCs w:val="21"/>
                <w:lang w:val="en-US" w:eastAsia="zh-CN"/>
              </w:rPr>
              <w:t>8</w:t>
            </w:r>
            <w:r>
              <w:rPr>
                <w:rFonts w:hint="default" w:ascii="Times New Roman" w:hAnsi="Times New Roman" w:cs="Times New Roman"/>
                <w:b/>
                <w:bCs/>
                <w:color w:val="auto"/>
                <w:szCs w:val="21"/>
              </w:rPr>
              <w:t>.水平衡</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因此本项目给排水工程主要为职工生活用水。</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（1）给水</w:t>
            </w:r>
          </w:p>
          <w:p>
            <w:pPr>
              <w:spacing w:line="360" w:lineRule="auto"/>
              <w:ind w:firstLine="420" w:firstLineChars="200"/>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本项目职工生活用水，劳动定员</w:t>
            </w:r>
            <w:r>
              <w:rPr>
                <w:rFonts w:hint="eastAsia" w:cs="Times New Roman"/>
                <w:snapToGrid w:val="0"/>
                <w:color w:val="auto"/>
                <w:kern w:val="0"/>
                <w:szCs w:val="21"/>
                <w:lang w:val="en-US" w:eastAsia="zh-CN"/>
              </w:rPr>
              <w:t>16</w:t>
            </w:r>
            <w:r>
              <w:rPr>
                <w:rFonts w:hint="default" w:ascii="Times New Roman" w:hAnsi="Times New Roman" w:cs="Times New Roman"/>
                <w:snapToGrid w:val="0"/>
                <w:color w:val="auto"/>
                <w:kern w:val="0"/>
                <w:szCs w:val="21"/>
              </w:rPr>
              <w:t>人，不提供食宿，生活用水量按50L/人·天计算，年工作日300天，职工生活用水量为</w:t>
            </w:r>
            <w:r>
              <w:rPr>
                <w:rFonts w:hint="eastAsia" w:cs="Times New Roman"/>
                <w:snapToGrid w:val="0"/>
                <w:color w:val="auto"/>
                <w:kern w:val="0"/>
                <w:szCs w:val="21"/>
                <w:lang w:val="en-US" w:eastAsia="zh-CN"/>
              </w:rPr>
              <w:t>24</w:t>
            </w:r>
            <w:r>
              <w:rPr>
                <w:rFonts w:hint="default" w:ascii="Times New Roman" w:hAnsi="Times New Roman" w:cs="Times New Roman"/>
                <w:snapToGrid w:val="0"/>
                <w:color w:val="auto"/>
                <w:kern w:val="0"/>
                <w:szCs w:val="21"/>
              </w:rPr>
              <w:t>0m</w:t>
            </w:r>
            <w:r>
              <w:rPr>
                <w:rFonts w:hint="default" w:ascii="Times New Roman" w:hAnsi="Times New Roman" w:cs="Times New Roman"/>
                <w:snapToGrid w:val="0"/>
                <w:color w:val="auto"/>
                <w:kern w:val="0"/>
                <w:szCs w:val="21"/>
                <w:vertAlign w:val="superscript"/>
              </w:rPr>
              <w:t>3</w:t>
            </w:r>
            <w:r>
              <w:rPr>
                <w:rFonts w:hint="default" w:ascii="Times New Roman" w:hAnsi="Times New Roman" w:cs="Times New Roman"/>
                <w:snapToGrid w:val="0"/>
                <w:color w:val="auto"/>
                <w:kern w:val="0"/>
                <w:szCs w:val="21"/>
              </w:rPr>
              <w:t>/a。</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（2）排水</w:t>
            </w:r>
          </w:p>
          <w:p>
            <w:pPr>
              <w:spacing w:line="360" w:lineRule="auto"/>
              <w:ind w:firstLine="420" w:firstLineChars="200"/>
              <w:rPr>
                <w:rFonts w:hint="eastAsia" w:ascii="Times New Roman" w:hAnsi="Times New Roman" w:eastAsia="宋体" w:cs="Times New Roman"/>
                <w:snapToGrid w:val="0"/>
                <w:color w:val="auto"/>
                <w:kern w:val="0"/>
                <w:szCs w:val="21"/>
                <w:lang w:eastAsia="zh-CN"/>
              </w:rPr>
            </w:pPr>
            <w:r>
              <w:rPr>
                <w:rFonts w:hint="default" w:ascii="Times New Roman" w:hAnsi="Times New Roman" w:cs="Times New Roman"/>
                <w:snapToGrid w:val="0"/>
                <w:color w:val="auto"/>
                <w:kern w:val="0"/>
                <w:szCs w:val="21"/>
              </w:rPr>
              <w:t>本项目废水主要为职工生活污水。生活污水产生量按给水量的80%计，约为</w:t>
            </w:r>
            <w:r>
              <w:rPr>
                <w:rFonts w:hint="eastAsia" w:cs="Times New Roman"/>
                <w:snapToGrid w:val="0"/>
                <w:color w:val="auto"/>
                <w:kern w:val="0"/>
                <w:szCs w:val="21"/>
                <w:lang w:val="en-US" w:eastAsia="zh-CN"/>
              </w:rPr>
              <w:t>192</w:t>
            </w:r>
            <w:r>
              <w:rPr>
                <w:rFonts w:hint="default" w:ascii="Times New Roman" w:hAnsi="Times New Roman" w:cs="Times New Roman"/>
                <w:snapToGrid w:val="0"/>
                <w:color w:val="auto"/>
                <w:kern w:val="0"/>
                <w:szCs w:val="21"/>
              </w:rPr>
              <w:t>m</w:t>
            </w:r>
            <w:r>
              <w:rPr>
                <w:rFonts w:hint="default" w:ascii="Times New Roman" w:hAnsi="Times New Roman" w:cs="Times New Roman"/>
                <w:snapToGrid w:val="0"/>
                <w:color w:val="auto"/>
                <w:kern w:val="0"/>
                <w:szCs w:val="21"/>
                <w:vertAlign w:val="superscript"/>
              </w:rPr>
              <w:t>3</w:t>
            </w:r>
            <w:r>
              <w:rPr>
                <w:rFonts w:hint="default" w:ascii="Times New Roman" w:hAnsi="Times New Roman" w:cs="Times New Roman"/>
                <w:snapToGrid w:val="0"/>
                <w:color w:val="auto"/>
                <w:kern w:val="0"/>
                <w:szCs w:val="21"/>
              </w:rPr>
              <w:t>/a，进入厂区化粪池</w:t>
            </w:r>
            <w:r>
              <w:rPr>
                <w:rFonts w:hint="default" w:ascii="Times New Roman" w:hAnsi="Times New Roman" w:cs="Times New Roman"/>
                <w:snapToGrid w:val="0"/>
                <w:color w:val="auto"/>
                <w:kern w:val="0"/>
                <w:szCs w:val="21"/>
                <w:lang w:eastAsia="zh-CN"/>
              </w:rPr>
              <w:t>，由环卫部门定期清理</w:t>
            </w:r>
            <w:r>
              <w:rPr>
                <w:rFonts w:hint="eastAsia" w:cs="Times New Roman"/>
                <w:snapToGrid w:val="0"/>
                <w:color w:val="auto"/>
                <w:kern w:val="0"/>
                <w:szCs w:val="21"/>
                <w:lang w:eastAsia="zh-CN"/>
              </w:rPr>
              <w:t>。</w:t>
            </w:r>
          </w:p>
          <w:p>
            <w:pPr>
              <w:spacing w:line="360" w:lineRule="auto"/>
              <w:ind w:firstLine="420" w:firstLineChars="200"/>
              <w:rPr>
                <w:rFonts w:hint="default" w:ascii="Times New Roman" w:hAnsi="Times New Roman" w:cs="Times New Roman"/>
                <w:snapToGrid w:val="0"/>
                <w:color w:val="auto"/>
                <w:kern w:val="0"/>
                <w:szCs w:val="21"/>
                <w:lang w:val="en-US" w:eastAsia="zh-CN"/>
              </w:rPr>
            </w:pPr>
            <w:r>
              <w:rPr>
                <w:rFonts w:hint="default" w:ascii="Times New Roman" w:hAnsi="Times New Roman" w:cs="Times New Roman"/>
                <w:snapToGrid w:val="0"/>
                <w:color w:val="auto"/>
                <w:kern w:val="0"/>
                <w:szCs w:val="21"/>
                <w:lang w:val="en-US" w:eastAsia="zh-CN"/>
              </w:rPr>
              <w:t>项目水平衡图如下：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color w:val="auto"/>
                <w:szCs w:val="21"/>
              </w:rPr>
            </w:pPr>
            <w:r>
              <w:rPr>
                <w:rFonts w:hint="default" w:ascii="Times New Roman" w:hAnsi="Times New Roman" w:cs="Times New Roman"/>
                <w:color w:val="auto"/>
                <w:sz w:val="21"/>
                <w:szCs w:val="21"/>
              </w:rPr>
              <w:object>
                <v:shape id="_x0000_i1025" o:spt="75" type="#_x0000_t75" style="height:52pt;width:305.05pt;" o:ole="t" filled="f" o:preferrelative="t" stroked="f" coordsize="21600,21600">
                  <v:path/>
                  <v:fill on="f" focussize="0,0"/>
                  <v:stroke on="f"/>
                  <v:imagedata r:id="rId9" cropleft="8910f" cropbottom="42441f" o:title=""/>
                  <o:lock v:ext="edit" aspectratio="t"/>
                  <w10:wrap type="none"/>
                  <w10:anchorlock/>
                </v:shape>
                <o:OLEObject Type="Embed" ProgID="Visio.Drawing.11" ShapeID="_x0000_i1025" DrawAspect="Content" ObjectID="_1468075725" r:id="rId8">
                  <o:LockedField>false</o:LockedField>
                </o:OLEObject>
              </w:object>
            </w:r>
          </w:p>
          <w:p>
            <w:pPr>
              <w:spacing w:line="36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图1  本项目水平衡图  单位m</w:t>
            </w:r>
            <w:r>
              <w:rPr>
                <w:rFonts w:hint="default" w:ascii="Times New Roman" w:hAnsi="Times New Roman" w:cs="Times New Roman"/>
                <w:b/>
                <w:color w:val="auto"/>
                <w:szCs w:val="21"/>
                <w:vertAlign w:val="superscript"/>
              </w:rPr>
              <w:t>3</w:t>
            </w:r>
            <w:r>
              <w:rPr>
                <w:rFonts w:hint="default" w:ascii="Times New Roman" w:hAnsi="Times New Roman" w:cs="Times New Roman"/>
                <w:b/>
                <w:color w:val="auto"/>
                <w:szCs w:val="21"/>
              </w:rPr>
              <w:t>/a</w:t>
            </w:r>
          </w:p>
          <w:p>
            <w:pPr>
              <w:rPr>
                <w:rFonts w:hint="default" w:ascii="Times New Roman" w:hAnsi="Times New Roman" w:cs="Times New Roman"/>
                <w:b/>
                <w:szCs w:val="21"/>
              </w:rPr>
            </w:pPr>
          </w:p>
          <w:p>
            <w:pPr>
              <w:spacing w:line="360" w:lineRule="auto"/>
              <w:rPr>
                <w:rFonts w:hint="default" w:ascii="Times New Roman" w:hAnsi="Times New Roman" w:cs="Times New Roman"/>
                <w:bCs/>
                <w:szCs w:val="21"/>
              </w:rPr>
            </w:pPr>
          </w:p>
        </w:tc>
      </w:tr>
    </w:tbl>
    <w:p>
      <w:pPr>
        <w:pStyle w:val="23"/>
        <w:adjustRightInd w:val="0"/>
        <w:snapToGrid w:val="0"/>
        <w:spacing w:before="0" w:beforeAutospacing="0" w:after="0" w:afterAutospacing="0"/>
        <w:jc w:val="center"/>
        <w:rPr>
          <w:rFonts w:hint="default" w:ascii="Times New Roman" w:hAnsi="Times New Roman" w:cs="Times New Roman"/>
          <w:sz w:val="21"/>
          <w:szCs w:val="21"/>
        </w:rPr>
        <w:sectPr>
          <w:pgSz w:w="11906" w:h="16838"/>
          <w:pgMar w:top="1701" w:right="1531" w:bottom="1701" w:left="1531" w:header="851" w:footer="851" w:gutter="0"/>
          <w:cols w:space="720" w:num="1"/>
          <w:docGrid w:linePitch="312" w:charSpace="0"/>
        </w:sectPr>
      </w:pPr>
    </w:p>
    <w:tbl>
      <w:tblPr>
        <w:tblStyle w:val="26"/>
        <w:tblW w:w="89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823" w:type="dxa"/>
            <w:vAlign w:val="center"/>
          </w:tcPr>
          <w:p>
            <w:pPr>
              <w:pStyle w:val="23"/>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sz w:val="21"/>
                <w:szCs w:val="21"/>
              </w:rPr>
              <w:t>工艺流程和产排污环节</w:t>
            </w:r>
          </w:p>
        </w:tc>
        <w:tc>
          <w:tcPr>
            <w:tcW w:w="8161" w:type="dxa"/>
          </w:tcPr>
          <w:p>
            <w:pPr>
              <w:pStyle w:val="59"/>
              <w:ind w:right="0" w:rightChars="0" w:firstLine="422"/>
              <w:jc w:val="both"/>
              <w:rPr>
                <w:rFonts w:hint="default" w:ascii="Times New Roman" w:hAnsi="Times New Roman" w:cs="Times New Roman"/>
                <w:sz w:val="21"/>
                <w:szCs w:val="21"/>
              </w:rPr>
            </w:pPr>
            <w:r>
              <w:rPr>
                <w:rFonts w:hint="default" w:ascii="Times New Roman" w:hAnsi="Times New Roman" w:cs="Times New Roman"/>
                <w:sz w:val="21"/>
                <w:szCs w:val="21"/>
              </w:rPr>
              <w:t>1.施工期</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本项目依托现有</w:t>
            </w:r>
            <w:r>
              <w:rPr>
                <w:rFonts w:hint="default" w:ascii="Times New Roman" w:hAnsi="Times New Roman" w:cs="Times New Roman"/>
                <w:sz w:val="21"/>
                <w:szCs w:val="21"/>
                <w:lang w:val="en-US" w:eastAsia="zh-CN"/>
              </w:rPr>
              <w:t>闲置</w:t>
            </w:r>
            <w:r>
              <w:rPr>
                <w:rFonts w:hint="default" w:ascii="Times New Roman" w:hAnsi="Times New Roman" w:cs="Times New Roman"/>
                <w:sz w:val="21"/>
                <w:szCs w:val="21"/>
              </w:rPr>
              <w:t>厂房进行建设，无土建施工，仅进行设备安装，此处不再评价。</w:t>
            </w:r>
          </w:p>
          <w:p>
            <w:pPr>
              <w:pStyle w:val="62"/>
              <w:adjustRightInd/>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2.营运期</w:t>
            </w:r>
          </w:p>
          <w:p>
            <w:pPr>
              <w:spacing w:line="360" w:lineRule="auto"/>
              <w:ind w:firstLine="420" w:firstLineChars="200"/>
              <w:rPr>
                <w:rFonts w:hint="default"/>
              </w:rPr>
            </w:pPr>
            <w:r>
              <w:rPr>
                <w:rFonts w:hint="default" w:ascii="Times New Roman" w:hAnsi="Times New Roman" w:cs="Times New Roman"/>
                <w:sz w:val="21"/>
                <w:szCs w:val="21"/>
              </w:rPr>
              <w:t>（1）工艺流程（图示</w:t>
            </w:r>
            <w:r>
              <w:rPr>
                <w:rFonts w:hint="default"/>
              </w:rPr>
              <w:t>）：</w:t>
            </w:r>
          </w:p>
          <w:p>
            <w:pPr>
              <w:pStyle w:val="62"/>
              <w:adjustRightInd/>
              <w:spacing w:line="360" w:lineRule="auto"/>
              <w:ind w:firstLine="0"/>
              <w:jc w:val="center"/>
              <w:rPr>
                <w:rFonts w:hint="default"/>
                <w:b/>
                <w:bCs/>
                <w:sz w:val="21"/>
                <w:szCs w:val="21"/>
              </w:rPr>
            </w:pPr>
            <w:r>
              <w:rPr>
                <w:rFonts w:hint="default"/>
              </w:rPr>
              <w:object>
                <v:shape id="_x0000_i1026" o:spt="75" type="#_x0000_t75" style="height:99.25pt;width:397.05pt;" o:ole="t" filled="f" o:preferrelative="t" stroked="f" coordsize="21600,21600">
                  <v:path/>
                  <v:fill on="f" focussize="0,0"/>
                  <v:stroke on="f"/>
                  <v:imagedata r:id="rId11" o:title=""/>
                  <o:lock v:ext="edit" aspectratio="f"/>
                  <w10:wrap type="none"/>
                  <w10:anchorlock/>
                </v:shape>
                <o:OLEObject Type="Embed" ProgID="Visio.Drawing.11" ShapeID="_x0000_i1026" DrawAspect="Content" ObjectID="_1468075726" r:id="rId10">
                  <o:LockedField>false</o:LockedField>
                </o:OLEObject>
              </w:object>
            </w:r>
            <w:r>
              <w:rPr>
                <w:rFonts w:hint="default"/>
                <w:b/>
                <w:bCs/>
                <w:sz w:val="21"/>
                <w:szCs w:val="21"/>
              </w:rPr>
              <w:t>图2  项目生产工艺流程图</w:t>
            </w:r>
          </w:p>
          <w:p>
            <w:pPr>
              <w:tabs>
                <w:tab w:val="center" w:pos="360"/>
                <w:tab w:val="center" w:pos="540"/>
                <w:tab w:val="left" w:pos="3600"/>
              </w:tabs>
              <w:spacing w:line="360" w:lineRule="auto"/>
              <w:ind w:firstLine="420" w:firstLineChars="200"/>
              <w:rPr>
                <w:rFonts w:hint="default"/>
                <w:color w:val="auto"/>
              </w:rPr>
            </w:pPr>
            <w:r>
              <w:rPr>
                <w:rFonts w:hint="default"/>
                <w:color w:val="auto"/>
              </w:rPr>
              <w:t>（2）工艺流程简述：</w:t>
            </w:r>
          </w:p>
          <w:p>
            <w:pPr>
              <w:tabs>
                <w:tab w:val="center" w:pos="360"/>
                <w:tab w:val="center" w:pos="540"/>
                <w:tab w:val="left" w:pos="3600"/>
              </w:tabs>
              <w:spacing w:line="360" w:lineRule="auto"/>
              <w:ind w:firstLine="420" w:firstLineChars="200"/>
              <w:rPr>
                <w:rFonts w:hint="default"/>
                <w:color w:val="auto"/>
                <w:lang w:eastAsia="zh-CN"/>
              </w:rPr>
            </w:pPr>
            <w:r>
              <w:rPr>
                <w:rFonts w:hint="default"/>
                <w:color w:val="auto"/>
                <w:lang w:val="en-US" w:eastAsia="zh-CN"/>
              </w:rPr>
              <w:t>1）</w:t>
            </w:r>
            <w:r>
              <w:rPr>
                <w:rFonts w:hint="default"/>
                <w:color w:val="auto"/>
              </w:rPr>
              <w:t>外购合格的原材料（</w:t>
            </w:r>
            <w:r>
              <w:rPr>
                <w:rFonts w:hint="eastAsia"/>
                <w:color w:val="auto"/>
                <w:lang w:eastAsia="zh-CN"/>
              </w:rPr>
              <w:t>刺梨粉</w:t>
            </w:r>
            <w:r>
              <w:rPr>
                <w:rFonts w:hint="default"/>
                <w:color w:val="auto"/>
              </w:rPr>
              <w:t>、辣木叶粉、</w:t>
            </w:r>
            <w:r>
              <w:rPr>
                <w:rFonts w:hint="eastAsia"/>
                <w:color w:val="auto"/>
                <w:lang w:eastAsia="zh-CN"/>
              </w:rPr>
              <w:t>桑叶粉</w:t>
            </w:r>
            <w:r>
              <w:rPr>
                <w:rFonts w:hint="default"/>
                <w:color w:val="auto"/>
              </w:rPr>
              <w:t>等）</w:t>
            </w:r>
            <w:r>
              <w:rPr>
                <w:rFonts w:hint="default"/>
                <w:color w:val="auto"/>
                <w:lang w:eastAsia="zh-CN"/>
              </w:rPr>
              <w:t>，</w:t>
            </w:r>
            <w:r>
              <w:rPr>
                <w:rFonts w:hint="default"/>
                <w:color w:val="auto"/>
              </w:rPr>
              <w:t>按一定比例</w:t>
            </w:r>
            <w:r>
              <w:rPr>
                <w:rFonts w:hint="default"/>
                <w:color w:val="auto"/>
                <w:lang w:eastAsia="zh-CN"/>
              </w:rPr>
              <w:t>通过</w:t>
            </w:r>
            <w:r>
              <w:rPr>
                <w:rFonts w:hint="eastAsia"/>
                <w:color w:val="auto"/>
                <w:lang w:eastAsia="zh-CN"/>
              </w:rPr>
              <w:t>混料机</w:t>
            </w:r>
            <w:r>
              <w:rPr>
                <w:rFonts w:hint="eastAsia"/>
                <w:color w:val="auto"/>
                <w:lang w:val="en-US" w:eastAsia="zh-CN"/>
              </w:rPr>
              <w:t>配套自动投料设备送入</w:t>
            </w:r>
            <w:r>
              <w:rPr>
                <w:rFonts w:hint="default"/>
                <w:color w:val="auto"/>
                <w:lang w:eastAsia="zh-CN"/>
              </w:rPr>
              <w:t>投料口</w:t>
            </w:r>
            <w:r>
              <w:rPr>
                <w:rFonts w:hint="eastAsia"/>
                <w:color w:val="auto"/>
                <w:lang w:eastAsia="zh-CN"/>
              </w:rPr>
              <w:t>，</w:t>
            </w:r>
            <w:r>
              <w:rPr>
                <w:rFonts w:hint="eastAsia"/>
                <w:color w:val="auto"/>
                <w:lang w:val="en-US" w:eastAsia="zh-CN"/>
              </w:rPr>
              <w:t>投料过程</w:t>
            </w:r>
            <w:r>
              <w:rPr>
                <w:rFonts w:hint="eastAsia"/>
                <w:color w:val="auto"/>
                <w:lang w:eastAsia="zh-CN"/>
              </w:rPr>
              <w:t>在混料机内进行混料搅拌</w:t>
            </w:r>
            <w:r>
              <w:rPr>
                <w:rFonts w:hint="default"/>
                <w:color w:val="auto"/>
                <w:lang w:eastAsia="zh-CN"/>
              </w:rPr>
              <w:t>。</w:t>
            </w:r>
          </w:p>
          <w:p>
            <w:pPr>
              <w:tabs>
                <w:tab w:val="center" w:pos="360"/>
                <w:tab w:val="center" w:pos="540"/>
                <w:tab w:val="left" w:pos="3600"/>
              </w:tabs>
              <w:spacing w:line="360" w:lineRule="auto"/>
              <w:ind w:firstLine="420" w:firstLineChars="200"/>
              <w:rPr>
                <w:rFonts w:hint="default"/>
                <w:color w:val="auto"/>
                <w:lang w:eastAsia="zh-CN"/>
              </w:rPr>
            </w:pPr>
            <w:r>
              <w:rPr>
                <w:rFonts w:hint="default"/>
                <w:color w:val="auto"/>
                <w:lang w:eastAsia="zh-CN"/>
              </w:rPr>
              <w:t>产污分析：项目原料投料</w:t>
            </w:r>
            <w:r>
              <w:rPr>
                <w:rFonts w:hint="eastAsia"/>
                <w:color w:val="auto"/>
                <w:lang w:eastAsia="zh-CN"/>
              </w:rPr>
              <w:t>混合搅拌</w:t>
            </w:r>
            <w:r>
              <w:rPr>
                <w:rFonts w:hint="default"/>
                <w:color w:val="auto"/>
                <w:lang w:eastAsia="zh-CN"/>
              </w:rPr>
              <w:t>过程会产生少量粉尘</w:t>
            </w:r>
            <w:r>
              <w:rPr>
                <w:rFonts w:hint="eastAsia"/>
                <w:color w:val="auto"/>
                <w:lang w:eastAsia="zh-CN"/>
              </w:rPr>
              <w:t>及噪声</w:t>
            </w:r>
            <w:r>
              <w:rPr>
                <w:rFonts w:hint="default"/>
                <w:color w:val="auto"/>
                <w:lang w:eastAsia="zh-CN"/>
              </w:rPr>
              <w:t>。</w:t>
            </w:r>
          </w:p>
          <w:p>
            <w:pPr>
              <w:keepNext w:val="0"/>
              <w:keepLines w:val="0"/>
              <w:pageBreakBefore w:val="0"/>
              <w:widowControl w:val="0"/>
              <w:numPr>
                <w:ilvl w:val="0"/>
                <w:numId w:val="0"/>
              </w:numPr>
              <w:tabs>
                <w:tab w:val="center" w:pos="360"/>
                <w:tab w:val="center" w:pos="540"/>
                <w:tab w:val="left" w:pos="3600"/>
              </w:tabs>
              <w:kinsoku/>
              <w:wordWrap/>
              <w:overflowPunct/>
              <w:topLinePunct w:val="0"/>
              <w:autoSpaceDE/>
              <w:autoSpaceDN/>
              <w:bidi w:val="0"/>
              <w:adjustRightInd/>
              <w:snapToGrid/>
              <w:spacing w:line="360" w:lineRule="auto"/>
              <w:ind w:leftChars="0" w:firstLine="420" w:firstLineChars="200"/>
              <w:textAlignment w:val="auto"/>
              <w:rPr>
                <w:rFonts w:hint="default"/>
                <w:color w:val="auto"/>
              </w:rPr>
            </w:pPr>
            <w:r>
              <w:rPr>
                <w:rFonts w:hint="default"/>
                <w:color w:val="auto"/>
                <w:lang w:val="en-US" w:eastAsia="zh-CN"/>
              </w:rPr>
              <w:t>2）</w:t>
            </w:r>
            <w:r>
              <w:rPr>
                <w:rFonts w:hint="eastAsia"/>
                <w:color w:val="auto"/>
                <w:lang w:val="en-US" w:eastAsia="zh-CN"/>
              </w:rPr>
              <w:t>混合均匀的原料通过密闭容器自动输送入压片机压片成型，压片过程中无需添加其他添加剂，每片约0.5g</w:t>
            </w:r>
            <w:r>
              <w:rPr>
                <w:rFonts w:hint="default"/>
                <w:color w:val="auto"/>
                <w:lang w:val="en-US" w:eastAsia="zh-CN"/>
              </w:rPr>
              <w:t>。</w:t>
            </w:r>
          </w:p>
          <w:p>
            <w:pPr>
              <w:numPr>
                <w:ilvl w:val="0"/>
                <w:numId w:val="0"/>
              </w:numPr>
              <w:tabs>
                <w:tab w:val="center" w:pos="360"/>
                <w:tab w:val="center" w:pos="540"/>
                <w:tab w:val="left" w:pos="3600"/>
              </w:tabs>
              <w:spacing w:line="360" w:lineRule="auto"/>
              <w:ind w:leftChars="200"/>
              <w:rPr>
                <w:rFonts w:hint="default"/>
                <w:color w:val="auto"/>
                <w:lang w:val="en-US" w:eastAsia="zh-CN"/>
              </w:rPr>
            </w:pPr>
            <w:r>
              <w:rPr>
                <w:rFonts w:hint="default"/>
                <w:color w:val="auto"/>
                <w:lang w:eastAsia="zh-CN"/>
              </w:rPr>
              <w:t>产污分析：</w:t>
            </w:r>
            <w:r>
              <w:rPr>
                <w:rFonts w:hint="eastAsia"/>
                <w:color w:val="auto"/>
                <w:lang w:eastAsia="zh-CN"/>
              </w:rPr>
              <w:t>压片机</w:t>
            </w:r>
            <w:r>
              <w:rPr>
                <w:rFonts w:hint="default"/>
                <w:color w:val="auto"/>
                <w:lang w:eastAsia="zh-CN"/>
              </w:rPr>
              <w:t>运行过程中会产生</w:t>
            </w:r>
            <w:r>
              <w:rPr>
                <w:rFonts w:hint="eastAsia"/>
                <w:color w:val="auto"/>
                <w:lang w:val="en-US" w:eastAsia="zh-CN"/>
              </w:rPr>
              <w:t>粉尘和</w:t>
            </w:r>
            <w:r>
              <w:rPr>
                <w:rFonts w:hint="eastAsia"/>
                <w:color w:val="auto"/>
                <w:lang w:eastAsia="zh-CN"/>
              </w:rPr>
              <w:t>噪声</w:t>
            </w:r>
            <w:r>
              <w:rPr>
                <w:rFonts w:hint="default"/>
                <w:color w:val="auto"/>
                <w:lang w:eastAsia="zh-CN"/>
              </w:rPr>
              <w:t>。</w:t>
            </w:r>
          </w:p>
          <w:p>
            <w:pPr>
              <w:keepNext w:val="0"/>
              <w:keepLines w:val="0"/>
              <w:pageBreakBefore w:val="0"/>
              <w:widowControl w:val="0"/>
              <w:numPr>
                <w:ilvl w:val="0"/>
                <w:numId w:val="0"/>
              </w:numPr>
              <w:tabs>
                <w:tab w:val="center" w:pos="360"/>
                <w:tab w:val="center" w:pos="540"/>
                <w:tab w:val="left" w:pos="3600"/>
              </w:tabs>
              <w:kinsoku/>
              <w:wordWrap/>
              <w:overflowPunct/>
              <w:topLinePunct w:val="0"/>
              <w:autoSpaceDE/>
              <w:autoSpaceDN/>
              <w:bidi w:val="0"/>
              <w:adjustRightInd/>
              <w:snapToGrid/>
              <w:spacing w:line="360" w:lineRule="auto"/>
              <w:ind w:leftChars="0" w:firstLine="420" w:firstLineChars="200"/>
              <w:textAlignment w:val="auto"/>
              <w:rPr>
                <w:rFonts w:hint="default"/>
                <w:color w:val="auto"/>
              </w:rPr>
            </w:pPr>
            <w:r>
              <w:rPr>
                <w:rFonts w:hint="default"/>
                <w:color w:val="auto"/>
                <w:lang w:val="en-US" w:eastAsia="zh-CN"/>
              </w:rPr>
              <w:t>3）</w:t>
            </w:r>
            <w:r>
              <w:rPr>
                <w:rFonts w:hint="eastAsia"/>
                <w:color w:val="auto"/>
                <w:lang w:val="en-US" w:eastAsia="zh-CN"/>
              </w:rPr>
              <w:t>片状成品送入包衣机内，用喷雾的方式将胃溶型薄膜包衣预混剂喷到滚动的片状成品表面，其在片状成品包裹上一层胃溶型薄膜包衣，最终得到成品</w:t>
            </w:r>
            <w:r>
              <w:rPr>
                <w:rFonts w:hint="default"/>
                <w:color w:val="auto"/>
                <w:lang w:val="en-US" w:eastAsia="zh-CN"/>
              </w:rPr>
              <w:t>。</w:t>
            </w:r>
          </w:p>
          <w:p>
            <w:pPr>
              <w:keepNext w:val="0"/>
              <w:keepLines w:val="0"/>
              <w:pageBreakBefore w:val="0"/>
              <w:widowControl w:val="0"/>
              <w:numPr>
                <w:ilvl w:val="0"/>
                <w:numId w:val="0"/>
              </w:numPr>
              <w:tabs>
                <w:tab w:val="center" w:pos="360"/>
                <w:tab w:val="center" w:pos="540"/>
                <w:tab w:val="left" w:pos="3600"/>
              </w:tabs>
              <w:kinsoku/>
              <w:wordWrap/>
              <w:overflowPunct/>
              <w:topLinePunct w:val="0"/>
              <w:autoSpaceDE/>
              <w:autoSpaceDN/>
              <w:bidi w:val="0"/>
              <w:adjustRightInd/>
              <w:snapToGrid/>
              <w:spacing w:line="360" w:lineRule="auto"/>
              <w:ind w:leftChars="0" w:firstLine="420" w:firstLineChars="200"/>
              <w:textAlignment w:val="auto"/>
              <w:rPr>
                <w:rFonts w:hint="default"/>
                <w:color w:val="auto"/>
                <w:lang w:eastAsia="zh-CN"/>
              </w:rPr>
            </w:pPr>
            <w:r>
              <w:rPr>
                <w:rFonts w:hint="default"/>
                <w:color w:val="auto"/>
                <w:lang w:eastAsia="zh-CN"/>
              </w:rPr>
              <w:t>产污分析：</w:t>
            </w:r>
            <w:r>
              <w:rPr>
                <w:rFonts w:hint="eastAsia"/>
                <w:color w:val="auto"/>
                <w:lang w:eastAsia="zh-CN"/>
              </w:rPr>
              <w:t>包衣机</w:t>
            </w:r>
            <w:r>
              <w:rPr>
                <w:rFonts w:hint="default"/>
                <w:color w:val="auto"/>
                <w:lang w:eastAsia="zh-CN"/>
              </w:rPr>
              <w:t>运行过程中会产生</w:t>
            </w:r>
            <w:r>
              <w:rPr>
                <w:rFonts w:hint="eastAsia"/>
                <w:color w:val="auto"/>
                <w:lang w:eastAsia="zh-CN"/>
              </w:rPr>
              <w:t>噪声</w:t>
            </w:r>
            <w:r>
              <w:rPr>
                <w:rFonts w:hint="default"/>
                <w:color w:val="auto"/>
                <w:lang w:eastAsia="zh-CN"/>
              </w:rPr>
              <w:t>。</w:t>
            </w:r>
          </w:p>
          <w:p>
            <w:pPr>
              <w:keepNext w:val="0"/>
              <w:keepLines w:val="0"/>
              <w:pageBreakBefore w:val="0"/>
              <w:widowControl w:val="0"/>
              <w:numPr>
                <w:ilvl w:val="0"/>
                <w:numId w:val="0"/>
              </w:numPr>
              <w:tabs>
                <w:tab w:val="center" w:pos="360"/>
                <w:tab w:val="center" w:pos="540"/>
                <w:tab w:val="left" w:pos="3600"/>
              </w:tabs>
              <w:kinsoku/>
              <w:wordWrap/>
              <w:overflowPunct/>
              <w:topLinePunct w:val="0"/>
              <w:autoSpaceDE/>
              <w:autoSpaceDN/>
              <w:bidi w:val="0"/>
              <w:adjustRightInd/>
              <w:snapToGrid/>
              <w:spacing w:line="360" w:lineRule="auto"/>
              <w:ind w:leftChars="0" w:firstLine="420" w:firstLineChars="200"/>
              <w:textAlignment w:val="auto"/>
              <w:rPr>
                <w:rFonts w:hint="default"/>
                <w:color w:val="auto"/>
              </w:rPr>
            </w:pPr>
            <w:r>
              <w:rPr>
                <w:rFonts w:hint="default"/>
                <w:color w:val="auto"/>
                <w:lang w:val="en-US" w:eastAsia="zh-CN"/>
              </w:rPr>
              <w:t>4）</w:t>
            </w:r>
            <w:r>
              <w:rPr>
                <w:rFonts w:hint="eastAsia"/>
                <w:color w:val="auto"/>
                <w:lang w:val="en-US" w:eastAsia="zh-CN"/>
              </w:rPr>
              <w:t>装瓶用塑料瓶及瓶盖经过臭氧消毒机消毒后，通过</w:t>
            </w:r>
            <w:r>
              <w:rPr>
                <w:rFonts w:hint="eastAsia"/>
                <w:color w:val="auto"/>
                <w:lang w:eastAsia="zh-CN"/>
              </w:rPr>
              <w:t>自动装瓶机将成品装入瓶中，每瓶装60粒（约30克），</w:t>
            </w:r>
            <w:r>
              <w:rPr>
                <w:rFonts w:hint="eastAsia"/>
                <w:color w:val="auto"/>
                <w:lang w:val="en-US" w:eastAsia="zh-CN"/>
              </w:rPr>
              <w:t>装瓶过程中无需封口、加膜。其中臭氧消毒机使用一定频率的高压电流制造电晕电场，使电场内或周围的氧分子发生电化学反应，从而产生臭氧，对塑料瓶及瓶盖进行消毒</w:t>
            </w:r>
            <w:r>
              <w:rPr>
                <w:rFonts w:hint="default"/>
                <w:color w:val="auto"/>
              </w:rPr>
              <w:t>。</w:t>
            </w:r>
          </w:p>
          <w:p>
            <w:pPr>
              <w:keepNext w:val="0"/>
              <w:keepLines w:val="0"/>
              <w:pageBreakBefore w:val="0"/>
              <w:widowControl w:val="0"/>
              <w:numPr>
                <w:ilvl w:val="0"/>
                <w:numId w:val="0"/>
              </w:numPr>
              <w:tabs>
                <w:tab w:val="center" w:pos="360"/>
                <w:tab w:val="center" w:pos="540"/>
                <w:tab w:val="left" w:pos="3600"/>
              </w:tabs>
              <w:kinsoku/>
              <w:wordWrap/>
              <w:overflowPunct/>
              <w:topLinePunct w:val="0"/>
              <w:autoSpaceDE/>
              <w:autoSpaceDN/>
              <w:bidi w:val="0"/>
              <w:adjustRightInd/>
              <w:snapToGrid/>
              <w:spacing w:line="360" w:lineRule="auto"/>
              <w:ind w:leftChars="0" w:firstLine="420" w:firstLineChars="200"/>
              <w:textAlignment w:val="auto"/>
              <w:rPr>
                <w:rFonts w:hint="default"/>
                <w:color w:val="auto"/>
              </w:rPr>
            </w:pPr>
            <w:r>
              <w:rPr>
                <w:rFonts w:hint="default"/>
                <w:color w:val="auto"/>
                <w:lang w:eastAsia="zh-CN"/>
              </w:rPr>
              <w:t>产污分析：</w:t>
            </w:r>
            <w:r>
              <w:rPr>
                <w:rFonts w:hint="eastAsia"/>
                <w:color w:val="auto"/>
                <w:lang w:eastAsia="zh-CN"/>
              </w:rPr>
              <w:t>装瓶</w:t>
            </w:r>
            <w:r>
              <w:rPr>
                <w:rFonts w:hint="default"/>
                <w:color w:val="auto"/>
                <w:lang w:eastAsia="zh-CN"/>
              </w:rPr>
              <w:t>工序会产生噪声。</w:t>
            </w:r>
          </w:p>
          <w:p>
            <w:pPr>
              <w:keepNext w:val="0"/>
              <w:keepLines w:val="0"/>
              <w:pageBreakBefore w:val="0"/>
              <w:widowControl w:val="0"/>
              <w:numPr>
                <w:ilvl w:val="0"/>
                <w:numId w:val="0"/>
              </w:numPr>
              <w:tabs>
                <w:tab w:val="center" w:pos="360"/>
                <w:tab w:val="center" w:pos="540"/>
                <w:tab w:val="left" w:pos="3600"/>
              </w:tabs>
              <w:kinsoku/>
              <w:wordWrap/>
              <w:overflowPunct/>
              <w:topLinePunct w:val="0"/>
              <w:autoSpaceDE/>
              <w:autoSpaceDN/>
              <w:bidi w:val="0"/>
              <w:adjustRightInd/>
              <w:snapToGrid/>
              <w:spacing w:line="360" w:lineRule="auto"/>
              <w:ind w:leftChars="0" w:firstLine="420" w:firstLineChars="200"/>
              <w:textAlignment w:val="auto"/>
              <w:rPr>
                <w:rFonts w:hint="default"/>
                <w:color w:val="auto"/>
              </w:rPr>
            </w:pPr>
            <w:r>
              <w:rPr>
                <w:rFonts w:hint="default"/>
                <w:color w:val="auto"/>
                <w:lang w:val="en-US" w:eastAsia="zh-CN"/>
              </w:rPr>
              <w:t>5）</w:t>
            </w:r>
            <w:r>
              <w:rPr>
                <w:rFonts w:hint="eastAsia"/>
                <w:color w:val="auto"/>
                <w:lang w:eastAsia="zh-CN"/>
              </w:rPr>
              <w:t>装瓶后的</w:t>
            </w:r>
            <w:r>
              <w:rPr>
                <w:rFonts w:hint="default"/>
                <w:color w:val="auto"/>
              </w:rPr>
              <w:t>成品，进入包装喷码工序，在食品包装瓶、包装箱上喷码，标明厂家、生产日期等信息，喷码均采用食品级油墨，入库待售。</w:t>
            </w:r>
          </w:p>
          <w:p>
            <w:pPr>
              <w:spacing w:line="360" w:lineRule="auto"/>
              <w:ind w:firstLine="420" w:firstLineChars="200"/>
              <w:rPr>
                <w:rFonts w:hint="default" w:ascii="Times New Roman" w:hAnsi="Times New Roman" w:cs="Times New Roman"/>
                <w:color w:val="auto"/>
                <w:szCs w:val="21"/>
              </w:rPr>
            </w:pPr>
            <w:r>
              <w:rPr>
                <w:rFonts w:hint="default"/>
                <w:color w:val="auto"/>
                <w:lang w:eastAsia="zh-CN"/>
              </w:rPr>
              <w:t>产污分析：</w:t>
            </w:r>
            <w:r>
              <w:rPr>
                <w:rFonts w:hint="eastAsia"/>
                <w:color w:val="auto"/>
                <w:lang w:eastAsia="zh-CN"/>
              </w:rPr>
              <w:t>包装喷码</w:t>
            </w:r>
            <w:r>
              <w:rPr>
                <w:rFonts w:hint="default"/>
                <w:color w:val="auto"/>
                <w:lang w:eastAsia="zh-CN"/>
              </w:rPr>
              <w:t>工序会产生噪声。</w:t>
            </w:r>
            <w:r>
              <w:rPr>
                <w:rFonts w:hint="default" w:ascii="Times New Roman" w:hAnsi="Times New Roman" w:cs="Times New Roman"/>
                <w:color w:val="auto"/>
                <w:szCs w:val="21"/>
              </w:rPr>
              <w:t>喷码工序仅对包装</w:t>
            </w:r>
            <w:r>
              <w:rPr>
                <w:rFonts w:hint="default" w:ascii="Times New Roman" w:hAnsi="Times New Roman" w:cs="Times New Roman"/>
                <w:color w:val="auto"/>
                <w:szCs w:val="21"/>
                <w:lang w:val="en-US" w:eastAsia="zh-CN"/>
              </w:rPr>
              <w:t>瓶</w:t>
            </w:r>
            <w:r>
              <w:rPr>
                <w:rFonts w:hint="default" w:ascii="Times New Roman" w:hAnsi="Times New Roman" w:cs="Times New Roman"/>
                <w:color w:val="auto"/>
                <w:szCs w:val="21"/>
              </w:rPr>
              <w:t>进行</w:t>
            </w:r>
            <w:r>
              <w:rPr>
                <w:rFonts w:hint="default" w:ascii="Times New Roman" w:hAnsi="Times New Roman" w:cs="Times New Roman"/>
                <w:color w:val="auto"/>
                <w:szCs w:val="21"/>
                <w:lang w:val="en-US" w:eastAsia="zh-CN"/>
              </w:rPr>
              <w:t>生产</w:t>
            </w:r>
            <w:r>
              <w:rPr>
                <w:rFonts w:hint="default" w:ascii="Times New Roman" w:hAnsi="Times New Roman" w:cs="Times New Roman"/>
                <w:color w:val="auto"/>
                <w:szCs w:val="21"/>
              </w:rPr>
              <w:t>厂家、生产日期的喷码，喷码作业量小，喷码机配套安装墨盒，墨盒均密闭，不会产生挥发废气，废气挥发主要为喷码工序完成后的溶剂挥发，挥发面源并不单一在喷码机附近，本项目油墨年使用量</w:t>
            </w:r>
            <w:r>
              <w:rPr>
                <w:rFonts w:hint="eastAsia" w:cs="Times New Roman"/>
                <w:color w:val="auto"/>
                <w:szCs w:val="21"/>
                <w:lang w:val="en-US" w:eastAsia="zh-CN"/>
              </w:rPr>
              <w:t>20</w:t>
            </w:r>
            <w:r>
              <w:rPr>
                <w:rFonts w:hint="default" w:ascii="Times New Roman" w:hAnsi="Times New Roman" w:cs="Times New Roman"/>
                <w:color w:val="auto"/>
                <w:szCs w:val="21"/>
              </w:rPr>
              <w:t>kg，用量小，挥发VOCs产生速率极小且不易收集。此外，喷码过程使用喷码油墨均为食品级油墨，油墨中溶剂为食用酒精，不会对工作人员及周围环境造成不利影响，故本项目不做量化分析。</w:t>
            </w:r>
          </w:p>
          <w:p>
            <w:pPr>
              <w:tabs>
                <w:tab w:val="center" w:pos="360"/>
                <w:tab w:val="center" w:pos="540"/>
                <w:tab w:val="left" w:pos="3600"/>
              </w:tabs>
              <w:spacing w:line="360" w:lineRule="auto"/>
              <w:ind w:firstLine="420" w:firstLineChars="200"/>
              <w:rPr>
                <w:rFonts w:hint="default"/>
                <w:color w:val="auto"/>
                <w:lang w:eastAsia="zh-CN"/>
              </w:rPr>
            </w:pPr>
            <w:r>
              <w:rPr>
                <w:rFonts w:hint="default"/>
                <w:color w:val="auto"/>
                <w:lang w:eastAsia="zh-CN"/>
              </w:rPr>
              <w:t>（</w:t>
            </w:r>
            <w:r>
              <w:rPr>
                <w:rFonts w:hint="default"/>
                <w:color w:val="auto"/>
                <w:lang w:val="en-US" w:eastAsia="zh-CN"/>
              </w:rPr>
              <w:t>3</w:t>
            </w:r>
            <w:r>
              <w:rPr>
                <w:rFonts w:hint="default"/>
                <w:color w:val="auto"/>
                <w:lang w:eastAsia="zh-CN"/>
              </w:rPr>
              <w:t>）废气处理</w:t>
            </w:r>
          </w:p>
          <w:p>
            <w:pPr>
              <w:tabs>
                <w:tab w:val="center" w:pos="360"/>
                <w:tab w:val="center" w:pos="540"/>
                <w:tab w:val="left" w:pos="3600"/>
              </w:tabs>
              <w:spacing w:line="360" w:lineRule="auto"/>
              <w:ind w:firstLine="420" w:firstLineChars="200"/>
              <w:rPr>
                <w:rFonts w:hint="default"/>
                <w:lang w:eastAsia="zh-CN"/>
              </w:rPr>
            </w:pPr>
            <w:r>
              <w:rPr>
                <w:rFonts w:hint="eastAsia"/>
                <w:lang w:eastAsia="zh-CN"/>
              </w:rPr>
              <w:t>混料机、</w:t>
            </w:r>
            <w:r>
              <w:rPr>
                <w:rFonts w:hint="eastAsia"/>
                <w:lang w:val="en-US" w:eastAsia="zh-CN"/>
              </w:rPr>
              <w:t>压片机</w:t>
            </w:r>
            <w:r>
              <w:rPr>
                <w:rFonts w:hint="default"/>
                <w:lang w:eastAsia="zh-CN"/>
              </w:rPr>
              <w:t>上</w:t>
            </w:r>
            <w:r>
              <w:rPr>
                <w:rFonts w:hint="eastAsia"/>
                <w:lang w:val="en-US" w:eastAsia="zh-CN"/>
              </w:rPr>
              <w:t>方</w:t>
            </w:r>
            <w:r>
              <w:rPr>
                <w:rFonts w:hint="default"/>
                <w:lang w:eastAsia="zh-CN"/>
              </w:rPr>
              <w:t>设置集气罩，经收集进入布袋除尘器处理后通过</w:t>
            </w:r>
            <w:r>
              <w:rPr>
                <w:rFonts w:hint="default"/>
                <w:lang w:val="en-US" w:eastAsia="zh-CN"/>
              </w:rPr>
              <w:t>15m高排气筒达标排放。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823" w:type="dxa"/>
            <w:vAlign w:val="center"/>
          </w:tcPr>
          <w:p>
            <w:pPr>
              <w:pStyle w:val="23"/>
              <w:adjustRightInd w:val="0"/>
              <w:snapToGrid w:val="0"/>
              <w:spacing w:before="0" w:beforeAutospacing="0" w:after="0" w:afterAutospacing="0"/>
              <w:jc w:val="center"/>
              <w:rPr>
                <w:rFonts w:hint="default" w:ascii="Times New Roman" w:hAnsi="Times New Roman" w:cs="Times New Roman"/>
                <w:sz w:val="21"/>
                <w:szCs w:val="21"/>
              </w:rPr>
            </w:pPr>
            <w:r>
              <w:rPr>
                <w:rFonts w:hint="default" w:ascii="Times New Roman" w:hAnsi="Times New Roman" w:cs="Times New Roman"/>
                <w:bCs/>
                <w:kern w:val="2"/>
                <w:sz w:val="21"/>
                <w:szCs w:val="21"/>
              </w:rPr>
              <w:t>与项目有关的原有环境污染问题</w:t>
            </w:r>
          </w:p>
        </w:tc>
        <w:tc>
          <w:tcPr>
            <w:tcW w:w="8161" w:type="dxa"/>
          </w:tcPr>
          <w:p>
            <w:pPr>
              <w:spacing w:line="360" w:lineRule="auto"/>
              <w:ind w:firstLine="420" w:firstLineChars="200"/>
              <w:rPr>
                <w:rStyle w:val="34"/>
                <w:rFonts w:hint="default" w:ascii="Times New Roman" w:hAnsi="Times New Roman" w:cs="Times New Roman"/>
                <w:color w:val="auto"/>
                <w:kern w:val="0"/>
                <w:szCs w:val="20"/>
                <w:highlight w:val="none"/>
              </w:rPr>
            </w:pPr>
            <w:r>
              <w:rPr>
                <w:rFonts w:hint="default" w:ascii="Times New Roman" w:hAnsi="Times New Roman" w:cs="Times New Roman"/>
                <w:bCs/>
                <w:color w:val="auto"/>
                <w:kern w:val="36"/>
                <w:szCs w:val="21"/>
                <w:highlight w:val="none"/>
                <w:lang w:bidi="ar"/>
              </w:rPr>
              <w:t>本项目为新建项目，</w:t>
            </w:r>
            <w:r>
              <w:rPr>
                <w:rFonts w:hint="default" w:ascii="Times New Roman" w:hAnsi="Times New Roman" w:cs="Times New Roman"/>
                <w:bCs/>
                <w:color w:val="auto"/>
                <w:kern w:val="36"/>
                <w:szCs w:val="21"/>
                <w:highlight w:val="none"/>
                <w:lang w:eastAsia="zh-CN" w:bidi="ar"/>
              </w:rPr>
              <w:t>所在厂区原用于商贸经营（经营者为土地所有人于立堂），无生产活动，因经营不善，</w:t>
            </w:r>
            <w:r>
              <w:rPr>
                <w:rFonts w:hint="eastAsia" w:cs="Times New Roman"/>
                <w:bCs/>
                <w:color w:val="auto"/>
                <w:kern w:val="36"/>
                <w:szCs w:val="21"/>
                <w:highlight w:val="none"/>
                <w:lang w:eastAsia="zh-CN" w:bidi="ar"/>
              </w:rPr>
              <w:t>厂区闲置多年，本项目</w:t>
            </w:r>
            <w:r>
              <w:rPr>
                <w:rFonts w:hint="default" w:ascii="Times New Roman" w:hAnsi="Times New Roman" w:cs="Times New Roman"/>
                <w:bCs/>
                <w:color w:val="auto"/>
                <w:kern w:val="36"/>
                <w:szCs w:val="21"/>
                <w:highlight w:val="none"/>
                <w:lang w:bidi="ar"/>
              </w:rPr>
              <w:t>在现有闲置车间内建设，无原有污染情况，且</w:t>
            </w:r>
            <w:r>
              <w:rPr>
                <w:rFonts w:hint="default" w:ascii="Times New Roman" w:hAnsi="Times New Roman" w:cs="Times New Roman"/>
                <w:color w:val="auto"/>
                <w:highlight w:val="none"/>
              </w:rPr>
              <w:t>拟建项目污染较小</w:t>
            </w:r>
            <w:r>
              <w:rPr>
                <w:rFonts w:hint="default" w:ascii="Times New Roman" w:hAnsi="Times New Roman" w:cs="Times New Roman"/>
                <w:bCs/>
                <w:color w:val="auto"/>
                <w:kern w:val="36"/>
                <w:szCs w:val="21"/>
                <w:highlight w:val="none"/>
                <w:lang w:bidi="ar"/>
              </w:rPr>
              <w:t>，</w:t>
            </w:r>
            <w:r>
              <w:rPr>
                <w:rFonts w:hint="default" w:ascii="Times New Roman" w:hAnsi="Times New Roman" w:cs="Times New Roman"/>
                <w:color w:val="auto"/>
                <w:highlight w:val="none"/>
              </w:rPr>
              <w:t>在现有厂址上进行建设是可行的。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Style w:val="34"/>
                <w:rFonts w:hint="default" w:ascii="Times New Roman" w:hAnsi="Times New Roman" w:eastAsia="宋体" w:cs="Times New Roman"/>
                <w:color w:val="auto"/>
                <w:kern w:val="0"/>
                <w:szCs w:val="20"/>
                <w:lang w:val="en-US" w:eastAsia="zh-CN"/>
              </w:rPr>
            </w:pPr>
            <w:r>
              <w:rPr>
                <w:rStyle w:val="34"/>
                <w:rFonts w:hint="default" w:ascii="Times New Roman" w:hAnsi="Times New Roman" w:cs="Times New Roman"/>
                <w:color w:val="auto"/>
                <w:kern w:val="0"/>
                <w:szCs w:val="20"/>
                <w:lang w:val="en-US" w:eastAsia="zh-CN"/>
              </w:rPr>
              <w:t>厂区部分现场照片如下：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Style w:val="34"/>
                <w:rFonts w:hint="default" w:ascii="Times New Roman" w:hAnsi="Times New Roman" w:cs="Times New Roman"/>
                <w:color w:val="auto"/>
                <w:kern w:val="0"/>
                <w:szCs w:val="20"/>
              </w:rPr>
            </w:pPr>
            <w:r>
              <w:rPr>
                <w:rFonts w:hint="default"/>
                <w:lang w:val="en-US" w:eastAsia="zh-CN"/>
              </w:rPr>
              <w:drawing>
                <wp:inline distT="0" distB="0" distL="114300" distR="114300">
                  <wp:extent cx="1717040" cy="2289175"/>
                  <wp:effectExtent l="0" t="0" r="16510" b="15875"/>
                  <wp:docPr id="7" name="图片 7" descr="4d3ddedb889c3b2ffef97779bae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d3ddedb889c3b2ffef97779bae0539"/>
                          <pic:cNvPicPr>
                            <a:picLocks noChangeAspect="1"/>
                          </pic:cNvPicPr>
                        </pic:nvPicPr>
                        <pic:blipFill>
                          <a:blip r:embed="rId12"/>
                          <a:stretch>
                            <a:fillRect/>
                          </a:stretch>
                        </pic:blipFill>
                        <pic:spPr>
                          <a:xfrm>
                            <a:off x="0" y="0"/>
                            <a:ext cx="1717040" cy="2289175"/>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688465" cy="2251710"/>
                  <wp:effectExtent l="0" t="0" r="6985" b="15240"/>
                  <wp:docPr id="10" name="图片 10" descr="6f1e9bd14ff11653474827fbe40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f1e9bd14ff11653474827fbe401571"/>
                          <pic:cNvPicPr>
                            <a:picLocks noChangeAspect="1"/>
                          </pic:cNvPicPr>
                        </pic:nvPicPr>
                        <pic:blipFill>
                          <a:blip r:embed="rId13"/>
                          <a:stretch>
                            <a:fillRect/>
                          </a:stretch>
                        </pic:blipFill>
                        <pic:spPr>
                          <a:xfrm>
                            <a:off x="0" y="0"/>
                            <a:ext cx="1688465" cy="2251710"/>
                          </a:xfrm>
                          <a:prstGeom prst="rect">
                            <a:avLst/>
                          </a:prstGeom>
                        </pic:spPr>
                      </pic:pic>
                    </a:graphicData>
                  </a:graphic>
                </wp:inline>
              </w:drawing>
            </w:r>
            <w:r>
              <w:rPr>
                <w:rFonts w:hint="default" w:ascii="Times New Roman" w:hAnsi="Times New Roman" w:cs="Times New Roman"/>
                <w:color w:val="auto"/>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2100" w:firstLineChars="1000"/>
              <w:jc w:val="both"/>
              <w:textAlignment w:val="auto"/>
              <w:rPr>
                <w:rStyle w:val="34"/>
                <w:rFonts w:hint="default" w:ascii="Times New Roman" w:hAnsi="Times New Roman" w:eastAsia="宋体" w:cs="Times New Roman"/>
                <w:color w:val="auto"/>
                <w:kern w:val="0"/>
                <w:szCs w:val="20"/>
                <w:lang w:val="en-US" w:eastAsia="zh-CN"/>
              </w:rPr>
            </w:pPr>
            <w:r>
              <w:rPr>
                <w:rStyle w:val="34"/>
                <w:rFonts w:hint="eastAsia" w:cs="Times New Roman"/>
                <w:color w:val="auto"/>
                <w:kern w:val="0"/>
                <w:szCs w:val="20"/>
                <w:lang w:val="en-US" w:eastAsia="zh-CN"/>
              </w:rPr>
              <w:t>大</w:t>
            </w:r>
            <w:r>
              <w:rPr>
                <w:rStyle w:val="34"/>
                <w:rFonts w:hint="default" w:ascii="Times New Roman" w:hAnsi="Times New Roman" w:cs="Times New Roman"/>
                <w:color w:val="auto"/>
                <w:kern w:val="0"/>
                <w:szCs w:val="20"/>
                <w:lang w:val="en-US" w:eastAsia="zh-CN"/>
              </w:rPr>
              <w:t>门                           内部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Style w:val="34"/>
                <w:rFonts w:hint="default" w:ascii="Times New Roman" w:hAnsi="Times New Roman" w:cs="Times New Roman"/>
                <w:color w:val="auto"/>
                <w:kern w:val="0"/>
                <w:szCs w:val="20"/>
                <w:lang w:val="en-US"/>
              </w:rPr>
            </w:pPr>
            <w:r>
              <w:rPr>
                <w:rFonts w:hint="default"/>
                <w:lang w:val="en-US" w:eastAsia="zh-CN"/>
              </w:rPr>
              <w:drawing>
                <wp:inline distT="0" distB="0" distL="114300" distR="114300">
                  <wp:extent cx="1669415" cy="2225675"/>
                  <wp:effectExtent l="0" t="0" r="6985" b="3175"/>
                  <wp:docPr id="8" name="图片 8" descr="3d51a0db8be70c1aa7bef9ce06b9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d51a0db8be70c1aa7bef9ce06b9263"/>
                          <pic:cNvPicPr>
                            <a:picLocks noChangeAspect="1"/>
                          </pic:cNvPicPr>
                        </pic:nvPicPr>
                        <pic:blipFill>
                          <a:blip r:embed="rId14"/>
                          <a:stretch>
                            <a:fillRect/>
                          </a:stretch>
                        </pic:blipFill>
                        <pic:spPr>
                          <a:xfrm>
                            <a:off x="0" y="0"/>
                            <a:ext cx="1669415" cy="2225675"/>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677035" cy="2235200"/>
                  <wp:effectExtent l="0" t="0" r="18415" b="12700"/>
                  <wp:docPr id="9" name="图片 9" descr="a9a6a0276aa244c6693770ef9cb6f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9a6a0276aa244c6693770ef9cb6f6c"/>
                          <pic:cNvPicPr>
                            <a:picLocks noChangeAspect="1"/>
                          </pic:cNvPicPr>
                        </pic:nvPicPr>
                        <pic:blipFill>
                          <a:blip r:embed="rId15"/>
                          <a:stretch>
                            <a:fillRect/>
                          </a:stretch>
                        </pic:blipFill>
                        <pic:spPr>
                          <a:xfrm>
                            <a:off x="0" y="0"/>
                            <a:ext cx="1677035" cy="2235200"/>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1890" w:firstLineChars="900"/>
              <w:jc w:val="both"/>
              <w:textAlignment w:val="auto"/>
              <w:rPr>
                <w:rStyle w:val="34"/>
                <w:rFonts w:hint="default" w:ascii="Times New Roman" w:hAnsi="Times New Roman" w:eastAsia="宋体" w:cs="Times New Roman"/>
                <w:color w:val="auto"/>
                <w:kern w:val="0"/>
                <w:szCs w:val="20"/>
                <w:lang w:val="en-US" w:eastAsia="zh-CN"/>
              </w:rPr>
            </w:pPr>
            <w:r>
              <w:rPr>
                <w:rStyle w:val="34"/>
                <w:rFonts w:hint="default" w:ascii="Times New Roman" w:hAnsi="Times New Roman" w:cs="Times New Roman"/>
                <w:color w:val="auto"/>
                <w:kern w:val="0"/>
                <w:szCs w:val="20"/>
                <w:lang w:val="en-US" w:eastAsia="zh-CN"/>
              </w:rPr>
              <w:t xml:space="preserve">车间外部                        车间内部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Style w:val="34"/>
                <w:rFonts w:hint="default" w:ascii="Times New Roman" w:hAnsi="Times New Roman" w:cs="Times New Roman"/>
                <w:color w:val="auto"/>
                <w:kern w:val="0"/>
                <w:szCs w:val="20"/>
              </w:rPr>
            </w:pPr>
          </w:p>
          <w:p>
            <w:pPr>
              <w:rPr>
                <w:rStyle w:val="34"/>
                <w:rFonts w:hint="default" w:ascii="Times New Roman" w:hAnsi="Times New Roman" w:cs="Times New Roman"/>
                <w:color w:val="auto"/>
                <w:kern w:val="0"/>
                <w:szCs w:val="20"/>
              </w:rPr>
            </w:pPr>
          </w:p>
          <w:p>
            <w:pPr>
              <w:rPr>
                <w:rStyle w:val="34"/>
                <w:rFonts w:hint="default" w:ascii="Times New Roman" w:hAnsi="Times New Roman" w:cs="Times New Roman"/>
                <w:color w:val="auto"/>
                <w:kern w:val="0"/>
                <w:szCs w:val="20"/>
              </w:rPr>
            </w:pPr>
          </w:p>
          <w:p>
            <w:pPr>
              <w:pStyle w:val="2"/>
              <w:rPr>
                <w:rStyle w:val="34"/>
                <w:rFonts w:hint="default" w:ascii="Times New Roman" w:hAnsi="Times New Roman" w:cs="Times New Roman"/>
                <w:color w:val="auto"/>
                <w:kern w:val="0"/>
                <w:szCs w:val="20"/>
              </w:rPr>
            </w:pPr>
          </w:p>
          <w:p>
            <w:pPr>
              <w:rPr>
                <w:rFonts w:hint="default" w:ascii="Times New Roman" w:hAnsi="Times New Roman" w:cs="Times New Roman"/>
                <w:color w:val="auto"/>
              </w:rPr>
            </w:pPr>
          </w:p>
          <w:p>
            <w:pPr>
              <w:spacing w:line="360" w:lineRule="auto"/>
              <w:ind w:firstLine="420" w:firstLineChars="200"/>
              <w:rPr>
                <w:rFonts w:hint="default" w:ascii="Times New Roman" w:hAnsi="Times New Roman" w:cs="Times New Roman"/>
                <w:bCs/>
                <w:color w:val="auto"/>
                <w:szCs w:val="21"/>
              </w:rPr>
            </w:pPr>
          </w:p>
        </w:tc>
      </w:tr>
    </w:tbl>
    <w:p>
      <w:pPr>
        <w:pStyle w:val="23"/>
        <w:jc w:val="center"/>
        <w:rPr>
          <w:rFonts w:hint="default" w:ascii="Times New Roman" w:hAnsi="Times New Roman" w:eastAsia="黑体" w:cs="Times New Roman"/>
          <w:snapToGrid w:val="0"/>
          <w:sz w:val="36"/>
          <w:szCs w:val="36"/>
        </w:rPr>
        <w:sectPr>
          <w:pgSz w:w="11906" w:h="16838"/>
          <w:pgMar w:top="1701" w:right="1531" w:bottom="1701" w:left="1531" w:header="851" w:footer="851" w:gutter="0"/>
          <w:cols w:space="720" w:num="1"/>
          <w:docGrid w:linePitch="312" w:charSpace="0"/>
        </w:sectPr>
      </w:pPr>
    </w:p>
    <w:p>
      <w:pPr>
        <w:pStyle w:val="23"/>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三、区域环境质量现状、环境保护目标及评价标准</w:t>
      </w:r>
    </w:p>
    <w:tbl>
      <w:tblPr>
        <w:tblStyle w:val="26"/>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00" w:type="dxa"/>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区域环境质量现状</w:t>
            </w:r>
          </w:p>
        </w:tc>
        <w:tc>
          <w:tcPr>
            <w:tcW w:w="8190" w:type="dxa"/>
            <w:vAlign w:val="center"/>
          </w:tcPr>
          <w:p>
            <w:pPr>
              <w:adjustRightInd w:val="0"/>
              <w:snapToGrid w:val="0"/>
              <w:spacing w:line="360" w:lineRule="auto"/>
              <w:ind w:firstLine="422" w:firstLineChars="200"/>
              <w:rPr>
                <w:rFonts w:hint="default" w:ascii="Times New Roman" w:hAnsi="Times New Roman" w:cs="Times New Roman"/>
                <w:szCs w:val="21"/>
              </w:rPr>
            </w:pPr>
            <w:r>
              <w:rPr>
                <w:rFonts w:hint="default" w:ascii="Times New Roman" w:hAnsi="Times New Roman" w:cs="Times New Roman"/>
                <w:b/>
                <w:bCs/>
                <w:szCs w:val="21"/>
              </w:rPr>
              <w:t>1.大气环境质量现状</w:t>
            </w:r>
          </w:p>
          <w:p>
            <w:pPr>
              <w:pStyle w:val="47"/>
              <w:spacing w:line="360" w:lineRule="auto"/>
              <w:ind w:firstLine="420" w:firstLineChars="200"/>
              <w:jc w:val="both"/>
              <w:rPr>
                <w:rFonts w:hint="default" w:ascii="Times New Roman" w:hAnsi="Times New Roman" w:cs="Times New Roman"/>
                <w:color w:val="auto"/>
                <w:szCs w:val="21"/>
              </w:rPr>
            </w:pPr>
            <w:r>
              <w:rPr>
                <w:rFonts w:hint="default" w:ascii="Times New Roman" w:hAnsi="Times New Roman" w:cs="Times New Roman"/>
                <w:color w:val="auto"/>
                <w:szCs w:val="21"/>
              </w:rPr>
              <w:t>淄博市评价区域环境空气质量为二类功能区。根据《环境影响评价技术导则 大气环境》（HJ2.2-2018），环境空气质量现状调查与评价中规定，项目所在区域达标判定，优先选用国家或地方生态环境主管部门公开发布的评价基准年环境质量公告或环境质量报告中的数据或结论。</w:t>
            </w:r>
          </w:p>
          <w:p>
            <w:pPr>
              <w:adjustRightInd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根据淄博市《生态淄博建设工作简报》（202</w:t>
            </w:r>
            <w:r>
              <w:rPr>
                <w:rFonts w:hint="default" w:ascii="Times New Roman" w:hAnsi="Times New Roman" w:cs="Times New Roman"/>
                <w:szCs w:val="21"/>
                <w:lang w:val="en-US" w:eastAsia="zh-CN"/>
              </w:rPr>
              <w:t>2</w:t>
            </w:r>
            <w:r>
              <w:rPr>
                <w:rFonts w:hint="default" w:ascii="Times New Roman" w:hAnsi="Times New Roman" w:cs="Times New Roman"/>
                <w:szCs w:val="21"/>
              </w:rPr>
              <w:t>年第</w:t>
            </w:r>
            <w:r>
              <w:rPr>
                <w:rFonts w:hint="default" w:ascii="Times New Roman" w:hAnsi="Times New Roman" w:cs="Times New Roman"/>
                <w:szCs w:val="21"/>
                <w:lang w:val="en-US" w:eastAsia="zh-CN"/>
              </w:rPr>
              <w:t>1</w:t>
            </w:r>
            <w:r>
              <w:rPr>
                <w:rFonts w:hint="default" w:ascii="Times New Roman" w:hAnsi="Times New Roman" w:cs="Times New Roman"/>
                <w:szCs w:val="21"/>
              </w:rPr>
              <w:t>期），202</w:t>
            </w:r>
            <w:r>
              <w:rPr>
                <w:rFonts w:hint="default" w:ascii="Times New Roman" w:hAnsi="Times New Roman" w:cs="Times New Roman"/>
                <w:szCs w:val="21"/>
                <w:lang w:val="en-US" w:eastAsia="zh-CN"/>
              </w:rPr>
              <w:t>1</w:t>
            </w:r>
            <w:r>
              <w:rPr>
                <w:rFonts w:hint="default" w:ascii="Times New Roman" w:hAnsi="Times New Roman" w:cs="Times New Roman"/>
                <w:szCs w:val="21"/>
              </w:rPr>
              <w:t>年临淄区环境空气质量如下：</w:t>
            </w:r>
          </w:p>
          <w:p>
            <w:pPr>
              <w:adjustRightInd w:val="0"/>
              <w:snapToGrid w:val="0"/>
              <w:spacing w:line="360" w:lineRule="auto"/>
              <w:jc w:val="center"/>
              <w:rPr>
                <w:rFonts w:hint="default" w:ascii="Times New Roman" w:hAnsi="Times New Roman" w:cs="Times New Roman"/>
                <w:b/>
                <w:bCs/>
                <w:snapToGrid w:val="0"/>
                <w:kern w:val="0"/>
                <w:szCs w:val="21"/>
              </w:rPr>
            </w:pPr>
            <w:r>
              <w:rPr>
                <w:rFonts w:hint="default" w:ascii="Times New Roman" w:hAnsi="Times New Roman" w:cs="Times New Roman"/>
                <w:b/>
                <w:bCs/>
                <w:snapToGrid w:val="0"/>
                <w:kern w:val="0"/>
                <w:szCs w:val="21"/>
              </w:rPr>
              <w:t>表1</w:t>
            </w:r>
            <w:r>
              <w:rPr>
                <w:rFonts w:hint="eastAsia" w:cs="Times New Roman"/>
                <w:b/>
                <w:bCs/>
                <w:snapToGrid w:val="0"/>
                <w:kern w:val="0"/>
                <w:szCs w:val="21"/>
                <w:lang w:val="en-US" w:eastAsia="zh-CN"/>
              </w:rPr>
              <w:t>3</w:t>
            </w:r>
            <w:r>
              <w:rPr>
                <w:rFonts w:hint="default" w:ascii="Times New Roman" w:hAnsi="Times New Roman" w:cs="Times New Roman"/>
                <w:b/>
                <w:bCs/>
                <w:snapToGrid w:val="0"/>
                <w:kern w:val="0"/>
                <w:szCs w:val="21"/>
              </w:rPr>
              <w:t xml:space="preserve">  项目区域环境空气质量情况</w:t>
            </w:r>
          </w:p>
          <w:tbl>
            <w:tblPr>
              <w:tblStyle w:val="26"/>
              <w:tblW w:w="79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630"/>
              <w:gridCol w:w="1785"/>
              <w:gridCol w:w="1517"/>
              <w:gridCol w:w="11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9" w:type="dxa"/>
                  <w:tcBorders>
                    <w:tl2br w:val="nil"/>
                    <w:tr2bl w:val="nil"/>
                  </w:tcBorders>
                  <w:vAlign w:val="center"/>
                </w:tcPr>
                <w:p>
                  <w:pPr>
                    <w:pStyle w:val="39"/>
                    <w:spacing w:beforeLines="0" w:line="240" w:lineRule="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2630" w:type="dxa"/>
                  <w:tcBorders>
                    <w:tl2br w:val="nil"/>
                    <w:tr2bl w:val="nil"/>
                  </w:tcBorders>
                  <w:vAlign w:val="center"/>
                </w:tcPr>
                <w:p>
                  <w:pPr>
                    <w:pStyle w:val="39"/>
                    <w:spacing w:beforeLines="0" w:line="240" w:lineRule="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年评价指标</w:t>
                  </w:r>
                </w:p>
              </w:tc>
              <w:tc>
                <w:tcPr>
                  <w:tcW w:w="1785" w:type="dxa"/>
                  <w:tcBorders>
                    <w:tl2br w:val="nil"/>
                    <w:tr2bl w:val="nil"/>
                  </w:tcBorders>
                  <w:vAlign w:val="center"/>
                </w:tcPr>
                <w:p>
                  <w:pPr>
                    <w:pStyle w:val="39"/>
                    <w:spacing w:beforeLines="0" w:line="240" w:lineRule="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现状浓度(μg/m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1517" w:type="dxa"/>
                  <w:tcBorders>
                    <w:tl2br w:val="nil"/>
                    <w:tr2bl w:val="nil"/>
                  </w:tcBorders>
                  <w:vAlign w:val="center"/>
                </w:tcPr>
                <w:p>
                  <w:pPr>
                    <w:pStyle w:val="39"/>
                    <w:spacing w:beforeLines="0" w:line="240" w:lineRule="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标准值(μg/m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1113" w:type="dxa"/>
                  <w:tcBorders>
                    <w:tl2br w:val="nil"/>
                    <w:tr2bl w:val="nil"/>
                  </w:tcBorders>
                  <w:vAlign w:val="center"/>
                </w:tcPr>
                <w:p>
                  <w:pPr>
                    <w:pStyle w:val="39"/>
                    <w:spacing w:beforeLines="0" w:line="240" w:lineRule="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9"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2630"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年平均质量浓度</w:t>
                  </w:r>
                </w:p>
              </w:tc>
              <w:tc>
                <w:tcPr>
                  <w:tcW w:w="1785"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w:t>
                  </w:r>
                </w:p>
              </w:tc>
              <w:tc>
                <w:tcPr>
                  <w:tcW w:w="1517"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1113"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9"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2</w:t>
                  </w:r>
                </w:p>
              </w:tc>
              <w:tc>
                <w:tcPr>
                  <w:tcW w:w="2630"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年平均质量浓度</w:t>
                  </w:r>
                </w:p>
              </w:tc>
              <w:tc>
                <w:tcPr>
                  <w:tcW w:w="1785"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35</w:t>
                  </w:r>
                </w:p>
              </w:tc>
              <w:tc>
                <w:tcPr>
                  <w:tcW w:w="1517"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w:t>
                  </w:r>
                </w:p>
              </w:tc>
              <w:tc>
                <w:tcPr>
                  <w:tcW w:w="1113"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9"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10</w:t>
                  </w:r>
                </w:p>
              </w:tc>
              <w:tc>
                <w:tcPr>
                  <w:tcW w:w="2630"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年平均质量浓度</w:t>
                  </w:r>
                </w:p>
              </w:tc>
              <w:tc>
                <w:tcPr>
                  <w:tcW w:w="1785"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85</w:t>
                  </w:r>
                </w:p>
              </w:tc>
              <w:tc>
                <w:tcPr>
                  <w:tcW w:w="1517"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113"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9"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2.5</w:t>
                  </w:r>
                </w:p>
              </w:tc>
              <w:tc>
                <w:tcPr>
                  <w:tcW w:w="2630"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年平均质量浓度</w:t>
                  </w:r>
                </w:p>
              </w:tc>
              <w:tc>
                <w:tcPr>
                  <w:tcW w:w="1785"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w:t>
                  </w:r>
                </w:p>
              </w:tc>
              <w:tc>
                <w:tcPr>
                  <w:tcW w:w="1517"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1113"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9"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w:t>
                  </w:r>
                </w:p>
              </w:tc>
              <w:tc>
                <w:tcPr>
                  <w:tcW w:w="2630"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日均值第95百分位浓度值</w:t>
                  </w:r>
                </w:p>
              </w:tc>
              <w:tc>
                <w:tcPr>
                  <w:tcW w:w="1785"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1600</w:t>
                  </w:r>
                  <w:r>
                    <w:rPr>
                      <w:rFonts w:hint="default" w:ascii="Times New Roman" w:hAnsi="Times New Roman" w:eastAsia="宋体" w:cs="Times New Roman"/>
                      <w:sz w:val="21"/>
                      <w:szCs w:val="21"/>
                    </w:rPr>
                    <w:t>（淄博市）</w:t>
                  </w:r>
                </w:p>
              </w:tc>
              <w:tc>
                <w:tcPr>
                  <w:tcW w:w="1517"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4000</w:t>
                  </w:r>
                </w:p>
              </w:tc>
              <w:tc>
                <w:tcPr>
                  <w:tcW w:w="1113"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9"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3</w:t>
                  </w:r>
                </w:p>
              </w:tc>
              <w:tc>
                <w:tcPr>
                  <w:tcW w:w="2630"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日最大8小时均值的第90百分位浓度值</w:t>
                  </w:r>
                </w:p>
              </w:tc>
              <w:tc>
                <w:tcPr>
                  <w:tcW w:w="1785"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183</w:t>
                  </w:r>
                  <w:r>
                    <w:rPr>
                      <w:rFonts w:hint="default" w:ascii="Times New Roman" w:hAnsi="Times New Roman" w:eastAsia="宋体" w:cs="Times New Roman"/>
                      <w:sz w:val="21"/>
                      <w:szCs w:val="21"/>
                    </w:rPr>
                    <w:t>（淄博市）</w:t>
                  </w:r>
                </w:p>
              </w:tc>
              <w:tc>
                <w:tcPr>
                  <w:tcW w:w="1517"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160</w:t>
                  </w:r>
                </w:p>
              </w:tc>
              <w:tc>
                <w:tcPr>
                  <w:tcW w:w="1113" w:type="dxa"/>
                  <w:tcBorders>
                    <w:tl2br w:val="nil"/>
                    <w:tr2bl w:val="nil"/>
                  </w:tcBorders>
                  <w:vAlign w:val="center"/>
                </w:tcPr>
                <w:p>
                  <w:pPr>
                    <w:pStyle w:val="39"/>
                    <w:spacing w:beforeLines="0"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未达标</w:t>
                  </w:r>
                </w:p>
              </w:tc>
            </w:tr>
          </w:tbl>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注：《生态淄博建设工作简报》（202</w:t>
            </w:r>
            <w:r>
              <w:rPr>
                <w:rFonts w:hint="default" w:ascii="Times New Roman" w:hAnsi="Times New Roman" w:cs="Times New Roman"/>
                <w:color w:val="auto"/>
                <w:szCs w:val="21"/>
                <w:lang w:val="en-US" w:eastAsia="zh-CN"/>
              </w:rPr>
              <w:t>2</w:t>
            </w:r>
            <w:r>
              <w:rPr>
                <w:rFonts w:hint="default" w:ascii="Times New Roman" w:hAnsi="Times New Roman" w:cs="Times New Roman"/>
                <w:color w:val="auto"/>
                <w:szCs w:val="21"/>
              </w:rPr>
              <w:t>年第1期）中，202</w:t>
            </w: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年度</w:t>
            </w:r>
            <w:r>
              <w:rPr>
                <w:rFonts w:hint="default" w:ascii="Times New Roman" w:hAnsi="Times New Roman" w:cs="Times New Roman"/>
                <w:color w:val="auto"/>
                <w:szCs w:val="21"/>
                <w:lang w:val="en-US" w:eastAsia="zh-CN"/>
              </w:rPr>
              <w:t>CO、</w:t>
            </w:r>
            <w:r>
              <w:rPr>
                <w:rFonts w:hint="default" w:ascii="Times New Roman" w:hAnsi="Times New Roman" w:cs="Times New Roman"/>
                <w:color w:val="auto"/>
                <w:szCs w:val="21"/>
              </w:rPr>
              <w:t>O</w:t>
            </w:r>
            <w:r>
              <w:rPr>
                <w:rFonts w:hint="default" w:ascii="Times New Roman" w:hAnsi="Times New Roman" w:cs="Times New Roman"/>
                <w:color w:val="auto"/>
                <w:szCs w:val="21"/>
                <w:vertAlign w:val="subscript"/>
              </w:rPr>
              <w:t>3</w:t>
            </w:r>
            <w:r>
              <w:rPr>
                <w:rFonts w:hint="default" w:ascii="Times New Roman" w:hAnsi="Times New Roman" w:cs="Times New Roman"/>
                <w:color w:val="auto"/>
                <w:szCs w:val="21"/>
              </w:rPr>
              <w:t>仅公布了全市现状浓度，未分区县公布</w:t>
            </w:r>
            <w:r>
              <w:rPr>
                <w:rFonts w:hint="default" w:ascii="Times New Roman" w:hAnsi="Times New Roman" w:cs="Times New Roman"/>
                <w:color w:val="auto"/>
                <w:szCs w:val="21"/>
                <w:lang w:val="en-US" w:eastAsia="zh-CN"/>
              </w:rPr>
              <w:t>数据</w:t>
            </w:r>
            <w:r>
              <w:rPr>
                <w:rFonts w:hint="default" w:ascii="Times New Roman" w:hAnsi="Times New Roman" w:cs="Times New Roman"/>
                <w:color w:val="auto"/>
                <w:szCs w:val="21"/>
              </w:rPr>
              <w:t>，表中</w:t>
            </w:r>
            <w:r>
              <w:rPr>
                <w:rFonts w:hint="default" w:ascii="Times New Roman" w:hAnsi="Times New Roman" w:cs="Times New Roman"/>
                <w:color w:val="auto"/>
                <w:szCs w:val="21"/>
                <w:lang w:val="en-US" w:eastAsia="zh-CN"/>
              </w:rPr>
              <w:t>CO、</w:t>
            </w:r>
            <w:r>
              <w:rPr>
                <w:rFonts w:hint="default" w:ascii="Times New Roman" w:hAnsi="Times New Roman" w:cs="Times New Roman"/>
                <w:color w:val="auto"/>
                <w:szCs w:val="21"/>
              </w:rPr>
              <w:t>O</w:t>
            </w:r>
            <w:r>
              <w:rPr>
                <w:rFonts w:hint="default" w:ascii="Times New Roman" w:hAnsi="Times New Roman" w:cs="Times New Roman"/>
                <w:color w:val="auto"/>
                <w:szCs w:val="21"/>
                <w:vertAlign w:val="subscript"/>
              </w:rPr>
              <w:t>3</w:t>
            </w:r>
            <w:r>
              <w:rPr>
                <w:rFonts w:hint="default" w:ascii="Times New Roman" w:hAnsi="Times New Roman" w:cs="Times New Roman"/>
                <w:color w:val="auto"/>
                <w:szCs w:val="21"/>
              </w:rPr>
              <w:t>浓度采用全市数据。</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《环境空气质量评价技术规范（试行）》（HJ663-2013）规定：“污染物年评价达标是指该污染物年平均浓度（CO和O</w:t>
            </w:r>
            <w:r>
              <w:rPr>
                <w:rFonts w:hint="default" w:ascii="Times New Roman" w:hAnsi="Times New Roman" w:cs="Times New Roman"/>
                <w:color w:val="auto"/>
                <w:szCs w:val="21"/>
                <w:vertAlign w:val="subscript"/>
              </w:rPr>
              <w:t>3</w:t>
            </w:r>
            <w:r>
              <w:rPr>
                <w:rFonts w:hint="default" w:ascii="Times New Roman" w:hAnsi="Times New Roman" w:cs="Times New Roman"/>
                <w:color w:val="auto"/>
                <w:szCs w:val="21"/>
              </w:rPr>
              <w:t>除外）和特定的百分位数浓度同时达标”。</w:t>
            </w:r>
            <w:r>
              <w:rPr>
                <w:rFonts w:hint="default" w:ascii="Times New Roman" w:hAnsi="Times New Roman" w:cs="Times New Roman"/>
                <w:snapToGrid w:val="0"/>
                <w:color w:val="auto"/>
                <w:szCs w:val="21"/>
              </w:rPr>
              <w:t>由上表可见，</w:t>
            </w:r>
            <w:r>
              <w:rPr>
                <w:rFonts w:hint="default" w:ascii="Times New Roman" w:hAnsi="Times New Roman" w:cs="Times New Roman"/>
                <w:color w:val="auto"/>
                <w:szCs w:val="21"/>
              </w:rPr>
              <w:t>临淄区202</w:t>
            </w: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年全年PM</w:t>
            </w:r>
            <w:r>
              <w:rPr>
                <w:rFonts w:hint="default" w:ascii="Times New Roman" w:hAnsi="Times New Roman" w:cs="Times New Roman"/>
                <w:color w:val="auto"/>
                <w:szCs w:val="21"/>
                <w:vertAlign w:val="subscript"/>
              </w:rPr>
              <w:t>2.5</w:t>
            </w:r>
            <w:r>
              <w:rPr>
                <w:rFonts w:hint="default" w:ascii="Times New Roman" w:hAnsi="Times New Roman" w:cs="Times New Roman"/>
                <w:color w:val="auto"/>
                <w:szCs w:val="21"/>
              </w:rPr>
              <w:t>、PM</w:t>
            </w:r>
            <w:r>
              <w:rPr>
                <w:rFonts w:hint="default" w:ascii="Times New Roman" w:hAnsi="Times New Roman" w:cs="Times New Roman"/>
                <w:color w:val="auto"/>
                <w:szCs w:val="21"/>
                <w:vertAlign w:val="subscript"/>
              </w:rPr>
              <w:t>10</w:t>
            </w:r>
            <w:r>
              <w:rPr>
                <w:rFonts w:hint="default" w:ascii="Times New Roman" w:hAnsi="Times New Roman" w:cs="Times New Roman"/>
                <w:color w:val="auto"/>
                <w:szCs w:val="21"/>
              </w:rPr>
              <w:t>的年平均浓度均不能满足《环境空气质量标准》（GB3095-2012）及其修改单二级标准要求，年评价不达标，项目所在区域为不达标区。不达标原因主要与区域气候、冬季供暖季供暖分散和扩散条件差有关。</w:t>
            </w:r>
          </w:p>
          <w:p>
            <w:pPr>
              <w:spacing w:line="360" w:lineRule="auto"/>
              <w:ind w:firstLine="420" w:firstLineChars="200"/>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根据</w:t>
            </w:r>
            <w:r>
              <w:rPr>
                <w:rFonts w:hint="default" w:ascii="Times New Roman" w:hAnsi="Times New Roman" w:cs="Times New Roman"/>
                <w:color w:val="auto"/>
                <w:szCs w:val="21"/>
              </w:rPr>
              <w:t>临淄区人民政府《关于印发临淄区国民经济和社会发展第十四个五年规划和2035年远景目标纲要的通知》（临政发[2021]3号），要求实施大气污染综合治理工程。 深度治理二氧化硫、氮氧化物、颗粒物、挥发性有机物等污染物排放。继续推进燃煤机组（锅炉）改造，不符合要求的坚决淘汰关停。加强机动车尾气检测与治理，加强城市道路扬尘、施工扬尘、堆场扬尘综合整治。临淄区</w:t>
            </w:r>
            <w:r>
              <w:rPr>
                <w:rFonts w:hint="default" w:ascii="Times New Roman" w:hAnsi="Times New Roman" w:cs="Times New Roman"/>
                <w:color w:val="auto"/>
                <w:szCs w:val="21"/>
                <w:lang w:val="en-US" w:eastAsia="zh-CN"/>
              </w:rPr>
              <w:t>通过</w:t>
            </w:r>
            <w:r>
              <w:rPr>
                <w:rFonts w:hint="default" w:ascii="Times New Roman" w:hAnsi="Times New Roman" w:cs="Times New Roman"/>
                <w:color w:val="auto"/>
                <w:szCs w:val="21"/>
              </w:rPr>
              <w:t>开展一系列大气污染治理工程改善区域环境，区域环境空气质量将持续改善</w:t>
            </w:r>
            <w:r>
              <w:rPr>
                <w:rFonts w:hint="default" w:ascii="Times New Roman" w:hAnsi="Times New Roman" w:cs="Times New Roman"/>
                <w:color w:val="auto"/>
                <w:szCs w:val="21"/>
                <w:lang w:eastAsia="zh-CN"/>
              </w:rPr>
              <w:t>。</w:t>
            </w:r>
          </w:p>
          <w:p>
            <w:pPr>
              <w:spacing w:line="360" w:lineRule="auto"/>
              <w:ind w:firstLine="422" w:firstLineChars="200"/>
              <w:rPr>
                <w:rFonts w:hint="default" w:ascii="Times New Roman" w:hAnsi="Times New Roman" w:cs="Times New Roman"/>
                <w:b/>
                <w:bCs/>
                <w:szCs w:val="21"/>
              </w:rPr>
            </w:pPr>
            <w:r>
              <w:rPr>
                <w:rFonts w:hint="default" w:ascii="Times New Roman" w:hAnsi="Times New Roman" w:cs="Times New Roman"/>
                <w:b/>
                <w:bCs/>
                <w:szCs w:val="21"/>
              </w:rPr>
              <w:t>2.地表水环境现状</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项目区域主要地表水体为乌河，根据《生态淄博建设工作简报》（202</w:t>
            </w:r>
            <w:r>
              <w:rPr>
                <w:rFonts w:hint="default" w:ascii="Times New Roman" w:hAnsi="Times New Roman" w:cs="Times New Roman"/>
                <w:szCs w:val="21"/>
                <w:lang w:val="en-US" w:eastAsia="zh-CN"/>
              </w:rPr>
              <w:t>2</w:t>
            </w:r>
            <w:r>
              <w:rPr>
                <w:rFonts w:hint="default" w:ascii="Times New Roman" w:hAnsi="Times New Roman" w:cs="Times New Roman"/>
                <w:szCs w:val="21"/>
              </w:rPr>
              <w:t>年第1期）中内容，202</w:t>
            </w:r>
            <w:r>
              <w:rPr>
                <w:rFonts w:hint="default" w:ascii="Times New Roman" w:hAnsi="Times New Roman" w:cs="Times New Roman"/>
                <w:szCs w:val="21"/>
                <w:lang w:val="en-US" w:eastAsia="zh-CN"/>
              </w:rPr>
              <w:t>1</w:t>
            </w:r>
            <w:r>
              <w:rPr>
                <w:rFonts w:hint="default" w:ascii="Times New Roman" w:hAnsi="Times New Roman" w:cs="Times New Roman"/>
                <w:szCs w:val="21"/>
              </w:rPr>
              <w:t>年全年，乌河东沙断面水环境质量指数为1</w:t>
            </w:r>
            <w:r>
              <w:rPr>
                <w:rFonts w:hint="default" w:ascii="Times New Roman" w:hAnsi="Times New Roman" w:cs="Times New Roman"/>
                <w:szCs w:val="21"/>
                <w:lang w:val="en-US" w:eastAsia="zh-CN"/>
              </w:rPr>
              <w:t>1.6219</w:t>
            </w:r>
            <w:r>
              <w:rPr>
                <w:rFonts w:hint="default" w:ascii="Times New Roman" w:hAnsi="Times New Roman" w:cs="Times New Roman"/>
                <w:szCs w:val="21"/>
              </w:rPr>
              <w:t>，水质类别为</w:t>
            </w:r>
            <w:r>
              <w:rPr>
                <w:rFonts w:hint="default" w:ascii="Times New Roman" w:hAnsi="Times New Roman" w:cs="Times New Roman"/>
                <w:szCs w:val="21"/>
                <w:lang w:val="en-US" w:eastAsia="zh-CN"/>
              </w:rPr>
              <w:t>劣</w:t>
            </w:r>
            <w:r>
              <w:rPr>
                <w:rFonts w:hint="default" w:ascii="Times New Roman" w:hAnsi="Times New Roman" w:cs="Times New Roman"/>
                <w:szCs w:val="21"/>
              </w:rPr>
              <w:t>V类，</w:t>
            </w:r>
            <w:r>
              <w:rPr>
                <w:rFonts w:hint="default" w:ascii="Times New Roman" w:hAnsi="Times New Roman" w:cs="Times New Roman"/>
                <w:szCs w:val="21"/>
                <w:lang w:val="en-US" w:eastAsia="zh-CN"/>
              </w:rPr>
              <w:t>不</w:t>
            </w:r>
            <w:r>
              <w:rPr>
                <w:rFonts w:hint="default" w:ascii="Times New Roman" w:hAnsi="Times New Roman" w:cs="Times New Roman"/>
                <w:szCs w:val="21"/>
              </w:rPr>
              <w:t>满足《地表水环境质量标准》（GB3838-2002）</w:t>
            </w: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5 \* ROMAN </w:instrText>
            </w:r>
            <w:r>
              <w:rPr>
                <w:rFonts w:hint="default" w:ascii="Times New Roman" w:hAnsi="Times New Roman" w:cs="Times New Roman"/>
                <w:szCs w:val="21"/>
              </w:rPr>
              <w:fldChar w:fldCharType="separate"/>
            </w:r>
            <w:r>
              <w:rPr>
                <w:rFonts w:hint="default" w:ascii="Times New Roman" w:hAnsi="Times New Roman" w:cs="Times New Roman"/>
                <w:szCs w:val="21"/>
              </w:rPr>
              <w:t>V</w:t>
            </w:r>
            <w:r>
              <w:rPr>
                <w:rFonts w:hint="default" w:ascii="Times New Roman" w:hAnsi="Times New Roman" w:cs="Times New Roman"/>
                <w:szCs w:val="21"/>
              </w:rPr>
              <w:fldChar w:fldCharType="end"/>
            </w:r>
            <w:r>
              <w:rPr>
                <w:rFonts w:hint="default" w:ascii="Times New Roman" w:hAnsi="Times New Roman" w:cs="Times New Roman"/>
                <w:szCs w:val="21"/>
              </w:rPr>
              <w:t>类水质要求。</w:t>
            </w:r>
          </w:p>
          <w:p>
            <w:pPr>
              <w:spacing w:line="360" w:lineRule="auto"/>
              <w:ind w:firstLine="422" w:firstLineChars="200"/>
              <w:rPr>
                <w:rFonts w:hint="default" w:ascii="Times New Roman" w:hAnsi="Times New Roman" w:cs="Times New Roman"/>
                <w:b/>
                <w:bCs/>
                <w:szCs w:val="21"/>
              </w:rPr>
            </w:pPr>
            <w:r>
              <w:rPr>
                <w:rFonts w:hint="default" w:ascii="Times New Roman" w:hAnsi="Times New Roman" w:cs="Times New Roman"/>
                <w:b/>
                <w:bCs/>
                <w:szCs w:val="21"/>
              </w:rPr>
              <w:t>3.声环境质量现状</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项目所在地属于2类声环境功能区，项目厂界外50米范围内无声环境保护目标。区域声环境现状总体较好，声环境质量现状满足《声环境质量标准》(GB3096-2008)中2类标准的要求。</w:t>
            </w:r>
          </w:p>
          <w:p>
            <w:pPr>
              <w:spacing w:line="360" w:lineRule="auto"/>
              <w:ind w:firstLine="422" w:firstLineChars="200"/>
              <w:rPr>
                <w:rFonts w:hint="default" w:ascii="Times New Roman" w:hAnsi="Times New Roman" w:cs="Times New Roman"/>
                <w:b/>
                <w:bCs/>
                <w:szCs w:val="21"/>
              </w:rPr>
            </w:pPr>
            <w:r>
              <w:rPr>
                <w:rFonts w:hint="default" w:ascii="Times New Roman" w:hAnsi="Times New Roman" w:cs="Times New Roman"/>
                <w:b/>
                <w:bCs/>
                <w:szCs w:val="21"/>
              </w:rPr>
              <w:t>4.生态环境现状</w:t>
            </w:r>
          </w:p>
          <w:p>
            <w:pPr>
              <w:spacing w:line="360" w:lineRule="auto"/>
              <w:ind w:firstLine="420" w:firstLineChars="200"/>
              <w:rPr>
                <w:rFonts w:hint="default" w:ascii="Times New Roman" w:hAnsi="Times New Roman" w:cs="Times New Roman"/>
                <w:b/>
                <w:bCs/>
                <w:szCs w:val="21"/>
              </w:rPr>
            </w:pPr>
            <w:r>
              <w:rPr>
                <w:rFonts w:hint="default" w:ascii="Times New Roman" w:hAnsi="Times New Roman" w:cs="Times New Roman"/>
                <w:szCs w:val="21"/>
              </w:rPr>
              <w:t>本项目建设无新增用地，无需进行生态现状调查。</w:t>
            </w:r>
          </w:p>
          <w:p>
            <w:pPr>
              <w:spacing w:line="360" w:lineRule="auto"/>
              <w:ind w:firstLine="422" w:firstLineChars="200"/>
              <w:rPr>
                <w:rFonts w:hint="default" w:ascii="Times New Roman" w:hAnsi="Times New Roman" w:cs="Times New Roman"/>
                <w:b/>
                <w:bCs/>
                <w:szCs w:val="21"/>
              </w:rPr>
            </w:pPr>
            <w:r>
              <w:rPr>
                <w:rFonts w:hint="default" w:ascii="Times New Roman" w:hAnsi="Times New Roman" w:cs="Times New Roman"/>
                <w:b/>
                <w:bCs/>
                <w:szCs w:val="21"/>
              </w:rPr>
              <w:t>5.电磁复核环境现状</w:t>
            </w:r>
          </w:p>
          <w:p>
            <w:pPr>
              <w:spacing w:line="360" w:lineRule="auto"/>
              <w:ind w:firstLine="420" w:firstLineChars="200"/>
              <w:rPr>
                <w:rFonts w:hint="default" w:ascii="Times New Roman" w:hAnsi="Times New Roman" w:cs="Times New Roman"/>
                <w:b/>
                <w:bCs/>
                <w:szCs w:val="21"/>
              </w:rPr>
            </w:pPr>
            <w:r>
              <w:rPr>
                <w:rFonts w:hint="default" w:ascii="Times New Roman" w:hAnsi="Times New Roman" w:cs="Times New Roman"/>
                <w:szCs w:val="21"/>
              </w:rPr>
              <w:t>项目不属于新建或改建、扩建广播电台、差转台、电视塔台、卫星地球上行站、雷达等电磁辐射类项目，无需对电磁辐射现状开展监测与评价。</w:t>
            </w:r>
          </w:p>
          <w:p>
            <w:pPr>
              <w:spacing w:line="360" w:lineRule="auto"/>
              <w:ind w:firstLine="422" w:firstLineChars="200"/>
              <w:rPr>
                <w:rFonts w:hint="default" w:ascii="Times New Roman" w:hAnsi="Times New Roman" w:cs="Times New Roman"/>
                <w:b/>
                <w:bCs/>
                <w:szCs w:val="21"/>
              </w:rPr>
            </w:pPr>
            <w:r>
              <w:rPr>
                <w:rFonts w:hint="default" w:ascii="Times New Roman" w:hAnsi="Times New Roman" w:cs="Times New Roman"/>
                <w:b/>
                <w:bCs/>
                <w:szCs w:val="21"/>
              </w:rPr>
              <w:t>6.地下水、土壤环境现状</w:t>
            </w:r>
          </w:p>
          <w:p>
            <w:pPr>
              <w:pStyle w:val="2"/>
              <w:spacing w:after="0" w:line="360" w:lineRule="auto"/>
              <w:ind w:left="0" w:leftChars="0"/>
              <w:rPr>
                <w:rFonts w:hint="default" w:ascii="Times New Roman" w:hAnsi="Times New Roman" w:cs="Times New Roman"/>
                <w:color w:val="FF0000"/>
                <w:szCs w:val="21"/>
              </w:rPr>
            </w:pPr>
            <w:r>
              <w:rPr>
                <w:rFonts w:hint="default" w:ascii="Times New Roman" w:hAnsi="Times New Roman" w:cs="Times New Roman"/>
                <w:szCs w:val="21"/>
              </w:rPr>
              <w:t>项目厂区地面拟采取硬化措施，生产车间做防渗处理，可有效杜绝污染物向土壤、地下水转移，因此不存在土壤、地下水环境污染途径，无需开展地下水、土壤环境质量现状调查。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环境保护目标</w:t>
            </w:r>
          </w:p>
        </w:tc>
        <w:tc>
          <w:tcPr>
            <w:tcW w:w="8190" w:type="dxa"/>
            <w:vAlign w:val="center"/>
          </w:tcPr>
          <w:p>
            <w:pPr>
              <w:spacing w:line="360" w:lineRule="auto"/>
              <w:ind w:firstLine="422" w:firstLineChars="200"/>
              <w:rPr>
                <w:rFonts w:hint="default" w:ascii="Times New Roman" w:hAnsi="Times New Roman" w:cs="Times New Roman"/>
                <w:szCs w:val="21"/>
              </w:rPr>
            </w:pPr>
            <w:r>
              <w:rPr>
                <w:rFonts w:hint="default" w:ascii="Times New Roman" w:hAnsi="Times New Roman" w:cs="Times New Roman"/>
                <w:b/>
                <w:bCs/>
                <w:szCs w:val="21"/>
              </w:rPr>
              <w:t>1.大气环境</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项目厂界外500米范围内保护目标主要为东河村、西河村，详见下表。</w:t>
            </w:r>
          </w:p>
          <w:p>
            <w:pPr>
              <w:spacing w:line="360" w:lineRule="auto"/>
              <w:ind w:firstLine="422" w:firstLineChars="200"/>
              <w:rPr>
                <w:rFonts w:hint="default" w:ascii="Times New Roman" w:hAnsi="Times New Roman" w:cs="Times New Roman"/>
                <w:szCs w:val="21"/>
              </w:rPr>
            </w:pPr>
            <w:r>
              <w:rPr>
                <w:rFonts w:hint="default" w:ascii="Times New Roman" w:hAnsi="Times New Roman" w:cs="Times New Roman"/>
                <w:b/>
                <w:bCs/>
                <w:szCs w:val="21"/>
              </w:rPr>
              <w:t>2.声环境</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项目厂界外50米范围内无声环境保护目标。</w:t>
            </w:r>
          </w:p>
          <w:p>
            <w:pPr>
              <w:spacing w:line="360" w:lineRule="auto"/>
              <w:ind w:firstLine="422" w:firstLineChars="200"/>
              <w:rPr>
                <w:rFonts w:hint="default" w:ascii="Times New Roman" w:hAnsi="Times New Roman" w:cs="Times New Roman"/>
                <w:szCs w:val="21"/>
              </w:rPr>
            </w:pPr>
            <w:r>
              <w:rPr>
                <w:rFonts w:hint="default" w:ascii="Times New Roman" w:hAnsi="Times New Roman" w:cs="Times New Roman"/>
                <w:b/>
                <w:bCs/>
                <w:szCs w:val="21"/>
              </w:rPr>
              <w:t>3.地下水环境</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项目厂界外500米范围内的无地下水集中式饮用水水源和热水、矿泉水、温泉等特殊地下水资源。</w:t>
            </w:r>
          </w:p>
          <w:p>
            <w:pPr>
              <w:spacing w:line="360" w:lineRule="auto"/>
              <w:ind w:firstLine="422" w:firstLineChars="200"/>
              <w:rPr>
                <w:rFonts w:hint="default" w:ascii="Times New Roman" w:hAnsi="Times New Roman" w:cs="Times New Roman"/>
                <w:b/>
                <w:bCs/>
                <w:szCs w:val="21"/>
              </w:rPr>
            </w:pPr>
            <w:r>
              <w:rPr>
                <w:rFonts w:hint="default" w:ascii="Times New Roman" w:hAnsi="Times New Roman" w:cs="Times New Roman"/>
                <w:b/>
                <w:bCs/>
                <w:szCs w:val="21"/>
              </w:rPr>
              <w:t>4.生态环境</w:t>
            </w:r>
          </w:p>
          <w:p>
            <w:pPr>
              <w:pStyle w:val="2"/>
              <w:spacing w:after="0" w:line="360" w:lineRule="auto"/>
              <w:ind w:left="0" w:leftChars="0"/>
              <w:rPr>
                <w:rFonts w:hint="default" w:ascii="Times New Roman" w:hAnsi="Times New Roman" w:cs="Times New Roman"/>
                <w:highlight w:val="yellow"/>
              </w:rPr>
            </w:pPr>
            <w:r>
              <w:rPr>
                <w:rFonts w:hint="default" w:ascii="Times New Roman" w:hAnsi="Times New Roman" w:cs="Times New Roman"/>
                <w:szCs w:val="21"/>
              </w:rPr>
              <w:t>本项目建设无新增用地，无新增生态环境保护目标。</w:t>
            </w:r>
          </w:p>
          <w:p>
            <w:pPr>
              <w:adjustRightInd w:val="0"/>
              <w:snapToGrid w:val="0"/>
              <w:spacing w:line="360" w:lineRule="auto"/>
              <w:jc w:val="center"/>
              <w:rPr>
                <w:rFonts w:hint="default" w:ascii="Times New Roman" w:hAnsi="Times New Roman" w:cs="Times New Roman"/>
                <w:b/>
                <w:szCs w:val="21"/>
              </w:rPr>
            </w:pPr>
            <w:r>
              <w:rPr>
                <w:rFonts w:hint="default" w:ascii="Times New Roman" w:hAnsi="Times New Roman" w:cs="Times New Roman"/>
                <w:b/>
                <w:szCs w:val="21"/>
              </w:rPr>
              <w:t>表1</w:t>
            </w:r>
            <w:r>
              <w:rPr>
                <w:rFonts w:hint="eastAsia" w:cs="Times New Roman"/>
                <w:b/>
                <w:szCs w:val="21"/>
                <w:lang w:val="en-US" w:eastAsia="zh-CN"/>
              </w:rPr>
              <w:t>4</w:t>
            </w:r>
            <w:r>
              <w:rPr>
                <w:rFonts w:hint="default" w:ascii="Times New Roman" w:hAnsi="Times New Roman" w:cs="Times New Roman"/>
                <w:b/>
                <w:szCs w:val="21"/>
              </w:rPr>
              <w:t xml:space="preserve">  项目周边环境敏感目标一览表</w:t>
            </w:r>
          </w:p>
          <w:tbl>
            <w:tblPr>
              <w:tblStyle w:val="26"/>
              <w:tblW w:w="79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82"/>
              <w:gridCol w:w="1742"/>
              <w:gridCol w:w="792"/>
              <w:gridCol w:w="1235"/>
              <w:gridCol w:w="29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1182" w:type="dxa"/>
                  <w:tcBorders>
                    <w:tl2br w:val="nil"/>
                    <w:tr2bl w:val="nil"/>
                  </w:tcBorders>
                  <w:vAlign w:val="center"/>
                </w:tcPr>
                <w:p>
                  <w:pPr>
                    <w:spacing w:line="340" w:lineRule="exact"/>
                    <w:jc w:val="center"/>
                    <w:rPr>
                      <w:rFonts w:hint="default" w:ascii="Times New Roman" w:hAnsi="Times New Roman" w:cs="Times New Roman"/>
                      <w:b/>
                      <w:szCs w:val="21"/>
                    </w:rPr>
                  </w:pPr>
                  <w:r>
                    <w:rPr>
                      <w:rFonts w:hint="default" w:ascii="Times New Roman" w:hAnsi="Times New Roman" w:cs="Times New Roman"/>
                      <w:b/>
                      <w:szCs w:val="21"/>
                    </w:rPr>
                    <w:t>环境要素</w:t>
                  </w:r>
                </w:p>
              </w:tc>
              <w:tc>
                <w:tcPr>
                  <w:tcW w:w="1742" w:type="dxa"/>
                  <w:tcBorders>
                    <w:tl2br w:val="nil"/>
                    <w:tr2bl w:val="nil"/>
                  </w:tcBorders>
                  <w:vAlign w:val="center"/>
                </w:tcPr>
                <w:p>
                  <w:pPr>
                    <w:spacing w:line="340" w:lineRule="exact"/>
                    <w:jc w:val="center"/>
                    <w:rPr>
                      <w:rFonts w:hint="default" w:ascii="Times New Roman" w:hAnsi="Times New Roman" w:cs="Times New Roman"/>
                      <w:b/>
                      <w:szCs w:val="21"/>
                    </w:rPr>
                  </w:pPr>
                  <w:r>
                    <w:rPr>
                      <w:rFonts w:hint="default" w:ascii="Times New Roman" w:hAnsi="Times New Roman" w:cs="Times New Roman"/>
                      <w:b/>
                      <w:szCs w:val="21"/>
                    </w:rPr>
                    <w:t>环境保护对象</w:t>
                  </w:r>
                </w:p>
              </w:tc>
              <w:tc>
                <w:tcPr>
                  <w:tcW w:w="792" w:type="dxa"/>
                  <w:tcBorders>
                    <w:tl2br w:val="nil"/>
                    <w:tr2bl w:val="nil"/>
                  </w:tcBorders>
                  <w:vAlign w:val="center"/>
                </w:tcPr>
                <w:p>
                  <w:pPr>
                    <w:spacing w:line="340" w:lineRule="exact"/>
                    <w:jc w:val="center"/>
                    <w:rPr>
                      <w:rFonts w:hint="default" w:ascii="Times New Roman" w:hAnsi="Times New Roman" w:cs="Times New Roman"/>
                      <w:b/>
                      <w:szCs w:val="21"/>
                    </w:rPr>
                  </w:pPr>
                  <w:r>
                    <w:rPr>
                      <w:rFonts w:hint="default" w:ascii="Times New Roman" w:hAnsi="Times New Roman" w:cs="Times New Roman"/>
                      <w:b/>
                      <w:szCs w:val="21"/>
                    </w:rPr>
                    <w:t>方位</w:t>
                  </w:r>
                </w:p>
              </w:tc>
              <w:tc>
                <w:tcPr>
                  <w:tcW w:w="1235" w:type="dxa"/>
                  <w:tcBorders>
                    <w:tl2br w:val="nil"/>
                    <w:tr2bl w:val="nil"/>
                  </w:tcBorders>
                  <w:vAlign w:val="center"/>
                </w:tcPr>
                <w:p>
                  <w:pPr>
                    <w:spacing w:line="340" w:lineRule="exact"/>
                    <w:jc w:val="center"/>
                    <w:rPr>
                      <w:rFonts w:hint="default" w:ascii="Times New Roman" w:hAnsi="Times New Roman" w:cs="Times New Roman"/>
                      <w:b/>
                      <w:szCs w:val="21"/>
                    </w:rPr>
                  </w:pPr>
                  <w:r>
                    <w:rPr>
                      <w:rFonts w:hint="default" w:ascii="Times New Roman" w:hAnsi="Times New Roman" w:cs="Times New Roman"/>
                      <w:b/>
                      <w:szCs w:val="21"/>
                    </w:rPr>
                    <w:t>距离（m）</w:t>
                  </w:r>
                </w:p>
              </w:tc>
              <w:tc>
                <w:tcPr>
                  <w:tcW w:w="2993" w:type="dxa"/>
                  <w:tcBorders>
                    <w:tl2br w:val="nil"/>
                    <w:tr2bl w:val="nil"/>
                  </w:tcBorders>
                  <w:vAlign w:val="center"/>
                </w:tcPr>
                <w:p>
                  <w:pPr>
                    <w:spacing w:line="340" w:lineRule="exact"/>
                    <w:jc w:val="center"/>
                    <w:rPr>
                      <w:rFonts w:hint="default" w:ascii="Times New Roman" w:hAnsi="Times New Roman" w:cs="Times New Roman"/>
                      <w:b/>
                      <w:szCs w:val="21"/>
                    </w:rPr>
                  </w:pPr>
                  <w:r>
                    <w:rPr>
                      <w:rFonts w:hint="default" w:ascii="Times New Roman" w:hAnsi="Times New Roman" w:cs="Times New Roman"/>
                      <w:b/>
                      <w:szCs w:val="21"/>
                    </w:rPr>
                    <w:t>环境功能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1182" w:type="dxa"/>
                  <w:vMerge w:val="restart"/>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大气环境</w:t>
                  </w:r>
                </w:p>
              </w:tc>
              <w:tc>
                <w:tcPr>
                  <w:tcW w:w="174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东河村</w:t>
                  </w:r>
                </w:p>
              </w:tc>
              <w:tc>
                <w:tcPr>
                  <w:tcW w:w="79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N</w:t>
                  </w:r>
                </w:p>
              </w:tc>
              <w:tc>
                <w:tcPr>
                  <w:tcW w:w="1235"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450</w:t>
                  </w:r>
                </w:p>
              </w:tc>
              <w:tc>
                <w:tcPr>
                  <w:tcW w:w="2993" w:type="dxa"/>
                  <w:vMerge w:val="restart"/>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《环境空气质量标准》(GB3095-2012)二级标准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1182" w:type="dxa"/>
                  <w:vMerge w:val="continue"/>
                  <w:tcBorders>
                    <w:tl2br w:val="nil"/>
                    <w:tr2bl w:val="nil"/>
                  </w:tcBorders>
                  <w:vAlign w:val="center"/>
                </w:tcPr>
                <w:p>
                  <w:pPr>
                    <w:spacing w:line="340" w:lineRule="exact"/>
                    <w:jc w:val="center"/>
                    <w:rPr>
                      <w:rFonts w:hint="default" w:ascii="Times New Roman" w:hAnsi="Times New Roman" w:cs="Times New Roman"/>
                      <w:szCs w:val="21"/>
                    </w:rPr>
                  </w:pPr>
                </w:p>
              </w:tc>
              <w:tc>
                <w:tcPr>
                  <w:tcW w:w="174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西河村</w:t>
                  </w:r>
                </w:p>
              </w:tc>
              <w:tc>
                <w:tcPr>
                  <w:tcW w:w="79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NW</w:t>
                  </w:r>
                </w:p>
              </w:tc>
              <w:tc>
                <w:tcPr>
                  <w:tcW w:w="1235"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450</w:t>
                  </w:r>
                </w:p>
              </w:tc>
              <w:tc>
                <w:tcPr>
                  <w:tcW w:w="2993" w:type="dxa"/>
                  <w:vMerge w:val="continue"/>
                  <w:tcBorders>
                    <w:tl2br w:val="nil"/>
                    <w:tr2bl w:val="nil"/>
                  </w:tcBorders>
                  <w:vAlign w:val="center"/>
                </w:tcPr>
                <w:p>
                  <w:pPr>
                    <w:spacing w:line="340" w:lineRule="exact"/>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118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噪声</w:t>
                  </w:r>
                </w:p>
              </w:tc>
              <w:tc>
                <w:tcPr>
                  <w:tcW w:w="174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厂界外50m范围内</w:t>
                  </w:r>
                </w:p>
              </w:tc>
              <w:tc>
                <w:tcPr>
                  <w:tcW w:w="79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1235"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2993"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《声环境质量标准》（GB3096-2008）2类区标准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18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地表水环境</w:t>
                  </w:r>
                </w:p>
              </w:tc>
              <w:tc>
                <w:tcPr>
                  <w:tcW w:w="174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运粮河</w:t>
                  </w:r>
                </w:p>
              </w:tc>
              <w:tc>
                <w:tcPr>
                  <w:tcW w:w="79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N</w:t>
                  </w:r>
                </w:p>
              </w:tc>
              <w:tc>
                <w:tcPr>
                  <w:tcW w:w="1235"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3900</w:t>
                  </w:r>
                </w:p>
              </w:tc>
              <w:tc>
                <w:tcPr>
                  <w:tcW w:w="2993"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《地表水环境质量标准》（GB3838-2002）V类标准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118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地下水环境</w:t>
                  </w:r>
                </w:p>
              </w:tc>
              <w:tc>
                <w:tcPr>
                  <w:tcW w:w="174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厂区周围500m范围内</w:t>
                  </w:r>
                </w:p>
              </w:tc>
              <w:tc>
                <w:tcPr>
                  <w:tcW w:w="792"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1235" w:type="dxa"/>
                  <w:tcBorders>
                    <w:tl2br w:val="nil"/>
                    <w:tr2bl w:val="nil"/>
                  </w:tcBorders>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2993"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《地下水质量标准》（GB/T14848-2017）Ⅲ类标准</w:t>
                  </w:r>
                </w:p>
              </w:tc>
            </w:tr>
          </w:tbl>
          <w:p>
            <w:pPr>
              <w:spacing w:line="360" w:lineRule="auto"/>
              <w:rPr>
                <w:rFonts w:hint="default" w:ascii="Times New Roman" w:hAnsi="Times New Roman" w:cs="Times New Roman"/>
                <w:color w:val="FF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tcMar>
              <w:left w:w="28" w:type="dxa"/>
              <w:right w:w="28" w:type="dxa"/>
            </w:tcMar>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污染</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物排</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放控</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制标</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准</w:t>
            </w:r>
          </w:p>
        </w:tc>
        <w:tc>
          <w:tcPr>
            <w:tcW w:w="8190" w:type="dxa"/>
            <w:vAlign w:val="center"/>
          </w:tcPr>
          <w:p>
            <w:pPr>
              <w:snapToGrid w:val="0"/>
              <w:spacing w:line="360" w:lineRule="auto"/>
              <w:ind w:firstLine="422" w:firstLineChars="200"/>
              <w:rPr>
                <w:rFonts w:hint="default" w:ascii="Times New Roman" w:hAnsi="Times New Roman" w:cs="Times New Roman"/>
              </w:rPr>
            </w:pPr>
            <w:r>
              <w:rPr>
                <w:rFonts w:hint="default" w:ascii="Times New Roman" w:hAnsi="Times New Roman" w:cs="Times New Roman"/>
                <w:b/>
                <w:bCs/>
              </w:rPr>
              <w:t>1.废气排放标准</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bCs/>
                <w:szCs w:val="21"/>
              </w:rPr>
              <w:t>颗粒物排放浓度执行</w:t>
            </w:r>
            <w:r>
              <w:rPr>
                <w:rFonts w:hint="default" w:ascii="Times New Roman" w:hAnsi="Times New Roman" w:cs="Times New Roman"/>
                <w:szCs w:val="21"/>
              </w:rPr>
              <w:t>《区域性大气污染物综合排放标准》(DB37/ 2376-2019)重点控制区排放浓度限值（颗粒物：10mg/m</w:t>
            </w:r>
            <w:r>
              <w:rPr>
                <w:rFonts w:hint="default" w:ascii="Times New Roman" w:hAnsi="Times New Roman" w:cs="Times New Roman"/>
                <w:szCs w:val="21"/>
                <w:vertAlign w:val="superscript"/>
              </w:rPr>
              <w:t>3</w:t>
            </w:r>
            <w:r>
              <w:rPr>
                <w:rFonts w:hint="default" w:ascii="Times New Roman" w:hAnsi="Times New Roman" w:cs="Times New Roman"/>
                <w:szCs w:val="21"/>
              </w:rPr>
              <w:t>），排放速率执行《大气污染物综合排放标准》（GB 16297-1996）15m排气筒二级排放速率限值（3.5kg/h）。</w:t>
            </w:r>
          </w:p>
          <w:p>
            <w:pPr>
              <w:spacing w:line="336" w:lineRule="auto"/>
              <w:ind w:firstLine="420" w:firstLineChars="200"/>
              <w:rPr>
                <w:rFonts w:hint="default" w:ascii="Times New Roman" w:hAnsi="Times New Roman" w:cs="Times New Roman"/>
              </w:rPr>
            </w:pPr>
            <w:r>
              <w:rPr>
                <w:rFonts w:hint="default" w:ascii="Times New Roman" w:hAnsi="Times New Roman" w:cs="Times New Roman"/>
                <w:szCs w:val="21"/>
              </w:rPr>
              <w:t>颗粒物无组织排放执行《大气污染物综合排放标准》（GB16297-1996）中颗粒物无组织排放要求（1.0mg/m</w:t>
            </w:r>
            <w:r>
              <w:rPr>
                <w:rFonts w:hint="default" w:ascii="Times New Roman" w:hAnsi="Times New Roman" w:cs="Times New Roman"/>
                <w:szCs w:val="21"/>
                <w:vertAlign w:val="superscript"/>
              </w:rPr>
              <w:t>3</w:t>
            </w:r>
            <w:r>
              <w:rPr>
                <w:rFonts w:hint="default" w:ascii="Times New Roman" w:hAnsi="Times New Roman" w:cs="Times New Roman"/>
                <w:szCs w:val="21"/>
              </w:rPr>
              <w:t>）。</w:t>
            </w:r>
          </w:p>
          <w:p>
            <w:pPr>
              <w:snapToGrid w:val="0"/>
              <w:spacing w:line="360" w:lineRule="auto"/>
              <w:ind w:firstLine="422" w:firstLineChars="200"/>
              <w:rPr>
                <w:rFonts w:hint="default" w:ascii="Times New Roman" w:hAnsi="Times New Roman" w:cs="Times New Roman"/>
                <w:color w:val="auto"/>
              </w:rPr>
            </w:pPr>
            <w:r>
              <w:rPr>
                <w:rFonts w:hint="default" w:ascii="Times New Roman" w:hAnsi="Times New Roman" w:cs="Times New Roman"/>
                <w:b/>
                <w:bCs/>
                <w:color w:val="auto"/>
              </w:rPr>
              <w:t>2.废水排放标准</w:t>
            </w:r>
          </w:p>
          <w:p>
            <w:pPr>
              <w:spacing w:line="360" w:lineRule="auto"/>
              <w:ind w:firstLine="420" w:firstLineChars="200"/>
              <w:rPr>
                <w:rFonts w:hint="default" w:ascii="Times New Roman" w:hAnsi="Times New Roman" w:cs="Times New Roman"/>
                <w:color w:val="auto"/>
              </w:rPr>
            </w:pPr>
            <w:r>
              <w:rPr>
                <w:rFonts w:hint="default" w:ascii="Times New Roman" w:hAnsi="Times New Roman" w:cs="Times New Roman"/>
                <w:color w:val="auto"/>
                <w:szCs w:val="21"/>
              </w:rPr>
              <w:t>项目废水主要为职工生活污水</w:t>
            </w:r>
            <w:r>
              <w:rPr>
                <w:rFonts w:hint="default" w:ascii="Times New Roman" w:hAnsi="Times New Roman" w:cs="Times New Roman"/>
                <w:bCs/>
                <w:color w:val="auto"/>
                <w:szCs w:val="21"/>
              </w:rPr>
              <w:t>。生活污水进入厂区化粪池处理后定期由环卫部门定期清运</w:t>
            </w:r>
            <w:r>
              <w:rPr>
                <w:rFonts w:hint="eastAsia" w:cs="Times New Roman"/>
                <w:bCs/>
                <w:color w:val="auto"/>
                <w:szCs w:val="21"/>
                <w:lang w:eastAsia="zh-CN"/>
              </w:rPr>
              <w:t>，</w:t>
            </w:r>
            <w:r>
              <w:rPr>
                <w:rFonts w:hint="eastAsia" w:cs="Times New Roman"/>
                <w:bCs/>
                <w:color w:val="auto"/>
                <w:szCs w:val="21"/>
                <w:lang w:val="en-US" w:eastAsia="zh-CN"/>
              </w:rPr>
              <w:t>无外排</w:t>
            </w:r>
            <w:r>
              <w:rPr>
                <w:rFonts w:hint="default" w:ascii="Times New Roman" w:hAnsi="Times New Roman" w:cs="Times New Roman"/>
                <w:bCs/>
                <w:color w:val="auto"/>
                <w:szCs w:val="21"/>
              </w:rPr>
              <w:t>。</w:t>
            </w:r>
          </w:p>
          <w:p>
            <w:pPr>
              <w:spacing w:line="360" w:lineRule="auto"/>
              <w:ind w:firstLine="422" w:firstLineChars="200"/>
              <w:rPr>
                <w:rFonts w:hint="default" w:ascii="Times New Roman" w:hAnsi="Times New Roman" w:cs="Times New Roman"/>
              </w:rPr>
            </w:pPr>
            <w:r>
              <w:rPr>
                <w:rFonts w:hint="default" w:ascii="Times New Roman" w:hAnsi="Times New Roman" w:cs="Times New Roman"/>
                <w:b/>
                <w:bCs/>
              </w:rPr>
              <w:t>3.噪声排放标准</w:t>
            </w:r>
          </w:p>
          <w:p>
            <w:pPr>
              <w:spacing w:line="360" w:lineRule="auto"/>
              <w:ind w:firstLine="420" w:firstLineChars="200"/>
              <w:textAlignment w:val="baseline"/>
              <w:rPr>
                <w:rFonts w:hint="default" w:ascii="Times New Roman" w:hAnsi="Times New Roman" w:cs="Times New Roman"/>
              </w:rPr>
            </w:pPr>
            <w:r>
              <w:rPr>
                <w:rFonts w:hint="default" w:ascii="Times New Roman" w:hAnsi="Times New Roman" w:cs="Times New Roman"/>
              </w:rPr>
              <w:t>本项目运营期噪声执行《工业企业厂界环境噪声排放标准》（GB12348-2008）2类标准，具体标准限值为：昼间60dB（A），夜间50dB（A）。</w:t>
            </w:r>
          </w:p>
          <w:p>
            <w:pPr>
              <w:spacing w:line="360" w:lineRule="auto"/>
              <w:ind w:firstLine="422" w:firstLineChars="200"/>
              <w:textAlignment w:val="baseline"/>
              <w:rPr>
                <w:rFonts w:hint="default" w:ascii="Times New Roman" w:hAnsi="Times New Roman" w:cs="Times New Roman"/>
              </w:rPr>
            </w:pPr>
            <w:r>
              <w:rPr>
                <w:rFonts w:hint="default" w:ascii="Times New Roman" w:hAnsi="Times New Roman" w:cs="Times New Roman"/>
                <w:b/>
                <w:bCs/>
              </w:rPr>
              <w:t>4.固体废弃物排放标准</w:t>
            </w:r>
          </w:p>
          <w:p>
            <w:pPr>
              <w:pStyle w:val="2"/>
              <w:spacing w:after="0" w:line="360" w:lineRule="auto"/>
              <w:ind w:left="0" w:leftChars="0"/>
              <w:rPr>
                <w:rFonts w:hint="default" w:ascii="Times New Roman" w:hAnsi="Times New Roman" w:cs="Times New Roman"/>
              </w:rPr>
            </w:pPr>
            <w:r>
              <w:rPr>
                <w:rFonts w:hint="default" w:ascii="Times New Roman" w:hAnsi="Times New Roman" w:cs="Times New Roman"/>
              </w:rPr>
              <w:t>本项目一般固体废物执行《一般工业固体废物贮存和填埋污染控制标准》（GB18599-2020）要求。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总量</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控制</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指标</w:t>
            </w:r>
          </w:p>
        </w:tc>
        <w:tc>
          <w:tcPr>
            <w:tcW w:w="81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根据《中华人民共和国国民经济和社会发展第十四个五年规划和2035年远景目标纲要》及《山东省国民经济和社会发展第十四个五年规划和2035年远景目标纲要》等十四五文件</w:t>
            </w:r>
            <w:r>
              <w:rPr>
                <w:rFonts w:hint="default" w:ascii="Times New Roman" w:hAnsi="Times New Roman" w:cs="Times New Roman"/>
                <w:color w:val="auto"/>
                <w:kern w:val="0"/>
                <w:szCs w:val="21"/>
                <w:lang w:val="en-US" w:eastAsia="zh-CN"/>
              </w:rPr>
              <w:t>和</w:t>
            </w:r>
            <w:r>
              <w:rPr>
                <w:rFonts w:hint="default" w:ascii="Times New Roman" w:hAnsi="Times New Roman" w:cs="Times New Roman"/>
                <w:color w:val="auto"/>
                <w:kern w:val="0"/>
                <w:szCs w:val="21"/>
              </w:rPr>
              <w:t>淄博市当地要求，淄博市主要控制污染物为SO</w:t>
            </w:r>
            <w:r>
              <w:rPr>
                <w:rFonts w:hint="default" w:ascii="Times New Roman" w:hAnsi="Times New Roman" w:cs="Times New Roman"/>
                <w:color w:val="auto"/>
                <w:kern w:val="0"/>
                <w:szCs w:val="21"/>
                <w:vertAlign w:val="subscript"/>
                <w:lang w:val="en-US" w:eastAsia="zh-CN"/>
              </w:rPr>
              <w:t>2</w:t>
            </w:r>
            <w:r>
              <w:rPr>
                <w:rFonts w:hint="default" w:ascii="Times New Roman" w:hAnsi="Times New Roman" w:cs="Times New Roman"/>
                <w:color w:val="auto"/>
                <w:kern w:val="0"/>
                <w:szCs w:val="21"/>
              </w:rPr>
              <w:t>、NOx、COD、氨氮、颗粒物及VOCs</w:t>
            </w:r>
            <w:r>
              <w:rPr>
                <w:rFonts w:hint="eastAsia" w:ascii="Times New Roman" w:hAnsi="Times New Roman" w:cs="Times New Roman"/>
                <w:color w:val="auto"/>
                <w:kern w:val="0"/>
                <w:szCs w:val="21"/>
                <w:lang w:val="en-US" w:eastAsia="zh-CN"/>
              </w:rPr>
              <w:t xml:space="preserve"> </w:t>
            </w:r>
            <w:r>
              <w:rPr>
                <w:rFonts w:hint="default" w:ascii="Times New Roman" w:hAnsi="Times New Roman" w:cs="Times New Roman"/>
                <w:color w:val="auto"/>
                <w:kern w:val="0"/>
                <w:szCs w:val="21"/>
              </w:rPr>
              <w:t>6项指标。</w:t>
            </w:r>
          </w:p>
          <w:p>
            <w:pPr>
              <w:spacing w:line="360" w:lineRule="auto"/>
              <w:ind w:firstLine="420" w:firstLineChars="200"/>
              <w:rPr>
                <w:rFonts w:hint="default" w:ascii="Times New Roman" w:hAnsi="Times New Roman" w:cs="Times New Roman"/>
                <w:color w:val="auto"/>
              </w:rPr>
            </w:pPr>
            <w:r>
              <w:rPr>
                <w:rFonts w:hint="default" w:ascii="Times New Roman" w:hAnsi="Times New Roman" w:cs="Times New Roman"/>
                <w:color w:val="auto"/>
                <w:szCs w:val="21"/>
              </w:rPr>
              <w:t>项目废水主要为职工生活污水</w:t>
            </w:r>
            <w:r>
              <w:rPr>
                <w:rFonts w:hint="default" w:ascii="Times New Roman" w:hAnsi="Times New Roman" w:cs="Times New Roman"/>
                <w:bCs/>
                <w:color w:val="auto"/>
                <w:szCs w:val="21"/>
              </w:rPr>
              <w:t>。生活污水进入厂区化粪池处理后定期由环卫部门定期清运</w:t>
            </w:r>
            <w:r>
              <w:rPr>
                <w:rFonts w:hint="eastAsia" w:cs="Times New Roman"/>
                <w:bCs/>
                <w:color w:val="auto"/>
                <w:szCs w:val="21"/>
                <w:lang w:eastAsia="zh-CN"/>
              </w:rPr>
              <w:t>，无外排</w:t>
            </w:r>
            <w:r>
              <w:rPr>
                <w:rFonts w:hint="default" w:ascii="Times New Roman" w:hAnsi="Times New Roman" w:cs="Times New Roman"/>
                <w:snapToGrid w:val="0"/>
                <w:color w:val="auto"/>
                <w:kern w:val="0"/>
                <w:szCs w:val="21"/>
                <w:lang w:val="en-US" w:eastAsia="zh-CN"/>
              </w:rPr>
              <w:t>。</w:t>
            </w:r>
          </w:p>
          <w:p>
            <w:pPr>
              <w:autoSpaceDE w:val="0"/>
              <w:autoSpaceDN w:val="0"/>
              <w:adjustRightInd w:val="0"/>
              <w:spacing w:line="360" w:lineRule="auto"/>
              <w:ind w:firstLine="420" w:firstLineChars="200"/>
              <w:rPr>
                <w:rFonts w:hint="default" w:ascii="Times New Roman" w:hAnsi="Times New Roman" w:cs="Times New Roman"/>
                <w:color w:val="auto"/>
              </w:rPr>
            </w:pPr>
            <w:r>
              <w:rPr>
                <w:rFonts w:hint="default" w:ascii="Times New Roman" w:hAnsi="Times New Roman" w:cs="Times New Roman"/>
                <w:color w:val="auto"/>
                <w:szCs w:val="21"/>
              </w:rPr>
              <w:t>本项目为新建项目，项目完成后，需新申请总量指标为：颗粒物 0.</w:t>
            </w:r>
            <w:r>
              <w:rPr>
                <w:rFonts w:hint="default" w:ascii="Times New Roman" w:hAnsi="Times New Roman" w:cs="Times New Roman"/>
                <w:color w:val="auto"/>
                <w:szCs w:val="21"/>
                <w:lang w:val="en-US" w:eastAsia="zh-CN"/>
              </w:rPr>
              <w:t>0</w:t>
            </w:r>
            <w:r>
              <w:rPr>
                <w:rFonts w:hint="eastAsia" w:cs="Times New Roman"/>
                <w:color w:val="auto"/>
                <w:szCs w:val="21"/>
                <w:lang w:val="en-US" w:eastAsia="zh-CN"/>
              </w:rPr>
              <w:t>57</w:t>
            </w:r>
            <w:r>
              <w:rPr>
                <w:rFonts w:hint="default" w:ascii="Times New Roman" w:hAnsi="Times New Roman" w:cs="Times New Roman"/>
                <w:color w:val="auto"/>
                <w:szCs w:val="21"/>
              </w:rPr>
              <w:t xml:space="preserve"> t/a。</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bCs/>
                <w:color w:val="auto"/>
                <w:szCs w:val="21"/>
              </w:rPr>
              <w:t>根据《关于统筹使用“十四五”建设项目主要大气污染物总量指标的通知》（淄环函〔2021〕55号）总量指标使用原则，项目区属于</w:t>
            </w:r>
            <w:r>
              <w:rPr>
                <w:rFonts w:hint="default" w:ascii="Times New Roman" w:hAnsi="Times New Roman" w:cs="Times New Roman"/>
                <w:color w:val="auto"/>
                <w:szCs w:val="21"/>
              </w:rPr>
              <w:t>PM</w:t>
            </w:r>
            <w:r>
              <w:rPr>
                <w:rFonts w:hint="default" w:ascii="Times New Roman" w:hAnsi="Times New Roman" w:cs="Times New Roman"/>
                <w:color w:val="auto"/>
                <w:szCs w:val="21"/>
                <w:vertAlign w:val="subscript"/>
              </w:rPr>
              <w:t>2.5</w:t>
            </w:r>
            <w:r>
              <w:rPr>
                <w:rFonts w:hint="default" w:ascii="Times New Roman" w:hAnsi="Times New Roman" w:cs="Times New Roman"/>
                <w:color w:val="auto"/>
                <w:szCs w:val="21"/>
              </w:rPr>
              <w:t>、PM</w:t>
            </w:r>
            <w:r>
              <w:rPr>
                <w:rFonts w:hint="default" w:ascii="Times New Roman" w:hAnsi="Times New Roman" w:cs="Times New Roman"/>
                <w:color w:val="auto"/>
                <w:szCs w:val="21"/>
                <w:vertAlign w:val="subscript"/>
              </w:rPr>
              <w:t>10</w:t>
            </w:r>
            <w:r>
              <w:rPr>
                <w:rFonts w:hint="default" w:ascii="Times New Roman" w:hAnsi="Times New Roman" w:cs="Times New Roman"/>
                <w:bCs/>
                <w:color w:val="auto"/>
                <w:szCs w:val="21"/>
              </w:rPr>
              <w:t>年平均浓度超标区，实行二氧化硫、氮氧化物、烟粉尘、挥发性有机物四项污染物排放总量指标2倍削减替代，</w:t>
            </w:r>
            <w:r>
              <w:rPr>
                <w:rFonts w:hint="default" w:ascii="Times New Roman" w:hAnsi="Times New Roman" w:cs="Times New Roman"/>
                <w:color w:val="auto"/>
                <w:szCs w:val="21"/>
              </w:rPr>
              <w:t>因此，本项目污染物削减替代量为颗粒物 0.</w:t>
            </w:r>
            <w:r>
              <w:rPr>
                <w:rFonts w:hint="default" w:ascii="Times New Roman" w:hAnsi="Times New Roman" w:cs="Times New Roman"/>
                <w:color w:val="auto"/>
                <w:szCs w:val="21"/>
                <w:lang w:val="en-US" w:eastAsia="zh-CN"/>
              </w:rPr>
              <w:t>1</w:t>
            </w:r>
            <w:r>
              <w:rPr>
                <w:rFonts w:hint="eastAsia" w:cs="Times New Roman"/>
                <w:color w:val="auto"/>
                <w:szCs w:val="21"/>
                <w:lang w:val="en-US" w:eastAsia="zh-CN"/>
              </w:rPr>
              <w:t>14</w:t>
            </w:r>
            <w:r>
              <w:rPr>
                <w:rFonts w:hint="default" w:ascii="Times New Roman" w:hAnsi="Times New Roman" w:cs="Times New Roman"/>
                <w:color w:val="auto"/>
                <w:szCs w:val="21"/>
              </w:rPr>
              <w:t xml:space="preserve"> t/a。</w:t>
            </w: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rPr>
            </w:pPr>
          </w:p>
          <w:p>
            <w:pPr>
              <w:adjustRightInd w:val="0"/>
              <w:snapToGrid w:val="0"/>
              <w:rPr>
                <w:rFonts w:hint="default" w:ascii="Times New Roman" w:hAnsi="Times New Roman" w:cs="Times New Roman"/>
                <w:kern w:val="0"/>
                <w:szCs w:val="21"/>
              </w:rPr>
            </w:pPr>
          </w:p>
        </w:tc>
      </w:tr>
    </w:tbl>
    <w:p>
      <w:pPr>
        <w:pStyle w:val="23"/>
        <w:jc w:val="center"/>
        <w:outlineLvl w:val="0"/>
        <w:rPr>
          <w:rFonts w:hint="default" w:ascii="Times New Roman" w:hAnsi="Times New Roman" w:eastAsia="黑体" w:cs="Times New Roman"/>
          <w:snapToGrid w:val="0"/>
          <w:sz w:val="36"/>
          <w:szCs w:val="36"/>
        </w:rPr>
        <w:sectPr>
          <w:pgSz w:w="11907" w:h="16840"/>
          <w:pgMar w:top="1701" w:right="1531" w:bottom="2127" w:left="1531" w:header="851" w:footer="851" w:gutter="0"/>
          <w:cols w:space="720" w:num="1"/>
          <w:docGrid w:linePitch="312" w:charSpace="0"/>
        </w:sectPr>
      </w:pPr>
    </w:p>
    <w:p>
      <w:pPr>
        <w:pStyle w:val="23"/>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四、主要环境影响和保护措施</w:t>
      </w:r>
    </w:p>
    <w:tbl>
      <w:tblPr>
        <w:tblStyle w:val="26"/>
        <w:tblW w:w="531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32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8" w:type="dxa"/>
            <w:tcMar>
              <w:left w:w="28" w:type="dxa"/>
              <w:right w:w="28" w:type="dxa"/>
            </w:tcMar>
            <w:vAlign w:val="center"/>
          </w:tcPr>
          <w:p>
            <w:pPr>
              <w:pStyle w:val="23"/>
              <w:adjustRightInd w:val="0"/>
              <w:snapToGrid w:val="0"/>
              <w:spacing w:before="0" w:beforeAutospacing="0" w:after="0" w:afterAutospacing="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施工</w:t>
            </w:r>
          </w:p>
          <w:p>
            <w:pPr>
              <w:pStyle w:val="23"/>
              <w:adjustRightInd w:val="0"/>
              <w:snapToGrid w:val="0"/>
              <w:spacing w:before="0" w:beforeAutospacing="0" w:after="0" w:afterAutospacing="0"/>
              <w:jc w:val="center"/>
              <w:rPr>
                <w:rFonts w:hint="default" w:ascii="Times New Roman" w:hAnsi="Times New Roman" w:cs="Times New Roman"/>
                <w:bCs/>
                <w:sz w:val="21"/>
                <w:szCs w:val="21"/>
              </w:rPr>
            </w:pPr>
            <w:r>
              <w:rPr>
                <w:rFonts w:hint="default" w:ascii="Times New Roman" w:hAnsi="Times New Roman" w:cs="Times New Roman"/>
                <w:kern w:val="2"/>
                <w:sz w:val="21"/>
                <w:szCs w:val="21"/>
              </w:rPr>
              <w:t>期</w:t>
            </w:r>
          </w:p>
        </w:tc>
        <w:tc>
          <w:tcPr>
            <w:tcW w:w="13199" w:type="dxa"/>
            <w:shd w:val="clear" w:color="auto" w:fill="auto"/>
            <w:vAlign w:val="center"/>
          </w:tcPr>
          <w:p>
            <w:pPr>
              <w:pStyle w:val="66"/>
              <w:ind w:firstLine="420"/>
              <w:rPr>
                <w:rFonts w:hint="default" w:ascii="Times New Roman" w:hAnsi="Times New Roman" w:cs="Times New Roman"/>
                <w:bCs/>
                <w:spacing w:val="-10"/>
                <w:sz w:val="21"/>
                <w:szCs w:val="21"/>
              </w:rPr>
            </w:pPr>
            <w:r>
              <w:rPr>
                <w:rFonts w:hint="default" w:ascii="Times New Roman" w:hAnsi="Times New Roman" w:cs="Times New Roman"/>
                <w:sz w:val="21"/>
                <w:szCs w:val="21"/>
              </w:rPr>
              <w:t>本项目无土建工程，只有设备安装，设备安装对周围环境影响较小，在此不对施工期进行环境影响分析。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8" w:type="dxa"/>
            <w:tcMar>
              <w:left w:w="28" w:type="dxa"/>
              <w:right w:w="28" w:type="dxa"/>
            </w:tcMar>
            <w:vAlign w:val="center"/>
          </w:tcPr>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运营</w:t>
            </w:r>
          </w:p>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期环</w:t>
            </w:r>
          </w:p>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境影</w:t>
            </w:r>
          </w:p>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响和</w:t>
            </w:r>
          </w:p>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保护</w:t>
            </w:r>
          </w:p>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措施</w:t>
            </w:r>
          </w:p>
        </w:tc>
        <w:tc>
          <w:tcPr>
            <w:tcW w:w="13199" w:type="dxa"/>
            <w:shd w:val="clear" w:color="auto" w:fill="auto"/>
            <w:vAlign w:val="center"/>
          </w:tcPr>
          <w:p>
            <w:pPr>
              <w:spacing w:line="360" w:lineRule="auto"/>
              <w:ind w:firstLine="422" w:firstLineChars="200"/>
              <w:rPr>
                <w:rFonts w:hint="default" w:ascii="Times New Roman" w:hAnsi="Times New Roman" w:cs="Times New Roman"/>
                <w:b/>
                <w:szCs w:val="21"/>
              </w:rPr>
            </w:pPr>
            <w:r>
              <w:rPr>
                <w:rFonts w:hint="default" w:ascii="Times New Roman" w:hAnsi="Times New Roman" w:cs="Times New Roman"/>
                <w:b/>
                <w:szCs w:val="21"/>
              </w:rPr>
              <w:t>1.废气</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项目运营过程中产生的废气包括有组织废气和无组织废气，具体分析如下：</w:t>
            </w:r>
          </w:p>
          <w:p>
            <w:pPr>
              <w:spacing w:line="360" w:lineRule="auto"/>
              <w:ind w:firstLine="422" w:firstLineChars="200"/>
              <w:rPr>
                <w:rFonts w:hint="default" w:ascii="Times New Roman" w:hAnsi="Times New Roman" w:cs="Times New Roman"/>
                <w:b/>
                <w:bCs/>
                <w:szCs w:val="21"/>
              </w:rPr>
            </w:pPr>
            <w:r>
              <w:rPr>
                <w:rFonts w:hint="default" w:ascii="Times New Roman" w:hAnsi="Times New Roman" w:cs="Times New Roman"/>
                <w:b/>
                <w:bCs/>
                <w:szCs w:val="21"/>
              </w:rPr>
              <w:t>1.1产排污节点、污染物及污染治理设施</w:t>
            </w:r>
          </w:p>
          <w:p>
            <w:pPr>
              <w:autoSpaceDE w:val="0"/>
              <w:autoSpaceDN w:val="0"/>
              <w:adjustRightInd w:val="0"/>
              <w:spacing w:line="360" w:lineRule="auto"/>
              <w:jc w:val="center"/>
              <w:rPr>
                <w:rFonts w:hint="default" w:ascii="Times New Roman" w:hAnsi="Times New Roman" w:cs="Times New Roman"/>
                <w:b/>
                <w:snapToGrid w:val="0"/>
                <w:kern w:val="0"/>
                <w:szCs w:val="21"/>
              </w:rPr>
            </w:pPr>
            <w:r>
              <w:rPr>
                <w:rFonts w:hint="default" w:ascii="Times New Roman" w:hAnsi="Times New Roman" w:cs="Times New Roman"/>
                <w:b/>
                <w:snapToGrid w:val="0"/>
                <w:kern w:val="0"/>
                <w:szCs w:val="21"/>
              </w:rPr>
              <w:t>表1</w:t>
            </w:r>
            <w:r>
              <w:rPr>
                <w:rFonts w:hint="eastAsia" w:cs="Times New Roman"/>
                <w:b/>
                <w:snapToGrid w:val="0"/>
                <w:kern w:val="0"/>
                <w:szCs w:val="21"/>
                <w:lang w:val="en-US" w:eastAsia="zh-CN"/>
              </w:rPr>
              <w:t>5</w:t>
            </w:r>
            <w:r>
              <w:rPr>
                <w:rFonts w:hint="default" w:ascii="Times New Roman" w:hAnsi="Times New Roman" w:cs="Times New Roman"/>
                <w:b/>
                <w:snapToGrid w:val="0"/>
                <w:kern w:val="0"/>
                <w:szCs w:val="21"/>
              </w:rPr>
              <w:t xml:space="preserve">  有组织废气污染物排放源强核算结果一览表</w:t>
            </w:r>
          </w:p>
          <w:tbl>
            <w:tblPr>
              <w:tblStyle w:val="2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4"/>
              <w:gridCol w:w="598"/>
              <w:gridCol w:w="637"/>
              <w:gridCol w:w="731"/>
              <w:gridCol w:w="546"/>
              <w:gridCol w:w="457"/>
              <w:gridCol w:w="493"/>
              <w:gridCol w:w="605"/>
              <w:gridCol w:w="719"/>
              <w:gridCol w:w="763"/>
              <w:gridCol w:w="654"/>
              <w:gridCol w:w="545"/>
              <w:gridCol w:w="576"/>
              <w:gridCol w:w="425"/>
              <w:gridCol w:w="803"/>
              <w:gridCol w:w="406"/>
              <w:gridCol w:w="469"/>
              <w:gridCol w:w="500"/>
              <w:gridCol w:w="406"/>
              <w:gridCol w:w="469"/>
              <w:gridCol w:w="607"/>
              <w:gridCol w:w="636"/>
              <w:gridCol w:w="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3" w:type="pct"/>
                  <w:vMerge w:val="restar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产污环节</w:t>
                  </w:r>
                </w:p>
              </w:tc>
              <w:tc>
                <w:tcPr>
                  <w:tcW w:w="229" w:type="pct"/>
                  <w:vMerge w:val="restar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污染物种类</w:t>
                  </w:r>
                </w:p>
              </w:tc>
              <w:tc>
                <w:tcPr>
                  <w:tcW w:w="525" w:type="pct"/>
                  <w:gridSpan w:val="2"/>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污染物产生情况</w:t>
                  </w:r>
                </w:p>
              </w:tc>
              <w:tc>
                <w:tcPr>
                  <w:tcW w:w="806" w:type="pct"/>
                  <w:gridSpan w:val="4"/>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治理设施</w:t>
                  </w:r>
                </w:p>
              </w:tc>
              <w:tc>
                <w:tcPr>
                  <w:tcW w:w="819" w:type="pct"/>
                  <w:gridSpan w:val="3"/>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污染物排放情况</w:t>
                  </w:r>
                </w:p>
              </w:tc>
              <w:tc>
                <w:tcPr>
                  <w:tcW w:w="1765" w:type="pct"/>
                  <w:gridSpan w:val="9"/>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排放口</w:t>
                  </w:r>
                </w:p>
              </w:tc>
              <w:tc>
                <w:tcPr>
                  <w:tcW w:w="477" w:type="pct"/>
                  <w:gridSpan w:val="2"/>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排放标准</w:t>
                  </w:r>
                </w:p>
              </w:tc>
              <w:tc>
                <w:tcPr>
                  <w:tcW w:w="133" w:type="pct"/>
                  <w:vMerge w:val="restar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是否达标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3" w:type="pct"/>
                  <w:vMerge w:val="continue"/>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p>
              </w:tc>
              <w:tc>
                <w:tcPr>
                  <w:tcW w:w="229" w:type="pct"/>
                  <w:vMerge w:val="continue"/>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p>
              </w:tc>
              <w:tc>
                <w:tcPr>
                  <w:tcW w:w="244"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产生浓度mg/m</w:t>
                  </w:r>
                  <w:r>
                    <w:rPr>
                      <w:rFonts w:hint="default" w:ascii="Times New Roman" w:hAnsi="Times New Roman" w:cs="Times New Roman"/>
                      <w:b/>
                      <w:bCs/>
                      <w:color w:val="auto"/>
                      <w:kern w:val="0"/>
                      <w:sz w:val="18"/>
                      <w:szCs w:val="18"/>
                      <w:vertAlign w:val="superscript"/>
                    </w:rPr>
                    <w:t>3</w:t>
                  </w:r>
                </w:p>
              </w:tc>
              <w:tc>
                <w:tcPr>
                  <w:tcW w:w="280"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产生量t/a</w:t>
                  </w:r>
                </w:p>
              </w:tc>
              <w:tc>
                <w:tcPr>
                  <w:tcW w:w="209"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收集效率%</w:t>
                  </w:r>
                </w:p>
              </w:tc>
              <w:tc>
                <w:tcPr>
                  <w:tcW w:w="175"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治理设施</w:t>
                  </w:r>
                </w:p>
              </w:tc>
              <w:tc>
                <w:tcPr>
                  <w:tcW w:w="189"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处理效率%</w:t>
                  </w:r>
                </w:p>
              </w:tc>
              <w:tc>
                <w:tcPr>
                  <w:tcW w:w="232"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是否为可行技术</w:t>
                  </w:r>
                </w:p>
              </w:tc>
              <w:tc>
                <w:tcPr>
                  <w:tcW w:w="275"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排放浓度mg/m</w:t>
                  </w:r>
                  <w:r>
                    <w:rPr>
                      <w:rFonts w:hint="default" w:ascii="Times New Roman" w:hAnsi="Times New Roman" w:cs="Times New Roman"/>
                      <w:b/>
                      <w:bCs/>
                      <w:color w:val="auto"/>
                      <w:kern w:val="0"/>
                      <w:sz w:val="18"/>
                      <w:szCs w:val="18"/>
                      <w:vertAlign w:val="superscript"/>
                    </w:rPr>
                    <w:t>3</w:t>
                  </w:r>
                </w:p>
              </w:tc>
              <w:tc>
                <w:tcPr>
                  <w:tcW w:w="292"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排放速率kg/h</w:t>
                  </w:r>
                </w:p>
              </w:tc>
              <w:tc>
                <w:tcPr>
                  <w:tcW w:w="250"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排放量t/a</w:t>
                  </w:r>
                </w:p>
              </w:tc>
              <w:tc>
                <w:tcPr>
                  <w:tcW w:w="209"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编号</w:t>
                  </w:r>
                </w:p>
              </w:tc>
              <w:tc>
                <w:tcPr>
                  <w:tcW w:w="221"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名称</w:t>
                  </w:r>
                </w:p>
              </w:tc>
              <w:tc>
                <w:tcPr>
                  <w:tcW w:w="163"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类型</w:t>
                  </w:r>
                </w:p>
              </w:tc>
              <w:tc>
                <w:tcPr>
                  <w:tcW w:w="308"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地理坐标</w:t>
                  </w:r>
                </w:p>
              </w:tc>
              <w:tc>
                <w:tcPr>
                  <w:tcW w:w="155"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高度m</w:t>
                  </w:r>
                </w:p>
              </w:tc>
              <w:tc>
                <w:tcPr>
                  <w:tcW w:w="179"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出口内径m</w:t>
                  </w:r>
                </w:p>
              </w:tc>
              <w:tc>
                <w:tcPr>
                  <w:tcW w:w="191"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风量m</w:t>
                  </w:r>
                  <w:r>
                    <w:rPr>
                      <w:rFonts w:hint="default" w:ascii="Times New Roman" w:hAnsi="Times New Roman" w:cs="Times New Roman"/>
                      <w:b/>
                      <w:bCs/>
                      <w:color w:val="auto"/>
                      <w:kern w:val="0"/>
                      <w:sz w:val="18"/>
                      <w:szCs w:val="18"/>
                      <w:vertAlign w:val="superscript"/>
                    </w:rPr>
                    <w:t>3</w:t>
                  </w:r>
                  <w:r>
                    <w:rPr>
                      <w:rFonts w:hint="default" w:ascii="Times New Roman" w:hAnsi="Times New Roman" w:cs="Times New Roman"/>
                      <w:b/>
                      <w:bCs/>
                      <w:color w:val="auto"/>
                      <w:kern w:val="0"/>
                      <w:sz w:val="18"/>
                      <w:szCs w:val="18"/>
                    </w:rPr>
                    <w:t>/h</w:t>
                  </w:r>
                </w:p>
              </w:tc>
              <w:tc>
                <w:tcPr>
                  <w:tcW w:w="155"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排气温度℃</w:t>
                  </w:r>
                </w:p>
              </w:tc>
              <w:tc>
                <w:tcPr>
                  <w:tcW w:w="179"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年排放时数/h</w:t>
                  </w:r>
                </w:p>
              </w:tc>
              <w:tc>
                <w:tcPr>
                  <w:tcW w:w="232"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浓度限值mg/m</w:t>
                  </w:r>
                  <w:r>
                    <w:rPr>
                      <w:rFonts w:hint="default" w:ascii="Times New Roman" w:hAnsi="Times New Roman" w:cs="Times New Roman"/>
                      <w:b/>
                      <w:bCs/>
                      <w:color w:val="auto"/>
                      <w:kern w:val="0"/>
                      <w:sz w:val="18"/>
                      <w:szCs w:val="18"/>
                      <w:vertAlign w:val="superscript"/>
                    </w:rPr>
                    <w:t>3</w:t>
                  </w:r>
                </w:p>
              </w:tc>
              <w:tc>
                <w:tcPr>
                  <w:tcW w:w="244" w:type="pct"/>
                  <w:tcBorders>
                    <w:tl2br w:val="nil"/>
                    <w:tr2bl w:val="nil"/>
                  </w:tcBorders>
                  <w:vAlign w:val="center"/>
                </w:tcPr>
                <w:p>
                  <w:pPr>
                    <w:pStyle w:val="14"/>
                    <w:spacing w:line="240" w:lineRule="atLeast"/>
                    <w:jc w:val="center"/>
                    <w:rPr>
                      <w:rFonts w:hint="default" w:ascii="Times New Roman" w:hAnsi="Times New Roman" w:cs="Times New Roman"/>
                      <w:b/>
                      <w:bCs/>
                      <w:color w:val="auto"/>
                      <w:kern w:val="0"/>
                      <w:sz w:val="18"/>
                      <w:szCs w:val="18"/>
                    </w:rPr>
                  </w:pPr>
                  <w:r>
                    <w:rPr>
                      <w:rFonts w:hint="default" w:ascii="Times New Roman" w:hAnsi="Times New Roman" w:cs="Times New Roman"/>
                      <w:b/>
                      <w:bCs/>
                      <w:color w:val="auto"/>
                      <w:kern w:val="0"/>
                      <w:sz w:val="18"/>
                      <w:szCs w:val="18"/>
                    </w:rPr>
                    <w:t>速率限值kg/h</w:t>
                  </w:r>
                </w:p>
              </w:tc>
              <w:tc>
                <w:tcPr>
                  <w:tcW w:w="133" w:type="pct"/>
                  <w:vMerge w:val="continue"/>
                  <w:tcBorders>
                    <w:tl2br w:val="nil"/>
                    <w:tr2bl w:val="nil"/>
                  </w:tcBorders>
                  <w:vAlign w:val="center"/>
                </w:tcPr>
                <w:p>
                  <w:pPr>
                    <w:pStyle w:val="14"/>
                    <w:spacing w:line="240" w:lineRule="atLeast"/>
                    <w:jc w:val="center"/>
                    <w:rPr>
                      <w:rFonts w:hint="default" w:ascii="Times New Roman" w:hAnsi="Times New Roman"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43" w:type="pct"/>
                  <w:tcBorders>
                    <w:tl2br w:val="nil"/>
                    <w:tr2bl w:val="nil"/>
                  </w:tcBorders>
                  <w:vAlign w:val="center"/>
                </w:tcPr>
                <w:p>
                  <w:pPr>
                    <w:pStyle w:val="14"/>
                    <w:spacing w:line="240" w:lineRule="atLeast"/>
                    <w:jc w:val="center"/>
                    <w:rPr>
                      <w:rFonts w:hint="eastAsia" w:ascii="Times New Roman" w:hAnsi="Times New Roman" w:eastAsia="宋体" w:cs="Times New Roman"/>
                      <w:color w:val="auto"/>
                      <w:kern w:val="0"/>
                      <w:sz w:val="18"/>
                      <w:szCs w:val="18"/>
                      <w:lang w:eastAsia="zh-CN"/>
                    </w:rPr>
                  </w:pPr>
                  <w:r>
                    <w:rPr>
                      <w:rFonts w:hint="default" w:ascii="Times New Roman" w:hAnsi="Times New Roman" w:cs="Times New Roman"/>
                      <w:color w:val="auto"/>
                      <w:kern w:val="0"/>
                      <w:sz w:val="18"/>
                      <w:szCs w:val="18"/>
                    </w:rPr>
                    <w:t>投料</w:t>
                  </w:r>
                  <w:r>
                    <w:rPr>
                      <w:rFonts w:hint="eastAsia" w:ascii="Times New Roman" w:hAnsi="Times New Roman" w:cs="Times New Roman"/>
                      <w:color w:val="auto"/>
                      <w:kern w:val="0"/>
                      <w:sz w:val="18"/>
                      <w:szCs w:val="18"/>
                      <w:lang w:eastAsia="zh-CN"/>
                    </w:rPr>
                    <w:t>混料</w:t>
                  </w:r>
                </w:p>
              </w:tc>
              <w:tc>
                <w:tcPr>
                  <w:tcW w:w="229" w:type="pct"/>
                  <w:tcBorders>
                    <w:tl2br w:val="nil"/>
                    <w:tr2bl w:val="nil"/>
                  </w:tcBorders>
                  <w:vAlign w:val="center"/>
                </w:tcPr>
                <w:p>
                  <w:pPr>
                    <w:adjustRightIn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sz w:val="18"/>
                      <w:szCs w:val="18"/>
                    </w:rPr>
                    <w:t>颗粒物</w:t>
                  </w:r>
                </w:p>
              </w:tc>
              <w:tc>
                <w:tcPr>
                  <w:tcW w:w="244" w:type="pct"/>
                  <w:tcBorders>
                    <w:tl2br w:val="nil"/>
                    <w:tr2bl w:val="nil"/>
                  </w:tcBorders>
                  <w:vAlign w:val="center"/>
                </w:tcPr>
                <w:p>
                  <w:pPr>
                    <w:pStyle w:val="14"/>
                    <w:spacing w:line="240" w:lineRule="atLeast"/>
                    <w:jc w:val="center"/>
                    <w:rPr>
                      <w:rFonts w:hint="default" w:ascii="Times New Roman" w:hAnsi="Times New Roman" w:eastAsia="宋体" w:cs="Times New Roman"/>
                      <w:color w:val="auto"/>
                      <w:kern w:val="0"/>
                      <w:sz w:val="18"/>
                      <w:szCs w:val="18"/>
                      <w:lang w:val="en-US" w:eastAsia="zh-CN"/>
                    </w:rPr>
                  </w:pPr>
                  <w:r>
                    <w:rPr>
                      <w:rFonts w:hint="default" w:ascii="Times New Roman" w:hAnsi="Times New Roman" w:cs="Times New Roman"/>
                      <w:color w:val="auto"/>
                      <w:kern w:val="0"/>
                      <w:sz w:val="18"/>
                      <w:szCs w:val="18"/>
                    </w:rPr>
                    <w:t>1</w:t>
                  </w:r>
                  <w:r>
                    <w:rPr>
                      <w:rFonts w:hint="default" w:ascii="Times New Roman" w:hAnsi="Times New Roman" w:cs="Times New Roman"/>
                      <w:color w:val="auto"/>
                      <w:kern w:val="0"/>
                      <w:sz w:val="18"/>
                      <w:szCs w:val="18"/>
                      <w:lang w:val="en-US" w:eastAsia="zh-CN"/>
                    </w:rPr>
                    <w:t>59.4</w:t>
                  </w:r>
                </w:p>
              </w:tc>
              <w:tc>
                <w:tcPr>
                  <w:tcW w:w="280" w:type="pct"/>
                  <w:tcBorders>
                    <w:tl2br w:val="nil"/>
                    <w:tr2bl w:val="nil"/>
                  </w:tcBorders>
                  <w:vAlign w:val="center"/>
                </w:tcPr>
                <w:p>
                  <w:pPr>
                    <w:pStyle w:val="14"/>
                    <w:spacing w:line="240" w:lineRule="atLeast"/>
                    <w:jc w:val="center"/>
                    <w:rPr>
                      <w:rFonts w:hint="default" w:ascii="Times New Roman" w:hAnsi="Times New Roman" w:eastAsia="宋体" w:cs="Times New Roman"/>
                      <w:color w:val="auto"/>
                      <w:kern w:val="0"/>
                      <w:sz w:val="18"/>
                      <w:szCs w:val="18"/>
                      <w:lang w:val="en-US" w:eastAsia="zh-CN"/>
                    </w:rPr>
                  </w:pPr>
                  <w:r>
                    <w:rPr>
                      <w:rFonts w:hint="default" w:ascii="Times New Roman" w:hAnsi="Times New Roman" w:cs="Times New Roman"/>
                      <w:color w:val="auto"/>
                      <w:kern w:val="0"/>
                      <w:sz w:val="18"/>
                      <w:szCs w:val="18"/>
                    </w:rPr>
                    <w:t>0.</w:t>
                  </w:r>
                  <w:r>
                    <w:rPr>
                      <w:rFonts w:hint="default" w:ascii="Times New Roman" w:hAnsi="Times New Roman" w:cs="Times New Roman"/>
                      <w:color w:val="auto"/>
                      <w:kern w:val="0"/>
                      <w:sz w:val="18"/>
                      <w:szCs w:val="18"/>
                      <w:lang w:val="en-US" w:eastAsia="zh-CN"/>
                    </w:rPr>
                    <w:t>85</w:t>
                  </w:r>
                </w:p>
              </w:tc>
              <w:tc>
                <w:tcPr>
                  <w:tcW w:w="209" w:type="pct"/>
                  <w:tcBorders>
                    <w:tl2br w:val="nil"/>
                    <w:tr2bl w:val="nil"/>
                  </w:tcBorders>
                  <w:vAlign w:val="center"/>
                </w:tcPr>
                <w:p>
                  <w:pPr>
                    <w:pStyle w:val="14"/>
                    <w:spacing w:line="240" w:lineRule="atLeas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90</w:t>
                  </w:r>
                </w:p>
              </w:tc>
              <w:tc>
                <w:tcPr>
                  <w:tcW w:w="175" w:type="pct"/>
                  <w:tcBorders>
                    <w:tl2br w:val="nil"/>
                    <w:tr2bl w:val="nil"/>
                  </w:tcBorders>
                  <w:vAlign w:val="center"/>
                </w:tcPr>
                <w:p>
                  <w:pPr>
                    <w:pStyle w:val="14"/>
                    <w:spacing w:line="240" w:lineRule="atLeas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w:t>
                  </w:r>
                </w:p>
              </w:tc>
              <w:tc>
                <w:tcPr>
                  <w:tcW w:w="189" w:type="pct"/>
                  <w:tcBorders>
                    <w:tl2br w:val="nil"/>
                    <w:tr2bl w:val="nil"/>
                  </w:tcBorders>
                  <w:vAlign w:val="center"/>
                </w:tcPr>
                <w:p>
                  <w:pPr>
                    <w:pStyle w:val="14"/>
                    <w:spacing w:line="240" w:lineRule="atLeast"/>
                    <w:jc w:val="center"/>
                    <w:rPr>
                      <w:rFonts w:hint="default" w:ascii="Times New Roman" w:hAnsi="Times New Roman" w:eastAsia="宋体" w:cs="Times New Roman"/>
                      <w:color w:val="auto"/>
                      <w:kern w:val="0"/>
                      <w:sz w:val="18"/>
                      <w:szCs w:val="18"/>
                      <w:lang w:eastAsia="zh-CN"/>
                    </w:rPr>
                  </w:pPr>
                  <w:r>
                    <w:rPr>
                      <w:rFonts w:hint="default" w:ascii="Times New Roman" w:hAnsi="Times New Roman" w:cs="Times New Roman"/>
                      <w:color w:val="auto"/>
                      <w:kern w:val="0"/>
                      <w:sz w:val="18"/>
                      <w:szCs w:val="18"/>
                    </w:rPr>
                    <w:t>9</w:t>
                  </w:r>
                  <w:r>
                    <w:rPr>
                      <w:rFonts w:hint="default" w:ascii="Times New Roman" w:hAnsi="Times New Roman" w:cs="Times New Roman"/>
                      <w:color w:val="auto"/>
                      <w:kern w:val="0"/>
                      <w:sz w:val="18"/>
                      <w:szCs w:val="18"/>
                      <w:lang w:val="en-US" w:eastAsia="zh-CN"/>
                    </w:rPr>
                    <w:t>9</w:t>
                  </w:r>
                </w:p>
              </w:tc>
              <w:tc>
                <w:tcPr>
                  <w:tcW w:w="232" w:type="pct"/>
                  <w:tcBorders>
                    <w:tl2br w:val="nil"/>
                    <w:tr2bl w:val="nil"/>
                  </w:tcBorders>
                  <w:vAlign w:val="center"/>
                </w:tcPr>
                <w:p>
                  <w:pPr>
                    <w:pStyle w:val="14"/>
                    <w:spacing w:line="240" w:lineRule="atLeas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是</w:t>
                  </w:r>
                </w:p>
              </w:tc>
              <w:tc>
                <w:tcPr>
                  <w:tcW w:w="275" w:type="pct"/>
                  <w:tcBorders>
                    <w:tl2br w:val="nil"/>
                    <w:tr2bl w:val="nil"/>
                  </w:tcBorders>
                  <w:vAlign w:val="center"/>
                </w:tcPr>
                <w:p>
                  <w:pPr>
                    <w:pStyle w:val="14"/>
                    <w:spacing w:line="240" w:lineRule="atLeast"/>
                    <w:jc w:val="center"/>
                    <w:rPr>
                      <w:rFonts w:hint="default" w:ascii="Times New Roman" w:hAnsi="Times New Roman" w:eastAsia="宋体" w:cs="Times New Roman"/>
                      <w:color w:val="auto"/>
                      <w:kern w:val="0"/>
                      <w:sz w:val="18"/>
                      <w:szCs w:val="18"/>
                      <w:lang w:val="en-US" w:eastAsia="zh-CN"/>
                    </w:rPr>
                  </w:pPr>
                  <w:r>
                    <w:rPr>
                      <w:rFonts w:hint="eastAsia" w:ascii="Times New Roman" w:hAnsi="Times New Roman" w:cs="Times New Roman"/>
                      <w:color w:val="auto"/>
                      <w:kern w:val="0"/>
                      <w:sz w:val="18"/>
                      <w:szCs w:val="18"/>
                      <w:lang w:val="en-US" w:eastAsia="zh-CN"/>
                    </w:rPr>
                    <w:t>2.08</w:t>
                  </w:r>
                </w:p>
              </w:tc>
              <w:tc>
                <w:tcPr>
                  <w:tcW w:w="292" w:type="pct"/>
                  <w:tcBorders>
                    <w:tl2br w:val="nil"/>
                    <w:tr2bl w:val="nil"/>
                  </w:tcBorders>
                  <w:vAlign w:val="center"/>
                </w:tcPr>
                <w:p>
                  <w:pPr>
                    <w:pStyle w:val="14"/>
                    <w:spacing w:line="240" w:lineRule="atLeast"/>
                    <w:jc w:val="center"/>
                    <w:rPr>
                      <w:rFonts w:hint="default" w:ascii="Times New Roman" w:hAnsi="Times New Roman" w:eastAsia="宋体" w:cs="Times New Roman"/>
                      <w:color w:val="auto"/>
                      <w:kern w:val="0"/>
                      <w:sz w:val="18"/>
                      <w:szCs w:val="18"/>
                      <w:lang w:val="en-US" w:eastAsia="zh-CN"/>
                    </w:rPr>
                  </w:pPr>
                  <w:r>
                    <w:rPr>
                      <w:rFonts w:hint="default" w:ascii="Times New Roman" w:hAnsi="Times New Roman" w:cs="Times New Roman"/>
                      <w:color w:val="auto"/>
                      <w:kern w:val="0"/>
                      <w:sz w:val="18"/>
                      <w:szCs w:val="18"/>
                    </w:rPr>
                    <w:t>0.0</w:t>
                  </w:r>
                  <w:r>
                    <w:rPr>
                      <w:rFonts w:hint="eastAsia" w:ascii="Times New Roman" w:hAnsi="Times New Roman" w:cs="Times New Roman"/>
                      <w:color w:val="auto"/>
                      <w:kern w:val="0"/>
                      <w:sz w:val="18"/>
                      <w:szCs w:val="18"/>
                      <w:lang w:val="en-US" w:eastAsia="zh-CN"/>
                    </w:rPr>
                    <w:t>04</w:t>
                  </w:r>
                </w:p>
              </w:tc>
              <w:tc>
                <w:tcPr>
                  <w:tcW w:w="250" w:type="pct"/>
                  <w:tcBorders>
                    <w:tl2br w:val="nil"/>
                    <w:tr2bl w:val="nil"/>
                  </w:tcBorders>
                  <w:vAlign w:val="center"/>
                </w:tcPr>
                <w:p>
                  <w:pPr>
                    <w:pStyle w:val="14"/>
                    <w:spacing w:line="240" w:lineRule="atLeast"/>
                    <w:jc w:val="center"/>
                    <w:rPr>
                      <w:rFonts w:hint="default" w:ascii="Times New Roman" w:hAnsi="Times New Roman" w:eastAsia="宋体"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0.00</w:t>
                  </w:r>
                  <w:r>
                    <w:rPr>
                      <w:rFonts w:hint="eastAsia" w:ascii="Times New Roman" w:hAnsi="Times New Roman" w:cs="Times New Roman"/>
                      <w:color w:val="auto"/>
                      <w:kern w:val="0"/>
                      <w:sz w:val="18"/>
                      <w:szCs w:val="18"/>
                      <w:lang w:val="en-US" w:eastAsia="zh-CN"/>
                    </w:rPr>
                    <w:t>5</w:t>
                  </w:r>
                </w:p>
              </w:tc>
              <w:tc>
                <w:tcPr>
                  <w:tcW w:w="209" w:type="pct"/>
                  <w:tcBorders>
                    <w:tl2br w:val="nil"/>
                    <w:tr2bl w:val="nil"/>
                  </w:tcBorders>
                  <w:vAlign w:val="center"/>
                </w:tcPr>
                <w:p>
                  <w:pPr>
                    <w:pStyle w:val="14"/>
                    <w:spacing w:line="240" w:lineRule="atLeast"/>
                    <w:jc w:val="center"/>
                    <w:rPr>
                      <w:rFonts w:hint="eastAsia" w:ascii="Times New Roman" w:hAnsi="Times New Roman" w:eastAsia="宋体" w:cs="Times New Roman"/>
                      <w:color w:val="auto"/>
                      <w:kern w:val="0"/>
                      <w:sz w:val="18"/>
                      <w:szCs w:val="18"/>
                      <w:lang w:eastAsia="zh-CN"/>
                    </w:rPr>
                  </w:pPr>
                  <w:r>
                    <w:rPr>
                      <w:rFonts w:hint="default" w:ascii="Times New Roman" w:hAnsi="Times New Roman" w:cs="Times New Roman"/>
                      <w:color w:val="auto"/>
                      <w:kern w:val="0"/>
                      <w:sz w:val="18"/>
                      <w:szCs w:val="18"/>
                    </w:rPr>
                    <w:t>DA00</w:t>
                  </w:r>
                  <w:r>
                    <w:rPr>
                      <w:rFonts w:hint="eastAsia" w:ascii="Times New Roman" w:hAnsi="Times New Roman" w:cs="Times New Roman"/>
                      <w:color w:val="auto"/>
                      <w:kern w:val="0"/>
                      <w:sz w:val="18"/>
                      <w:szCs w:val="18"/>
                      <w:lang w:val="en-US" w:eastAsia="zh-CN"/>
                    </w:rPr>
                    <w:t>1</w:t>
                  </w:r>
                </w:p>
              </w:tc>
              <w:tc>
                <w:tcPr>
                  <w:tcW w:w="221" w:type="pct"/>
                  <w:tcBorders>
                    <w:tl2br w:val="nil"/>
                    <w:tr2bl w:val="nil"/>
                  </w:tcBorders>
                  <w:vAlign w:val="center"/>
                </w:tcPr>
                <w:p>
                  <w:pPr>
                    <w:pStyle w:val="14"/>
                    <w:spacing w:line="240" w:lineRule="atLeas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布袋除尘器排气筒</w:t>
                  </w:r>
                </w:p>
              </w:tc>
              <w:tc>
                <w:tcPr>
                  <w:tcW w:w="163" w:type="pct"/>
                  <w:tcBorders>
                    <w:tl2br w:val="nil"/>
                    <w:tr2bl w:val="nil"/>
                  </w:tcBorders>
                  <w:vAlign w:val="center"/>
                </w:tcPr>
                <w:p>
                  <w:pPr>
                    <w:pStyle w:val="14"/>
                    <w:spacing w:line="240" w:lineRule="atLeas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一般排放口</w:t>
                  </w:r>
                </w:p>
              </w:tc>
              <w:tc>
                <w:tcPr>
                  <w:tcW w:w="308" w:type="pct"/>
                  <w:tcBorders>
                    <w:tl2br w:val="nil"/>
                    <w:tr2bl w:val="nil"/>
                  </w:tcBorders>
                  <w:vAlign w:val="center"/>
                </w:tcPr>
                <w:p>
                  <w:pPr>
                    <w:widowControl/>
                    <w:spacing w:line="240" w:lineRule="atLeas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E118.29</w:t>
                  </w:r>
                  <w:r>
                    <w:rPr>
                      <w:rFonts w:hint="eastAsia" w:cs="Times New Roman"/>
                      <w:color w:val="auto"/>
                      <w:sz w:val="18"/>
                      <w:szCs w:val="18"/>
                      <w:lang w:val="en-US" w:eastAsia="zh-CN"/>
                    </w:rPr>
                    <w:t>9805</w:t>
                  </w:r>
                  <w:r>
                    <w:rPr>
                      <w:rFonts w:hint="default" w:ascii="Times New Roman" w:hAnsi="Times New Roman" w:cs="Times New Roman"/>
                      <w:color w:val="auto"/>
                      <w:sz w:val="18"/>
                      <w:szCs w:val="18"/>
                    </w:rPr>
                    <w:t>°</w:t>
                  </w:r>
                </w:p>
                <w:p>
                  <w:pPr>
                    <w:widowControl/>
                    <w:spacing w:line="240" w:lineRule="atLeas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N36.8588</w:t>
                  </w:r>
                  <w:r>
                    <w:rPr>
                      <w:rFonts w:hint="eastAsia" w:cs="Times New Roman"/>
                      <w:color w:val="auto"/>
                      <w:sz w:val="18"/>
                      <w:szCs w:val="18"/>
                      <w:lang w:val="en-US" w:eastAsia="zh-CN"/>
                    </w:rPr>
                    <w:t>0</w:t>
                  </w:r>
                  <w:r>
                    <w:rPr>
                      <w:rFonts w:hint="default" w:ascii="Times New Roman" w:hAnsi="Times New Roman" w:cs="Times New Roman"/>
                      <w:color w:val="auto"/>
                      <w:sz w:val="18"/>
                      <w:szCs w:val="18"/>
                    </w:rPr>
                    <w:t>8°</w:t>
                  </w:r>
                </w:p>
              </w:tc>
              <w:tc>
                <w:tcPr>
                  <w:tcW w:w="155" w:type="pct"/>
                  <w:tcBorders>
                    <w:tl2br w:val="nil"/>
                    <w:tr2bl w:val="nil"/>
                  </w:tcBorders>
                  <w:vAlign w:val="center"/>
                </w:tcPr>
                <w:p>
                  <w:pPr>
                    <w:pStyle w:val="14"/>
                    <w:spacing w:line="240" w:lineRule="atLeas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15</w:t>
                  </w:r>
                </w:p>
              </w:tc>
              <w:tc>
                <w:tcPr>
                  <w:tcW w:w="179" w:type="pct"/>
                  <w:tcBorders>
                    <w:tl2br w:val="nil"/>
                    <w:tr2bl w:val="nil"/>
                  </w:tcBorders>
                  <w:vAlign w:val="center"/>
                </w:tcPr>
                <w:p>
                  <w:pPr>
                    <w:pStyle w:val="14"/>
                    <w:spacing w:line="240" w:lineRule="atLeast"/>
                    <w:jc w:val="center"/>
                    <w:rPr>
                      <w:rFonts w:hint="eastAsia" w:ascii="Times New Roman" w:hAnsi="Times New Roman" w:eastAsia="宋体" w:cs="Times New Roman"/>
                      <w:color w:val="auto"/>
                      <w:kern w:val="0"/>
                      <w:sz w:val="18"/>
                      <w:szCs w:val="18"/>
                      <w:lang w:eastAsia="zh-CN"/>
                    </w:rPr>
                  </w:pPr>
                  <w:r>
                    <w:rPr>
                      <w:rFonts w:hint="default" w:ascii="Times New Roman" w:hAnsi="Times New Roman" w:cs="Times New Roman"/>
                      <w:color w:val="auto"/>
                      <w:kern w:val="0"/>
                      <w:sz w:val="18"/>
                      <w:szCs w:val="18"/>
                    </w:rPr>
                    <w:t>0.</w:t>
                  </w:r>
                  <w:r>
                    <w:rPr>
                      <w:rFonts w:hint="eastAsia" w:ascii="Times New Roman" w:hAnsi="Times New Roman" w:cs="Times New Roman"/>
                      <w:color w:val="auto"/>
                      <w:kern w:val="0"/>
                      <w:sz w:val="18"/>
                      <w:szCs w:val="18"/>
                      <w:lang w:val="en-US" w:eastAsia="zh-CN"/>
                    </w:rPr>
                    <w:t>5</w:t>
                  </w:r>
                </w:p>
              </w:tc>
              <w:tc>
                <w:tcPr>
                  <w:tcW w:w="191" w:type="pct"/>
                  <w:tcBorders>
                    <w:tl2br w:val="nil"/>
                    <w:tr2bl w:val="nil"/>
                  </w:tcBorders>
                  <w:vAlign w:val="center"/>
                </w:tcPr>
                <w:p>
                  <w:pPr>
                    <w:pStyle w:val="14"/>
                    <w:spacing w:line="240" w:lineRule="atLeast"/>
                    <w:jc w:val="center"/>
                    <w:rPr>
                      <w:rFonts w:hint="default" w:ascii="Times New Roman" w:hAnsi="Times New Roman" w:cs="Times New Roman"/>
                      <w:color w:val="auto"/>
                      <w:kern w:val="0"/>
                      <w:sz w:val="18"/>
                      <w:szCs w:val="18"/>
                    </w:rPr>
                  </w:pPr>
                  <w:r>
                    <w:rPr>
                      <w:rFonts w:hint="eastAsia" w:ascii="Times New Roman" w:hAnsi="Times New Roman" w:cs="Times New Roman"/>
                      <w:color w:val="auto"/>
                      <w:kern w:val="0"/>
                      <w:sz w:val="18"/>
                      <w:szCs w:val="18"/>
                      <w:lang w:val="en-US" w:eastAsia="zh-CN"/>
                    </w:rPr>
                    <w:t>2</w:t>
                  </w:r>
                  <w:r>
                    <w:rPr>
                      <w:rFonts w:hint="default" w:ascii="Times New Roman" w:hAnsi="Times New Roman" w:cs="Times New Roman"/>
                      <w:color w:val="auto"/>
                      <w:kern w:val="0"/>
                      <w:sz w:val="18"/>
                      <w:szCs w:val="18"/>
                    </w:rPr>
                    <w:t>000</w:t>
                  </w:r>
                </w:p>
              </w:tc>
              <w:tc>
                <w:tcPr>
                  <w:tcW w:w="155" w:type="pct"/>
                  <w:tcBorders>
                    <w:tl2br w:val="nil"/>
                    <w:tr2bl w:val="nil"/>
                  </w:tcBorders>
                  <w:vAlign w:val="center"/>
                </w:tcPr>
                <w:p>
                  <w:pPr>
                    <w:pStyle w:val="14"/>
                    <w:spacing w:line="240" w:lineRule="atLeas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25</w:t>
                  </w:r>
                </w:p>
              </w:tc>
              <w:tc>
                <w:tcPr>
                  <w:tcW w:w="179" w:type="pct"/>
                  <w:tcBorders>
                    <w:tl2br w:val="nil"/>
                    <w:tr2bl w:val="nil"/>
                  </w:tcBorders>
                  <w:vAlign w:val="center"/>
                </w:tcPr>
                <w:p>
                  <w:pPr>
                    <w:pStyle w:val="14"/>
                    <w:spacing w:line="240" w:lineRule="atLeas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lang w:val="en-US" w:eastAsia="zh-CN"/>
                    </w:rPr>
                    <w:t>12</w:t>
                  </w:r>
                  <w:r>
                    <w:rPr>
                      <w:rFonts w:hint="default" w:ascii="Times New Roman" w:hAnsi="Times New Roman" w:cs="Times New Roman"/>
                      <w:color w:val="auto"/>
                      <w:kern w:val="0"/>
                      <w:sz w:val="18"/>
                      <w:szCs w:val="18"/>
                    </w:rPr>
                    <w:t>00</w:t>
                  </w:r>
                </w:p>
              </w:tc>
              <w:tc>
                <w:tcPr>
                  <w:tcW w:w="232" w:type="pct"/>
                  <w:tcBorders>
                    <w:tl2br w:val="nil"/>
                    <w:tr2bl w:val="nil"/>
                  </w:tcBorders>
                  <w:vAlign w:val="center"/>
                </w:tcPr>
                <w:p>
                  <w:pPr>
                    <w:pStyle w:val="14"/>
                    <w:spacing w:line="240" w:lineRule="atLeas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10</w:t>
                  </w:r>
                </w:p>
              </w:tc>
              <w:tc>
                <w:tcPr>
                  <w:tcW w:w="244" w:type="pct"/>
                  <w:tcBorders>
                    <w:tl2br w:val="nil"/>
                    <w:tr2bl w:val="nil"/>
                  </w:tcBorders>
                  <w:vAlign w:val="center"/>
                </w:tcPr>
                <w:p>
                  <w:pPr>
                    <w:pStyle w:val="14"/>
                    <w:spacing w:line="240" w:lineRule="atLeas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w:t>
                  </w:r>
                </w:p>
              </w:tc>
              <w:tc>
                <w:tcPr>
                  <w:tcW w:w="133" w:type="pct"/>
                  <w:tcBorders>
                    <w:tl2br w:val="nil"/>
                    <w:tr2bl w:val="nil"/>
                  </w:tcBorders>
                  <w:vAlign w:val="center"/>
                </w:tcPr>
                <w:p>
                  <w:pPr>
                    <w:pStyle w:val="14"/>
                    <w:spacing w:line="240" w:lineRule="atLeas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是</w:t>
                  </w:r>
                </w:p>
              </w:tc>
            </w:tr>
          </w:tbl>
          <w:p>
            <w:pPr>
              <w:pStyle w:val="12"/>
              <w:spacing w:before="0" w:after="0" w:line="360" w:lineRule="auto"/>
              <w:ind w:right="0"/>
              <w:jc w:val="center"/>
              <w:rPr>
                <w:rFonts w:hint="default" w:ascii="Times New Roman" w:hAnsi="Times New Roman" w:cs="Times New Roman"/>
                <w:b/>
                <w:snapToGrid w:val="0"/>
                <w:sz w:val="21"/>
                <w:szCs w:val="21"/>
              </w:rPr>
            </w:pPr>
            <w:r>
              <w:rPr>
                <w:rFonts w:hint="default" w:ascii="Times New Roman" w:hAnsi="Times New Roman" w:cs="Times New Roman"/>
                <w:b/>
                <w:snapToGrid w:val="0"/>
                <w:sz w:val="21"/>
                <w:szCs w:val="21"/>
              </w:rPr>
              <w:t>表1</w:t>
            </w:r>
            <w:r>
              <w:rPr>
                <w:rFonts w:hint="eastAsia" w:cs="Times New Roman"/>
                <w:b/>
                <w:snapToGrid w:val="0"/>
                <w:sz w:val="21"/>
                <w:szCs w:val="21"/>
                <w:lang w:val="en-US" w:eastAsia="zh-CN"/>
              </w:rPr>
              <w:t>6</w:t>
            </w:r>
            <w:r>
              <w:rPr>
                <w:rFonts w:hint="default" w:ascii="Times New Roman" w:hAnsi="Times New Roman" w:cs="Times New Roman"/>
                <w:b/>
                <w:snapToGrid w:val="0"/>
                <w:sz w:val="21"/>
                <w:szCs w:val="21"/>
              </w:rPr>
              <w:t xml:space="preserve">  无组织废气污染物排放情况一览表</w:t>
            </w:r>
          </w:p>
          <w:tbl>
            <w:tblPr>
              <w:tblStyle w:val="26"/>
              <w:tblW w:w="493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396"/>
              <w:gridCol w:w="1522"/>
              <w:gridCol w:w="1923"/>
              <w:gridCol w:w="1532"/>
              <w:gridCol w:w="1058"/>
              <w:gridCol w:w="1365"/>
              <w:gridCol w:w="1320"/>
              <w:gridCol w:w="17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83" w:type="pct"/>
                  <w:tcBorders>
                    <w:tl2br w:val="nil"/>
                    <w:tr2bl w:val="nil"/>
                  </w:tcBorders>
                  <w:vAlign w:val="center"/>
                </w:tcPr>
                <w:p>
                  <w:pPr>
                    <w:pStyle w:val="13"/>
                    <w:numPr>
                      <w:ilvl w:val="0"/>
                      <w:numId w:val="0"/>
                    </w:num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面源名称</w:t>
                  </w:r>
                </w:p>
              </w:tc>
              <w:tc>
                <w:tcPr>
                  <w:tcW w:w="542" w:type="pct"/>
                  <w:tcBorders>
                    <w:tl2br w:val="nil"/>
                    <w:tr2bl w:val="nil"/>
                  </w:tcBorders>
                  <w:vAlign w:val="center"/>
                </w:tcPr>
                <w:p>
                  <w:pPr>
                    <w:pStyle w:val="13"/>
                    <w:numPr>
                      <w:ilvl w:val="0"/>
                      <w:numId w:val="0"/>
                    </w:num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面源中心坐标</w:t>
                  </w:r>
                </w:p>
              </w:tc>
              <w:tc>
                <w:tcPr>
                  <w:tcW w:w="591" w:type="pct"/>
                  <w:tcBorders>
                    <w:tl2br w:val="nil"/>
                    <w:tr2bl w:val="nil"/>
                  </w:tcBorders>
                  <w:vAlign w:val="center"/>
                </w:tcPr>
                <w:p>
                  <w:pPr>
                    <w:pStyle w:val="13"/>
                    <w:numPr>
                      <w:ilvl w:val="0"/>
                      <w:numId w:val="0"/>
                    </w:num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面源海拔高度/m</w:t>
                  </w:r>
                </w:p>
              </w:tc>
              <w:tc>
                <w:tcPr>
                  <w:tcW w:w="747" w:type="pct"/>
                  <w:tcBorders>
                    <w:tl2br w:val="nil"/>
                    <w:tr2bl w:val="nil"/>
                  </w:tcBorders>
                  <w:vAlign w:val="center"/>
                </w:tcPr>
                <w:p>
                  <w:pPr>
                    <w:pStyle w:val="13"/>
                    <w:numPr>
                      <w:ilvl w:val="0"/>
                      <w:numId w:val="0"/>
                    </w:num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面源有效排放高度/m</w:t>
                  </w:r>
                </w:p>
              </w:tc>
              <w:tc>
                <w:tcPr>
                  <w:tcW w:w="595" w:type="pct"/>
                  <w:tcBorders>
                    <w:tl2br w:val="nil"/>
                    <w:tr2bl w:val="nil"/>
                  </w:tcBorders>
                  <w:vAlign w:val="center"/>
                </w:tcPr>
                <w:p>
                  <w:pPr>
                    <w:pStyle w:val="13"/>
                    <w:numPr>
                      <w:ilvl w:val="0"/>
                      <w:numId w:val="0"/>
                    </w:num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年排放小时数/h</w:t>
                  </w:r>
                </w:p>
              </w:tc>
              <w:tc>
                <w:tcPr>
                  <w:tcW w:w="411" w:type="pct"/>
                  <w:tcBorders>
                    <w:tl2br w:val="nil"/>
                    <w:tr2bl w:val="nil"/>
                  </w:tcBorders>
                  <w:vAlign w:val="center"/>
                </w:tcPr>
                <w:p>
                  <w:pPr>
                    <w:pStyle w:val="13"/>
                    <w:numPr>
                      <w:ilvl w:val="0"/>
                      <w:numId w:val="0"/>
                    </w:num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排放工况</w:t>
                  </w:r>
                </w:p>
              </w:tc>
              <w:tc>
                <w:tcPr>
                  <w:tcW w:w="530" w:type="pct"/>
                  <w:tcBorders>
                    <w:tl2br w:val="nil"/>
                    <w:tr2bl w:val="nil"/>
                  </w:tcBorders>
                  <w:vAlign w:val="center"/>
                </w:tcPr>
                <w:p>
                  <w:pPr>
                    <w:pStyle w:val="13"/>
                    <w:numPr>
                      <w:ilvl w:val="0"/>
                      <w:numId w:val="0"/>
                    </w:num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污染物种类</w:t>
                  </w:r>
                </w:p>
              </w:tc>
              <w:tc>
                <w:tcPr>
                  <w:tcW w:w="513" w:type="pct"/>
                  <w:tcBorders>
                    <w:right w:val="single" w:color="000000" w:sz="2" w:space="0"/>
                    <w:tl2br w:val="nil"/>
                    <w:tr2bl w:val="nil"/>
                  </w:tcBorders>
                  <w:vAlign w:val="center"/>
                </w:tcPr>
                <w:p>
                  <w:pPr>
                    <w:pStyle w:val="13"/>
                    <w:numPr>
                      <w:ilvl w:val="0"/>
                      <w:numId w:val="0"/>
                    </w:num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产生量（t/a）</w:t>
                  </w:r>
                </w:p>
              </w:tc>
              <w:tc>
                <w:tcPr>
                  <w:tcW w:w="685" w:type="pct"/>
                  <w:tcBorders>
                    <w:left w:val="single" w:color="000000" w:sz="2" w:space="0"/>
                    <w:right w:val="single" w:color="000000" w:sz="2" w:space="0"/>
                    <w:tl2br w:val="nil"/>
                    <w:tr2bl w:val="nil"/>
                  </w:tcBorders>
                  <w:vAlign w:val="center"/>
                </w:tcPr>
                <w:p>
                  <w:pPr>
                    <w:pStyle w:val="13"/>
                    <w:numPr>
                      <w:ilvl w:val="0"/>
                      <w:numId w:val="0"/>
                    </w:num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排放速率（</w:t>
                  </w:r>
                  <w:r>
                    <w:rPr>
                      <w:rFonts w:hint="default" w:ascii="Times New Roman" w:hAnsi="Times New Roman" w:cs="Times New Roman"/>
                      <w:b/>
                      <w:bCs/>
                      <w:kern w:val="0"/>
                      <w:sz w:val="18"/>
                      <w:szCs w:val="18"/>
                    </w:rPr>
                    <w:t>kg/h</w:t>
                  </w:r>
                  <w:r>
                    <w:rPr>
                      <w:rFonts w:hint="default" w:ascii="Times New Roman" w:hAnsi="Times New Roman" w:cs="Times New Roman"/>
                      <w:b/>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3" w:type="pct"/>
                  <w:tcBorders>
                    <w:tl2br w:val="nil"/>
                    <w:tr2bl w:val="nil"/>
                  </w:tcBorders>
                  <w:vAlign w:val="center"/>
                </w:tcPr>
                <w:p>
                  <w:pPr>
                    <w:pStyle w:val="13"/>
                    <w:numPr>
                      <w:ilvl w:val="0"/>
                      <w:numId w:val="0"/>
                    </w:numPr>
                    <w:jc w:val="center"/>
                    <w:rPr>
                      <w:rFonts w:hint="eastAsia" w:ascii="Times New Roman" w:hAnsi="Times New Roman" w:eastAsia="宋体" w:cs="Times New Roman"/>
                      <w:sz w:val="18"/>
                      <w:szCs w:val="18"/>
                      <w:lang w:eastAsia="zh-CN"/>
                    </w:rPr>
                  </w:pPr>
                  <w:r>
                    <w:rPr>
                      <w:rFonts w:hint="eastAsia" w:cs="Times New Roman"/>
                      <w:sz w:val="18"/>
                      <w:szCs w:val="18"/>
                      <w:lang w:val="en-US" w:eastAsia="zh-CN"/>
                    </w:rPr>
                    <w:t>厂界</w:t>
                  </w:r>
                </w:p>
              </w:tc>
              <w:tc>
                <w:tcPr>
                  <w:tcW w:w="542" w:type="pct"/>
                  <w:tcBorders>
                    <w:tl2br w:val="nil"/>
                    <w:tr2bl w:val="nil"/>
                  </w:tcBorders>
                  <w:vAlign w:val="center"/>
                </w:tcPr>
                <w:p>
                  <w:pPr>
                    <w:widowControl/>
                    <w:spacing w:line="240" w:lineRule="atLeas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E118.299</w:t>
                  </w:r>
                  <w:r>
                    <w:rPr>
                      <w:rFonts w:hint="eastAsia" w:cs="Times New Roman"/>
                      <w:sz w:val="18"/>
                      <w:szCs w:val="18"/>
                      <w:lang w:val="en-US" w:eastAsia="zh-CN"/>
                    </w:rPr>
                    <w:t>604</w:t>
                  </w:r>
                </w:p>
                <w:p>
                  <w:pPr>
                    <w:pStyle w:val="13"/>
                    <w:numPr>
                      <w:ilvl w:val="0"/>
                      <w:numId w:val="0"/>
                    </w:numPr>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N36.858</w:t>
                  </w:r>
                  <w:r>
                    <w:rPr>
                      <w:rFonts w:hint="eastAsia" w:cs="Times New Roman"/>
                      <w:sz w:val="18"/>
                      <w:szCs w:val="18"/>
                      <w:lang w:val="en-US" w:eastAsia="zh-CN"/>
                    </w:rPr>
                    <w:t>623</w:t>
                  </w:r>
                </w:p>
              </w:tc>
              <w:tc>
                <w:tcPr>
                  <w:tcW w:w="591" w:type="pct"/>
                  <w:tcBorders>
                    <w:tl2br w:val="nil"/>
                    <w:tr2bl w:val="nil"/>
                  </w:tcBorders>
                  <w:vAlign w:val="center"/>
                </w:tcPr>
                <w:p>
                  <w:pPr>
                    <w:pStyle w:val="13"/>
                    <w:numPr>
                      <w:ilvl w:val="0"/>
                      <w:numId w:val="0"/>
                    </w:numPr>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48.</w:t>
                  </w:r>
                  <w:r>
                    <w:rPr>
                      <w:rFonts w:hint="eastAsia" w:cs="Times New Roman"/>
                      <w:sz w:val="18"/>
                      <w:szCs w:val="18"/>
                      <w:lang w:val="en-US" w:eastAsia="zh-CN"/>
                    </w:rPr>
                    <w:t>6</w:t>
                  </w:r>
                </w:p>
              </w:tc>
              <w:tc>
                <w:tcPr>
                  <w:tcW w:w="747" w:type="pct"/>
                  <w:tcBorders>
                    <w:tl2br w:val="nil"/>
                    <w:tr2bl w:val="nil"/>
                  </w:tcBorders>
                  <w:vAlign w:val="center"/>
                </w:tcPr>
                <w:p>
                  <w:pPr>
                    <w:pStyle w:val="13"/>
                    <w:numPr>
                      <w:ilvl w:val="0"/>
                      <w:numId w:val="0"/>
                    </w:numPr>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595" w:type="pct"/>
                  <w:tcBorders>
                    <w:tl2br w:val="nil"/>
                    <w:tr2bl w:val="nil"/>
                  </w:tcBorders>
                  <w:vAlign w:val="center"/>
                </w:tcPr>
                <w:p>
                  <w:pPr>
                    <w:pStyle w:val="13"/>
                    <w:numPr>
                      <w:ilvl w:val="0"/>
                      <w:numId w:val="0"/>
                    </w:numPr>
                    <w:jc w:val="center"/>
                    <w:rPr>
                      <w:rFonts w:hint="default" w:ascii="Times New Roman" w:hAnsi="Times New Roman" w:cs="Times New Roman"/>
                      <w:sz w:val="18"/>
                      <w:szCs w:val="18"/>
                    </w:rPr>
                  </w:pPr>
                  <w:r>
                    <w:rPr>
                      <w:rFonts w:hint="default" w:ascii="Times New Roman" w:hAnsi="Times New Roman" w:cs="Times New Roman"/>
                      <w:sz w:val="18"/>
                      <w:szCs w:val="18"/>
                    </w:rPr>
                    <w:t>2400</w:t>
                  </w:r>
                </w:p>
              </w:tc>
              <w:tc>
                <w:tcPr>
                  <w:tcW w:w="411" w:type="pct"/>
                  <w:tcBorders>
                    <w:tl2br w:val="nil"/>
                    <w:tr2bl w:val="nil"/>
                  </w:tcBorders>
                  <w:vAlign w:val="center"/>
                </w:tcPr>
                <w:p>
                  <w:pPr>
                    <w:pStyle w:val="13"/>
                    <w:numPr>
                      <w:ilvl w:val="0"/>
                      <w:numId w:val="0"/>
                    </w:numPr>
                    <w:jc w:val="center"/>
                    <w:rPr>
                      <w:rFonts w:hint="default" w:ascii="Times New Roman" w:hAnsi="Times New Roman" w:cs="Times New Roman"/>
                      <w:sz w:val="18"/>
                      <w:szCs w:val="18"/>
                    </w:rPr>
                  </w:pPr>
                  <w:r>
                    <w:rPr>
                      <w:rFonts w:hint="default" w:ascii="Times New Roman" w:hAnsi="Times New Roman" w:cs="Times New Roman"/>
                      <w:sz w:val="18"/>
                      <w:szCs w:val="18"/>
                    </w:rPr>
                    <w:t>正常</w:t>
                  </w:r>
                </w:p>
              </w:tc>
              <w:tc>
                <w:tcPr>
                  <w:tcW w:w="530" w:type="pct"/>
                  <w:tcBorders>
                    <w:tl2br w:val="nil"/>
                    <w:tr2bl w:val="nil"/>
                  </w:tcBorders>
                  <w:vAlign w:val="center"/>
                </w:tcPr>
                <w:p>
                  <w:pPr>
                    <w:pStyle w:val="13"/>
                    <w:numPr>
                      <w:ilvl w:val="0"/>
                      <w:numId w:val="0"/>
                    </w:numPr>
                    <w:jc w:val="center"/>
                    <w:rPr>
                      <w:rFonts w:hint="default" w:ascii="Times New Roman" w:hAnsi="Times New Roman" w:cs="Times New Roman"/>
                      <w:sz w:val="18"/>
                      <w:szCs w:val="18"/>
                    </w:rPr>
                  </w:pPr>
                  <w:r>
                    <w:rPr>
                      <w:rFonts w:hint="default" w:ascii="Times New Roman" w:hAnsi="Times New Roman" w:cs="Times New Roman"/>
                      <w:sz w:val="18"/>
                      <w:szCs w:val="18"/>
                    </w:rPr>
                    <w:t>颗粒物</w:t>
                  </w:r>
                </w:p>
              </w:tc>
              <w:tc>
                <w:tcPr>
                  <w:tcW w:w="513" w:type="pct"/>
                  <w:tcBorders>
                    <w:right w:val="single" w:color="000000" w:sz="2" w:space="0"/>
                    <w:tl2br w:val="nil"/>
                    <w:tr2bl w:val="nil"/>
                  </w:tcBorders>
                  <w:vAlign w:val="center"/>
                </w:tcPr>
                <w:p>
                  <w:pPr>
                    <w:jc w:val="center"/>
                    <w:rPr>
                      <w:rFonts w:hint="default" w:ascii="Times New Roman" w:hAnsi="Times New Roman" w:cs="Times New Roman"/>
                      <w:color w:val="auto"/>
                      <w:sz w:val="18"/>
                      <w:szCs w:val="18"/>
                      <w:lang w:val="en-US"/>
                    </w:rPr>
                  </w:pPr>
                  <w:r>
                    <w:rPr>
                      <w:rFonts w:hint="default" w:ascii="Times New Roman" w:hAnsi="Times New Roman" w:cs="Times New Roman"/>
                      <w:color w:val="auto"/>
                      <w:sz w:val="18"/>
                      <w:szCs w:val="18"/>
                    </w:rPr>
                    <w:t>0.0</w:t>
                  </w:r>
                  <w:r>
                    <w:rPr>
                      <w:rFonts w:hint="eastAsia" w:cs="Times New Roman"/>
                      <w:color w:val="auto"/>
                      <w:sz w:val="18"/>
                      <w:szCs w:val="18"/>
                      <w:lang w:val="en-US" w:eastAsia="zh-CN"/>
                    </w:rPr>
                    <w:t>52</w:t>
                  </w:r>
                </w:p>
              </w:tc>
              <w:tc>
                <w:tcPr>
                  <w:tcW w:w="685" w:type="pct"/>
                  <w:tcBorders>
                    <w:left w:val="single" w:color="000000" w:sz="2" w:space="0"/>
                    <w:right w:val="single" w:color="000000" w:sz="2" w:space="0"/>
                    <w:tl2br w:val="nil"/>
                    <w:tr2bl w:val="nil"/>
                  </w:tcBorders>
                  <w:vAlign w:val="center"/>
                </w:tcPr>
                <w:p>
                  <w:pPr>
                    <w:jc w:val="center"/>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eastAsia" w:cs="Times New Roman"/>
                      <w:color w:val="auto"/>
                      <w:sz w:val="18"/>
                      <w:szCs w:val="18"/>
                      <w:lang w:val="en-US" w:eastAsia="zh-CN"/>
                    </w:rPr>
                    <w:t>22</w:t>
                  </w:r>
                </w:p>
              </w:tc>
            </w:tr>
          </w:tbl>
          <w:p>
            <w:pPr>
              <w:pStyle w:val="13"/>
              <w:widowControl w:val="0"/>
              <w:numPr>
                <w:ilvl w:val="0"/>
                <w:numId w:val="0"/>
              </w:numPr>
              <w:jc w:val="both"/>
              <w:rPr>
                <w:rFonts w:hint="default" w:ascii="Times New Roman" w:hAnsi="Times New Roman" w:cs="Times New Roman"/>
                <w:b/>
                <w:snapToGrid w:val="0"/>
                <w:sz w:val="21"/>
                <w:szCs w:val="21"/>
              </w:rPr>
            </w:pPr>
          </w:p>
          <w:p>
            <w:pPr>
              <w:pStyle w:val="13"/>
              <w:widowControl w:val="0"/>
              <w:numPr>
                <w:ilvl w:val="0"/>
                <w:numId w:val="0"/>
              </w:numPr>
              <w:jc w:val="both"/>
              <w:rPr>
                <w:rFonts w:hint="default" w:ascii="Times New Roman" w:hAnsi="Times New Roman" w:cs="Times New Roman"/>
                <w:b/>
                <w:snapToGrid w:val="0"/>
                <w:sz w:val="21"/>
                <w:szCs w:val="21"/>
              </w:rPr>
            </w:pPr>
          </w:p>
          <w:p>
            <w:pPr>
              <w:pStyle w:val="13"/>
              <w:widowControl w:val="0"/>
              <w:numPr>
                <w:ilvl w:val="0"/>
                <w:numId w:val="0"/>
              </w:numPr>
              <w:jc w:val="both"/>
              <w:rPr>
                <w:rFonts w:hint="default" w:ascii="Times New Roman" w:hAnsi="Times New Roman" w:cs="Times New Roman"/>
                <w:b/>
                <w:snapToGrid w:val="0"/>
                <w:sz w:val="21"/>
                <w:szCs w:val="21"/>
              </w:rPr>
            </w:pPr>
          </w:p>
          <w:p>
            <w:pPr>
              <w:widowControl/>
              <w:spacing w:line="360" w:lineRule="auto"/>
              <w:jc w:val="left"/>
              <w:rPr>
                <w:rFonts w:hint="default" w:ascii="Times New Roman" w:hAnsi="Times New Roman" w:cs="Times New Roman"/>
                <w:bCs/>
                <w:spacing w:val="-10"/>
                <w:szCs w:val="21"/>
              </w:rPr>
            </w:pPr>
          </w:p>
        </w:tc>
      </w:tr>
    </w:tbl>
    <w:p>
      <w:pPr>
        <w:pStyle w:val="23"/>
        <w:jc w:val="center"/>
        <w:outlineLvl w:val="0"/>
        <w:rPr>
          <w:rFonts w:hint="default" w:ascii="Times New Roman" w:hAnsi="Times New Roman" w:eastAsia="黑体" w:cs="Times New Roman"/>
          <w:snapToGrid w:val="0"/>
          <w:sz w:val="30"/>
          <w:szCs w:val="30"/>
        </w:rPr>
        <w:sectPr>
          <w:pgSz w:w="16840" w:h="11907" w:orient="landscape"/>
          <w:pgMar w:top="1531" w:right="1701" w:bottom="1531" w:left="2127" w:header="851" w:footer="851" w:gutter="0"/>
          <w:cols w:space="720" w:num="1"/>
          <w:docGrid w:linePitch="312" w:charSpace="0"/>
        </w:sectPr>
      </w:pPr>
    </w:p>
    <w:tbl>
      <w:tblPr>
        <w:tblStyle w:val="26"/>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62" w:hRule="atLeast"/>
          <w:jc w:val="center"/>
        </w:trPr>
        <w:tc>
          <w:tcPr>
            <w:tcW w:w="746" w:type="dxa"/>
            <w:tcMar>
              <w:left w:w="28" w:type="dxa"/>
              <w:right w:w="28" w:type="dxa"/>
            </w:tcMar>
            <w:vAlign w:val="center"/>
          </w:tcPr>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运营</w:t>
            </w:r>
          </w:p>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期环</w:t>
            </w:r>
          </w:p>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境影</w:t>
            </w:r>
          </w:p>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响和</w:t>
            </w:r>
          </w:p>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保护</w:t>
            </w:r>
          </w:p>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措施</w:t>
            </w:r>
          </w:p>
        </w:tc>
        <w:tc>
          <w:tcPr>
            <w:tcW w:w="8162" w:type="dxa"/>
            <w:shd w:val="clear" w:color="auto" w:fill="auto"/>
            <w:vAlign w:val="center"/>
          </w:tcPr>
          <w:p>
            <w:pPr>
              <w:spacing w:line="360" w:lineRule="auto"/>
              <w:ind w:firstLine="422" w:firstLineChars="200"/>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rPr>
              <w:t>1.2废气源强核算说明</w:t>
            </w:r>
            <w:r>
              <w:rPr>
                <w:rFonts w:hint="default" w:ascii="Times New Roman" w:hAnsi="Times New Roman" w:cs="Times New Roman"/>
                <w:b/>
                <w:color w:val="auto"/>
                <w:szCs w:val="21"/>
                <w:lang w:val="en-US" w:eastAsia="zh-CN"/>
              </w:rPr>
              <w:t>及达标性分析</w:t>
            </w:r>
          </w:p>
          <w:p>
            <w:pPr>
              <w:spacing w:line="360" w:lineRule="auto"/>
              <w:ind w:firstLine="422" w:firstLineChars="200"/>
              <w:rPr>
                <w:rFonts w:hint="default" w:ascii="Times New Roman" w:hAnsi="Times New Roman" w:cs="Times New Roman"/>
                <w:bCs/>
                <w:color w:val="auto"/>
                <w:szCs w:val="21"/>
              </w:rPr>
            </w:pPr>
            <w:r>
              <w:rPr>
                <w:rFonts w:hint="default" w:ascii="Times New Roman" w:hAnsi="Times New Roman" w:cs="Times New Roman"/>
                <w:b/>
                <w:color w:val="auto"/>
                <w:szCs w:val="21"/>
              </w:rPr>
              <w:t>（1）有组织废气</w:t>
            </w:r>
          </w:p>
          <w:p>
            <w:pPr>
              <w:spacing w:line="360" w:lineRule="auto"/>
              <w:ind w:firstLine="420" w:firstLineChars="200"/>
              <w:rPr>
                <w:rFonts w:hint="default" w:ascii="Times New Roman" w:hAnsi="Times New Roman" w:cs="Times New Roman"/>
                <w:b/>
                <w:color w:val="auto"/>
                <w:szCs w:val="21"/>
                <w:highlight w:val="yellow"/>
              </w:rPr>
            </w:pPr>
            <w:r>
              <w:rPr>
                <w:rFonts w:hint="default" w:ascii="Times New Roman" w:hAnsi="Times New Roman" w:cs="Times New Roman"/>
                <w:bCs/>
                <w:color w:val="auto"/>
                <w:szCs w:val="21"/>
              </w:rPr>
              <w:t>本项目有组织废气主要是原材料投料</w:t>
            </w:r>
            <w:r>
              <w:rPr>
                <w:rFonts w:hint="eastAsia" w:cs="Times New Roman"/>
                <w:bCs/>
                <w:color w:val="auto"/>
                <w:szCs w:val="21"/>
                <w:lang w:eastAsia="zh-CN"/>
              </w:rPr>
              <w:t>混料</w:t>
            </w:r>
            <w:r>
              <w:rPr>
                <w:rFonts w:hint="default" w:ascii="Times New Roman" w:hAnsi="Times New Roman" w:cs="Times New Roman"/>
                <w:bCs/>
                <w:color w:val="auto"/>
                <w:szCs w:val="21"/>
              </w:rPr>
              <w:t>环节产生的粉尘</w:t>
            </w:r>
            <w:r>
              <w:rPr>
                <w:rFonts w:hint="eastAsia" w:cs="Times New Roman"/>
                <w:bCs/>
                <w:color w:val="auto"/>
                <w:szCs w:val="21"/>
                <w:lang w:eastAsia="zh-CN"/>
              </w:rPr>
              <w:t>，</w:t>
            </w:r>
            <w:r>
              <w:rPr>
                <w:rFonts w:hint="default" w:ascii="Times New Roman" w:hAnsi="Times New Roman" w:cs="Times New Roman"/>
                <w:bCs/>
                <w:color w:val="auto"/>
                <w:szCs w:val="21"/>
              </w:rPr>
              <w:t>通过集气罩收集+布袋除尘器处理后经15m高排气筒</w:t>
            </w:r>
            <w:r>
              <w:rPr>
                <w:rFonts w:hint="eastAsia" w:cs="Times New Roman"/>
                <w:bCs/>
                <w:color w:val="auto"/>
                <w:szCs w:val="21"/>
                <w:lang w:val="en-US" w:eastAsia="zh-CN"/>
              </w:rPr>
              <w:t>DA001</w:t>
            </w:r>
            <w:r>
              <w:rPr>
                <w:rFonts w:hint="default" w:ascii="Times New Roman" w:hAnsi="Times New Roman" w:cs="Times New Roman"/>
                <w:bCs/>
                <w:color w:val="auto"/>
                <w:szCs w:val="21"/>
              </w:rPr>
              <w:t>排放。</w:t>
            </w:r>
          </w:p>
          <w:p>
            <w:pPr>
              <w:snapToGrid w:val="0"/>
              <w:spacing w:line="360" w:lineRule="auto"/>
              <w:ind w:firstLine="420" w:firstLineChars="200"/>
              <w:rPr>
                <w:rFonts w:hint="default" w:ascii="Times New Roman" w:hAnsi="Times New Roman" w:cs="Times New Roman"/>
                <w:color w:val="auto"/>
                <w:szCs w:val="21"/>
                <w:highlight w:val="yellow"/>
              </w:rPr>
            </w:pPr>
            <w:r>
              <w:rPr>
                <w:rFonts w:hint="eastAsia" w:cs="Times New Roman"/>
                <w:bCs/>
                <w:color w:val="auto"/>
                <w:szCs w:val="21"/>
                <w:lang w:eastAsia="zh-CN"/>
              </w:rPr>
              <w:t>项目所用原料为粉状原料，主要为刺梨粉、辣木叶粉、桑叶粉等，在投料混料</w:t>
            </w:r>
            <w:r>
              <w:rPr>
                <w:rFonts w:hint="default" w:ascii="Times New Roman" w:hAnsi="Times New Roman" w:cs="Times New Roman"/>
                <w:bCs/>
                <w:color w:val="auto"/>
                <w:szCs w:val="21"/>
              </w:rPr>
              <w:t>过程中会产生粉尘，参考《逸散性工业粉尘控制技术》（1989年）第三章粒料自动卸料过程粉尘排放系数0.01kg/t原料（0.01‰），鉴于该手册实施时间较久，</w:t>
            </w:r>
            <w:r>
              <w:rPr>
                <w:rFonts w:hint="default" w:ascii="Times New Roman" w:hAnsi="Times New Roman" w:cs="Times New Roman"/>
                <w:bCs/>
                <w:color w:val="auto"/>
                <w:szCs w:val="21"/>
                <w:lang w:val="en-US" w:eastAsia="zh-CN"/>
              </w:rPr>
              <w:t>且本项目为人工投料，</w:t>
            </w:r>
            <w:r>
              <w:rPr>
                <w:rFonts w:hint="default" w:ascii="Times New Roman" w:hAnsi="Times New Roman" w:cs="Times New Roman"/>
                <w:bCs/>
                <w:color w:val="auto"/>
                <w:szCs w:val="21"/>
              </w:rPr>
              <w:t>本次评价粉尘产生量按照原料用量的</w:t>
            </w:r>
            <w:r>
              <w:rPr>
                <w:rFonts w:hint="default" w:ascii="Times New Roman" w:hAnsi="Times New Roman" w:cs="Times New Roman"/>
                <w:bCs/>
                <w:color w:val="auto"/>
                <w:szCs w:val="21"/>
                <w:lang w:val="en-US" w:eastAsia="zh-CN"/>
              </w:rPr>
              <w:t>0.5</w:t>
            </w:r>
            <w:r>
              <w:rPr>
                <w:rFonts w:hint="default" w:ascii="Times New Roman" w:hAnsi="Times New Roman" w:cs="Times New Roman"/>
                <w:bCs/>
                <w:color w:val="auto"/>
                <w:szCs w:val="21"/>
              </w:rPr>
              <w:t>‰计，项目生产粉状原料用量为</w:t>
            </w:r>
            <w:r>
              <w:rPr>
                <w:rFonts w:hint="default" w:ascii="Times New Roman" w:hAnsi="Times New Roman" w:cs="Times New Roman"/>
                <w:bCs/>
                <w:color w:val="auto"/>
                <w:szCs w:val="21"/>
                <w:lang w:val="en-US" w:eastAsia="zh-CN"/>
              </w:rPr>
              <w:t>1</w:t>
            </w:r>
            <w:r>
              <w:rPr>
                <w:rFonts w:hint="eastAsia" w:cs="Times New Roman"/>
                <w:bCs/>
                <w:color w:val="auto"/>
                <w:szCs w:val="21"/>
                <w:lang w:val="en-US" w:eastAsia="zh-CN"/>
              </w:rPr>
              <w:t>038</w:t>
            </w:r>
            <w:r>
              <w:rPr>
                <w:rFonts w:hint="default" w:ascii="Times New Roman" w:hAnsi="Times New Roman" w:cs="Times New Roman"/>
                <w:bCs/>
                <w:color w:val="auto"/>
                <w:szCs w:val="21"/>
              </w:rPr>
              <w:t>t/a，</w:t>
            </w:r>
            <w:r>
              <w:rPr>
                <w:rFonts w:hint="default" w:ascii="Times New Roman" w:hAnsi="Times New Roman" w:cs="Times New Roman"/>
                <w:bCs/>
                <w:color w:val="auto"/>
                <w:szCs w:val="21"/>
                <w:lang w:val="en-US" w:eastAsia="zh-CN"/>
              </w:rPr>
              <w:t>投料时间4h/d，</w:t>
            </w:r>
            <w:r>
              <w:rPr>
                <w:rFonts w:hint="default" w:ascii="Times New Roman" w:hAnsi="Times New Roman" w:cs="Times New Roman"/>
                <w:bCs/>
                <w:color w:val="auto"/>
                <w:szCs w:val="21"/>
              </w:rPr>
              <w:t>经计算</w:t>
            </w:r>
            <w:r>
              <w:rPr>
                <w:rFonts w:hint="default" w:ascii="Times New Roman" w:hAnsi="Times New Roman" w:cs="Times New Roman"/>
                <w:bCs/>
                <w:color w:val="auto"/>
                <w:szCs w:val="21"/>
                <w:lang w:eastAsia="zh-CN"/>
              </w:rPr>
              <w:t>，粉尘</w:t>
            </w:r>
            <w:r>
              <w:rPr>
                <w:rFonts w:hint="default" w:ascii="Times New Roman" w:hAnsi="Times New Roman" w:cs="Times New Roman"/>
                <w:bCs/>
                <w:color w:val="auto"/>
                <w:szCs w:val="21"/>
              </w:rPr>
              <w:t>产生量约为</w:t>
            </w:r>
            <w:r>
              <w:rPr>
                <w:rFonts w:hint="eastAsia" w:cs="Times New Roman"/>
                <w:bCs/>
                <w:color w:val="auto"/>
                <w:szCs w:val="21"/>
                <w:lang w:val="en-US" w:eastAsia="zh-CN"/>
              </w:rPr>
              <w:t>0.52</w:t>
            </w:r>
            <w:r>
              <w:rPr>
                <w:rFonts w:hint="default" w:ascii="Times New Roman" w:hAnsi="Times New Roman" w:cs="Times New Roman"/>
                <w:bCs/>
                <w:color w:val="auto"/>
                <w:szCs w:val="21"/>
              </w:rPr>
              <w:t>t/a，投料设备设置集气罩，粉尘经集气罩收集后送入布袋除尘器处理，集气罩收集效率90%，除尘器处理效率9</w:t>
            </w:r>
            <w:r>
              <w:rPr>
                <w:rFonts w:hint="default" w:ascii="Times New Roman" w:hAnsi="Times New Roman" w:cs="Times New Roman"/>
                <w:bCs/>
                <w:color w:val="auto"/>
                <w:szCs w:val="21"/>
                <w:lang w:val="en-US" w:eastAsia="zh-CN"/>
              </w:rPr>
              <w:t>9</w:t>
            </w:r>
            <w:r>
              <w:rPr>
                <w:rFonts w:hint="default" w:ascii="Times New Roman" w:hAnsi="Times New Roman" w:cs="Times New Roman"/>
                <w:bCs/>
                <w:color w:val="auto"/>
                <w:szCs w:val="21"/>
              </w:rPr>
              <w:t>%，配套风机风量</w:t>
            </w:r>
            <w:r>
              <w:rPr>
                <w:rFonts w:hint="eastAsia" w:cs="Times New Roman"/>
                <w:color w:val="auto"/>
                <w:szCs w:val="21"/>
                <w:lang w:val="en-US" w:eastAsia="zh-CN"/>
              </w:rPr>
              <w:t>2</w:t>
            </w:r>
            <w:r>
              <w:rPr>
                <w:rFonts w:hint="default" w:ascii="Times New Roman" w:hAnsi="Times New Roman" w:cs="Times New Roman"/>
                <w:color w:val="auto"/>
                <w:szCs w:val="21"/>
              </w:rPr>
              <w:t>000m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/h（设计参数由企业提供，根据核算，可满足本项目颗粒物达标排放要求），</w:t>
            </w:r>
            <w:r>
              <w:rPr>
                <w:rFonts w:hint="default" w:ascii="Times New Roman" w:hAnsi="Times New Roman" w:cs="Times New Roman"/>
                <w:color w:val="auto"/>
                <w:szCs w:val="21"/>
                <w:lang w:val="en-US" w:eastAsia="zh-CN"/>
              </w:rPr>
              <w:t>运行时间1200h/a，</w:t>
            </w:r>
            <w:r>
              <w:rPr>
                <w:rFonts w:hint="default" w:ascii="Times New Roman" w:hAnsi="Times New Roman" w:cs="Times New Roman"/>
                <w:color w:val="auto"/>
                <w:szCs w:val="21"/>
              </w:rPr>
              <w:t>核算处理后颗粒物排放量及排放浓度分别为0.0</w:t>
            </w:r>
            <w:r>
              <w:rPr>
                <w:rFonts w:hint="default" w:ascii="Times New Roman" w:hAnsi="Times New Roman" w:cs="Times New Roman"/>
                <w:color w:val="auto"/>
                <w:szCs w:val="21"/>
                <w:lang w:val="en-US" w:eastAsia="zh-CN"/>
              </w:rPr>
              <w:t>0</w:t>
            </w:r>
            <w:r>
              <w:rPr>
                <w:rFonts w:hint="eastAsia" w:cs="Times New Roman"/>
                <w:color w:val="auto"/>
                <w:szCs w:val="21"/>
                <w:lang w:val="en-US" w:eastAsia="zh-CN"/>
              </w:rPr>
              <w:t>5</w:t>
            </w:r>
            <w:r>
              <w:rPr>
                <w:rFonts w:hint="default" w:ascii="Times New Roman" w:hAnsi="Times New Roman" w:cs="Times New Roman"/>
                <w:bCs/>
                <w:color w:val="auto"/>
                <w:szCs w:val="21"/>
              </w:rPr>
              <w:t>t/a、</w:t>
            </w:r>
            <w:r>
              <w:rPr>
                <w:rFonts w:hint="eastAsia" w:cs="Times New Roman"/>
                <w:bCs/>
                <w:color w:val="auto"/>
                <w:szCs w:val="21"/>
                <w:lang w:val="en-US" w:eastAsia="zh-CN"/>
              </w:rPr>
              <w:t>2.08</w:t>
            </w:r>
            <w:r>
              <w:rPr>
                <w:rFonts w:hint="default" w:ascii="Times New Roman" w:hAnsi="Times New Roman" w:cs="Times New Roman"/>
                <w:color w:val="auto"/>
                <w:szCs w:val="21"/>
              </w:rPr>
              <w:t>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，满足《区域性大气污染物综合排放标准》(DB37/ 2376-2019)重点控制区排放浓度限值（颗粒物：10mg/m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p>
            <w:pPr>
              <w:pStyle w:val="12"/>
              <w:spacing w:before="0" w:after="0" w:line="360" w:lineRule="auto"/>
              <w:ind w:right="0" w:firstLine="422" w:firstLineChars="200"/>
              <w:rPr>
                <w:rFonts w:hint="default" w:ascii="Times New Roman" w:hAnsi="Times New Roman" w:cs="Times New Roman"/>
                <w:color w:val="auto"/>
                <w:sz w:val="21"/>
                <w:szCs w:val="21"/>
              </w:rPr>
            </w:pPr>
            <w:r>
              <w:rPr>
                <w:rFonts w:hint="default" w:ascii="Times New Roman" w:hAnsi="Times New Roman" w:cs="Times New Roman"/>
                <w:b/>
                <w:color w:val="auto"/>
                <w:kern w:val="2"/>
                <w:sz w:val="21"/>
                <w:szCs w:val="21"/>
              </w:rPr>
              <w:t>（2）无组织废气</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项目无组织废气主要为投料过程中集气罩未收集的粉尘以及喷码过程中可能会挥发的油墨。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1）投料过程中集气罩未收集的粉尘，产生量约0.0</w:t>
            </w:r>
            <w:r>
              <w:rPr>
                <w:rFonts w:hint="eastAsia" w:cs="Times New Roman"/>
                <w:color w:val="auto"/>
                <w:szCs w:val="21"/>
                <w:lang w:val="en-US" w:eastAsia="zh-CN"/>
              </w:rPr>
              <w:t>52</w:t>
            </w:r>
            <w:r>
              <w:rPr>
                <w:rFonts w:hint="default" w:ascii="Times New Roman" w:hAnsi="Times New Roman" w:cs="Times New Roman"/>
                <w:color w:val="auto"/>
                <w:szCs w:val="21"/>
              </w:rPr>
              <w:t>t/a</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采用《环境影响评价技术导则大气环境》（HJ/2.2-2018）中推荐的估算模式AERSCREEN，无组织颗粒物最大排放浓度</w:t>
            </w:r>
            <w:r>
              <w:rPr>
                <w:rFonts w:hint="eastAsia" w:cs="Times New Roman"/>
                <w:color w:val="auto"/>
                <w:szCs w:val="21"/>
                <w:lang w:eastAsia="zh-CN"/>
              </w:rPr>
              <w:t>＜</w:t>
            </w:r>
            <w:r>
              <w:rPr>
                <w:rFonts w:hint="eastAsia" w:cs="Times New Roman"/>
                <w:color w:val="auto"/>
                <w:szCs w:val="21"/>
                <w:lang w:val="en-US" w:eastAsia="zh-CN"/>
              </w:rPr>
              <w:t>1.0</w:t>
            </w:r>
            <w:r>
              <w:rPr>
                <w:rFonts w:hint="default" w:ascii="Times New Roman" w:hAnsi="Times New Roman" w:cs="Times New Roman"/>
                <w:color w:val="auto"/>
                <w:szCs w:val="21"/>
              </w:rPr>
              <w:t>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，可以满足《大气污染物综合排放标准》（GB16297-1996）中颗粒物无组织排放要求（1.0mg/m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2）喷码工序仅对包装</w:t>
            </w:r>
            <w:r>
              <w:rPr>
                <w:rFonts w:hint="default" w:ascii="Times New Roman" w:hAnsi="Times New Roman" w:cs="Times New Roman"/>
                <w:color w:val="auto"/>
                <w:szCs w:val="21"/>
                <w:lang w:val="en-US" w:eastAsia="zh-CN"/>
              </w:rPr>
              <w:t>瓶</w:t>
            </w:r>
            <w:r>
              <w:rPr>
                <w:rFonts w:hint="default" w:ascii="Times New Roman" w:hAnsi="Times New Roman" w:cs="Times New Roman"/>
                <w:color w:val="auto"/>
                <w:szCs w:val="21"/>
              </w:rPr>
              <w:t>进行</w:t>
            </w:r>
            <w:r>
              <w:rPr>
                <w:rFonts w:hint="default" w:ascii="Times New Roman" w:hAnsi="Times New Roman" w:cs="Times New Roman"/>
                <w:color w:val="auto"/>
                <w:szCs w:val="21"/>
                <w:lang w:val="en-US" w:eastAsia="zh-CN"/>
              </w:rPr>
              <w:t>生产</w:t>
            </w:r>
            <w:r>
              <w:rPr>
                <w:rFonts w:hint="default" w:ascii="Times New Roman" w:hAnsi="Times New Roman" w:cs="Times New Roman"/>
                <w:color w:val="auto"/>
                <w:szCs w:val="21"/>
              </w:rPr>
              <w:t>厂家、生产日期的喷码，喷码作业量小，喷码机配套安装墨盒，墨盒均密闭，不会产生挥发废气，废气挥发主要为喷码工序完成后的溶剂挥发，挥发面源并不单一在喷码机附近，本项目油墨年使用量</w:t>
            </w:r>
            <w:r>
              <w:rPr>
                <w:rFonts w:hint="eastAsia" w:cs="Times New Roman"/>
                <w:color w:val="auto"/>
                <w:szCs w:val="21"/>
                <w:lang w:val="en-US" w:eastAsia="zh-CN"/>
              </w:rPr>
              <w:t>10</w:t>
            </w:r>
            <w:r>
              <w:rPr>
                <w:rFonts w:hint="default" w:ascii="Times New Roman" w:hAnsi="Times New Roman" w:cs="Times New Roman"/>
                <w:color w:val="auto"/>
                <w:szCs w:val="21"/>
              </w:rPr>
              <w:t>kg，用量小，挥发VOCs产生速率极小且不易收集。此外，喷码过程使用喷码油墨均为食品级油墨，油墨中溶剂为食用酒精，不会对工作人员及周围环境造成不利影响，故本项目不做量化分析。</w:t>
            </w:r>
          </w:p>
          <w:p>
            <w:pPr>
              <w:pStyle w:val="12"/>
              <w:spacing w:before="0" w:after="0" w:line="360" w:lineRule="auto"/>
              <w:ind w:right="0" w:firstLine="422" w:firstLineChars="200"/>
              <w:rPr>
                <w:rFonts w:hint="default" w:ascii="Times New Roman" w:hAnsi="Times New Roman" w:cs="Times New Roman"/>
                <w:sz w:val="21"/>
                <w:szCs w:val="21"/>
              </w:rPr>
            </w:pPr>
            <w:r>
              <w:rPr>
                <w:rFonts w:hint="default" w:ascii="Times New Roman" w:hAnsi="Times New Roman" w:cs="Times New Roman"/>
                <w:b/>
                <w:bCs/>
                <w:sz w:val="21"/>
                <w:szCs w:val="21"/>
              </w:rPr>
              <w:t>（</w:t>
            </w:r>
            <w:r>
              <w:rPr>
                <w:rFonts w:hint="default" w:ascii="Times New Roman" w:hAnsi="Times New Roman" w:cs="Times New Roman"/>
                <w:b/>
                <w:bCs/>
                <w:sz w:val="21"/>
                <w:szCs w:val="21"/>
                <w:lang w:val="en-US" w:eastAsia="zh-CN"/>
              </w:rPr>
              <w:t>3</w:t>
            </w:r>
            <w:r>
              <w:rPr>
                <w:rFonts w:hint="default" w:ascii="Times New Roman" w:hAnsi="Times New Roman" w:cs="Times New Roman"/>
                <w:b/>
                <w:bCs/>
                <w:sz w:val="21"/>
                <w:szCs w:val="21"/>
              </w:rPr>
              <w:t>）废气治理措施可行性分析：</w:t>
            </w:r>
          </w:p>
          <w:p>
            <w:pPr>
              <w:pStyle w:val="13"/>
              <w:numPr>
                <w:ilvl w:val="0"/>
                <w:numId w:val="0"/>
              </w:num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本项目废气治理措施情况如下：</w:t>
            </w:r>
          </w:p>
          <w:p>
            <w:pPr>
              <w:pStyle w:val="13"/>
              <w:numPr>
                <w:ilvl w:val="0"/>
                <w:numId w:val="0"/>
              </w:num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表</w:t>
            </w:r>
            <w:r>
              <w:rPr>
                <w:rFonts w:hint="eastAsia" w:cs="Times New Roman"/>
                <w:b/>
                <w:szCs w:val="21"/>
                <w:lang w:val="en-US" w:eastAsia="zh-CN"/>
              </w:rPr>
              <w:t>17</w:t>
            </w:r>
            <w:r>
              <w:rPr>
                <w:rFonts w:hint="default" w:ascii="Times New Roman" w:hAnsi="Times New Roman" w:cs="Times New Roman"/>
                <w:b/>
                <w:szCs w:val="21"/>
              </w:rPr>
              <w:t xml:space="preserve">  废气治理措施情况一览表</w:t>
            </w:r>
          </w:p>
          <w:tbl>
            <w:tblPr>
              <w:tblStyle w:val="27"/>
              <w:tblW w:w="79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065"/>
              <w:gridCol w:w="1140"/>
              <w:gridCol w:w="1125"/>
              <w:gridCol w:w="37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02" w:type="dxa"/>
                  <w:tcBorders>
                    <w:tl2br w:val="nil"/>
                    <w:tr2bl w:val="nil"/>
                  </w:tcBorders>
                  <w:vAlign w:val="center"/>
                </w:tcPr>
                <w:p>
                  <w:pPr>
                    <w:widowControl/>
                    <w:adjustRightInd w:val="0"/>
                    <w:snapToGrid w:val="0"/>
                    <w:jc w:val="center"/>
                    <w:rPr>
                      <w:rFonts w:hint="default" w:ascii="Times New Roman" w:hAnsi="Times New Roman" w:cs="Times New Roman"/>
                      <w:b/>
                      <w:szCs w:val="21"/>
                      <w:lang w:val="zh-CN"/>
                    </w:rPr>
                  </w:pPr>
                  <w:r>
                    <w:rPr>
                      <w:rFonts w:hint="default" w:ascii="Times New Roman" w:hAnsi="Times New Roman" w:cs="Times New Roman"/>
                      <w:b/>
                      <w:szCs w:val="21"/>
                    </w:rPr>
                    <w:t>污染源</w:t>
                  </w:r>
                </w:p>
              </w:tc>
              <w:tc>
                <w:tcPr>
                  <w:tcW w:w="1065" w:type="dxa"/>
                  <w:tcBorders>
                    <w:tl2br w:val="nil"/>
                    <w:tr2bl w:val="nil"/>
                  </w:tcBorders>
                  <w:vAlign w:val="center"/>
                </w:tcPr>
                <w:p>
                  <w:pPr>
                    <w:widowControl/>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废气治理措施名称</w:t>
                  </w:r>
                </w:p>
              </w:tc>
              <w:tc>
                <w:tcPr>
                  <w:tcW w:w="1140" w:type="dxa"/>
                  <w:tcBorders>
                    <w:tl2br w:val="nil"/>
                    <w:tr2bl w:val="nil"/>
                  </w:tcBorders>
                  <w:vAlign w:val="center"/>
                </w:tcPr>
                <w:p>
                  <w:pPr>
                    <w:widowControl/>
                    <w:adjustRightInd w:val="0"/>
                    <w:snapToGrid w:val="0"/>
                    <w:jc w:val="center"/>
                    <w:rPr>
                      <w:rFonts w:hint="default" w:ascii="Times New Roman" w:hAnsi="Times New Roman" w:cs="Times New Roman"/>
                      <w:b/>
                      <w:szCs w:val="21"/>
                    </w:rPr>
                  </w:pPr>
                  <w:r>
                    <w:rPr>
                      <w:rFonts w:hint="default" w:ascii="Times New Roman" w:hAnsi="Times New Roman" w:cs="Times New Roman"/>
                      <w:b/>
                      <w:kern w:val="0"/>
                      <w:szCs w:val="21"/>
                    </w:rPr>
                    <w:t>收集方式及收集率</w:t>
                  </w:r>
                </w:p>
              </w:tc>
              <w:tc>
                <w:tcPr>
                  <w:tcW w:w="1125" w:type="dxa"/>
                  <w:tcBorders>
                    <w:tl2br w:val="nil"/>
                    <w:tr2bl w:val="nil"/>
                  </w:tcBorders>
                  <w:vAlign w:val="center"/>
                </w:tcPr>
                <w:p>
                  <w:pPr>
                    <w:widowControl/>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治理工艺去除率</w:t>
                  </w:r>
                </w:p>
              </w:tc>
              <w:tc>
                <w:tcPr>
                  <w:tcW w:w="3781" w:type="dxa"/>
                  <w:tcBorders>
                    <w:tl2br w:val="nil"/>
                    <w:tr2bl w:val="nil"/>
                  </w:tcBorders>
                  <w:vAlign w:val="center"/>
                </w:tcPr>
                <w:p>
                  <w:pPr>
                    <w:widowControl/>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是否为可行技术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02" w:type="dxa"/>
                  <w:tcBorders>
                    <w:tl2br w:val="nil"/>
                    <w:tr2bl w:val="nil"/>
                  </w:tcBorders>
                  <w:vAlign w:val="center"/>
                </w:tcPr>
                <w:p>
                  <w:pPr>
                    <w:widowControl/>
                    <w:jc w:val="center"/>
                    <w:textAlignment w:val="center"/>
                    <w:rPr>
                      <w:rFonts w:hint="default" w:ascii="Times New Roman" w:hAnsi="Times New Roman" w:cs="Times New Roman"/>
                      <w:bCs/>
                      <w:szCs w:val="21"/>
                    </w:rPr>
                  </w:pPr>
                  <w:r>
                    <w:rPr>
                      <w:rFonts w:hint="default" w:ascii="Times New Roman" w:hAnsi="Times New Roman" w:cs="Times New Roman"/>
                      <w:szCs w:val="21"/>
                    </w:rPr>
                    <w:t>废气排气筒</w:t>
                  </w:r>
                </w:p>
              </w:tc>
              <w:tc>
                <w:tcPr>
                  <w:tcW w:w="1065" w:type="dxa"/>
                  <w:tcBorders>
                    <w:tl2br w:val="nil"/>
                    <w:tr2bl w:val="nil"/>
                  </w:tcBorders>
                  <w:vAlign w:val="center"/>
                </w:tcPr>
                <w:p>
                  <w:pPr>
                    <w:jc w:val="center"/>
                    <w:rPr>
                      <w:rFonts w:hint="default" w:ascii="Times New Roman" w:hAnsi="Times New Roman" w:cs="Times New Roman"/>
                      <w:bCs/>
                      <w:szCs w:val="21"/>
                    </w:rPr>
                  </w:pPr>
                  <w:r>
                    <w:rPr>
                      <w:rFonts w:hint="default" w:ascii="Times New Roman" w:hAnsi="Times New Roman" w:cs="Times New Roman"/>
                      <w:szCs w:val="21"/>
                    </w:rPr>
                    <w:t>布袋除尘器</w:t>
                  </w:r>
                </w:p>
              </w:tc>
              <w:tc>
                <w:tcPr>
                  <w:tcW w:w="1140" w:type="dxa"/>
                  <w:tcBorders>
                    <w:tl2br w:val="nil"/>
                    <w:tr2bl w:val="nil"/>
                  </w:tcBorders>
                  <w:vAlign w:val="center"/>
                </w:tcPr>
                <w:p>
                  <w:pPr>
                    <w:jc w:val="center"/>
                    <w:rPr>
                      <w:rFonts w:hint="default" w:ascii="Times New Roman" w:hAnsi="Times New Roman" w:cs="Times New Roman"/>
                      <w:bCs/>
                      <w:szCs w:val="21"/>
                    </w:rPr>
                  </w:pPr>
                  <w:r>
                    <w:rPr>
                      <w:rFonts w:hint="default" w:ascii="Times New Roman" w:hAnsi="Times New Roman" w:cs="Times New Roman"/>
                      <w:szCs w:val="21"/>
                    </w:rPr>
                    <w:t>集气罩收集，收集率90%</w:t>
                  </w:r>
                </w:p>
              </w:tc>
              <w:tc>
                <w:tcPr>
                  <w:tcW w:w="1125" w:type="dxa"/>
                  <w:tcBorders>
                    <w:tl2br w:val="nil"/>
                    <w:tr2bl w:val="nil"/>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9</w:t>
                  </w:r>
                  <w:r>
                    <w:rPr>
                      <w:rFonts w:hint="default" w:ascii="Times New Roman" w:hAnsi="Times New Roman" w:cs="Times New Roman"/>
                      <w:bCs/>
                      <w:szCs w:val="21"/>
                      <w:lang w:val="en-US" w:eastAsia="zh-CN"/>
                    </w:rPr>
                    <w:t>9</w:t>
                  </w:r>
                  <w:r>
                    <w:rPr>
                      <w:rFonts w:hint="default" w:ascii="Times New Roman" w:hAnsi="Times New Roman" w:cs="Times New Roman"/>
                      <w:bCs/>
                      <w:szCs w:val="21"/>
                    </w:rPr>
                    <w:t>%</w:t>
                  </w:r>
                </w:p>
              </w:tc>
              <w:tc>
                <w:tcPr>
                  <w:tcW w:w="3781" w:type="dxa"/>
                  <w:tcBorders>
                    <w:tl2br w:val="nil"/>
                    <w:tr2bl w:val="nil"/>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是，根据《排污许可证申请与核发技术规范 排污许可证申请与核发技术规范》（HJ 1030.3-2019），附录B，袋式除尘属于颗粒物处理的可行技术</w:t>
                  </w:r>
                </w:p>
              </w:tc>
            </w:tr>
          </w:tbl>
          <w:p>
            <w:pPr>
              <w:adjustRightInd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布袋除尘器是以布袋作为过滤元件所组成的除尘器。含尘气体进入除尘器灰斗后，由于气流断面突然扩大及气流分布板作用，气流中一部分粗大颗粒在动和惯性力作用下沉降在灰斗；粒度细、密度小的尘粒进入滤尘室后，通过布朗扩散和筛滤等组合效应，使粉尘沉积在滤料表面上，净化后的气体进入净气室由排气管经风机排出。布袋除尘器过滤机理是物理拦截</w:t>
            </w:r>
            <w:r>
              <w:rPr>
                <w:rFonts w:hint="default" w:ascii="Times New Roman" w:hAnsi="Times New Roman" w:cs="Times New Roman"/>
                <w:color w:val="auto"/>
                <w:szCs w:val="21"/>
              </w:rPr>
              <w:t>，</w:t>
            </w:r>
            <w:r>
              <w:rPr>
                <w:rFonts w:hint="eastAsia" w:cs="Times New Roman"/>
                <w:color w:val="auto"/>
                <w:szCs w:val="21"/>
                <w:lang w:val="en-US" w:eastAsia="zh-CN"/>
              </w:rPr>
              <w:t>本项目布袋除尘器</w:t>
            </w:r>
            <w:r>
              <w:rPr>
                <w:rFonts w:hint="default" w:ascii="Times New Roman" w:hAnsi="Times New Roman" w:cs="Times New Roman"/>
                <w:color w:val="auto"/>
                <w:szCs w:val="21"/>
              </w:rPr>
              <w:t>除尘效率≥</w:t>
            </w:r>
            <w:r>
              <w:rPr>
                <w:rFonts w:hint="eastAsia" w:cs="Times New Roman"/>
                <w:color w:val="auto"/>
                <w:szCs w:val="21"/>
                <w:lang w:val="en-US" w:eastAsia="zh-CN"/>
              </w:rPr>
              <w:t>99</w:t>
            </w:r>
            <w:r>
              <w:rPr>
                <w:rFonts w:hint="default" w:ascii="Times New Roman" w:hAnsi="Times New Roman" w:cs="Times New Roman"/>
                <w:color w:val="auto"/>
                <w:szCs w:val="21"/>
              </w:rPr>
              <w:t>%。</w:t>
            </w:r>
          </w:p>
          <w:p>
            <w:pPr>
              <w:adjustRightInd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综上，本项目废气收集及处理措施可行。</w:t>
            </w:r>
          </w:p>
          <w:p>
            <w:pPr>
              <w:adjustRightInd w:val="0"/>
              <w:snapToGrid w:val="0"/>
              <w:spacing w:line="360" w:lineRule="auto"/>
              <w:ind w:firstLine="422" w:firstLineChars="200"/>
              <w:rPr>
                <w:rFonts w:hint="default" w:ascii="Times New Roman" w:hAnsi="Times New Roman" w:cs="Times New Roman"/>
                <w:szCs w:val="21"/>
              </w:rPr>
            </w:pPr>
            <w:r>
              <w:rPr>
                <w:rFonts w:hint="default" w:ascii="Times New Roman" w:hAnsi="Times New Roman" w:cs="Times New Roman"/>
                <w:b/>
                <w:bCs/>
                <w:szCs w:val="21"/>
              </w:rPr>
              <w:t>（</w:t>
            </w:r>
            <w:r>
              <w:rPr>
                <w:rFonts w:hint="default" w:ascii="Times New Roman" w:hAnsi="Times New Roman" w:cs="Times New Roman"/>
                <w:b/>
                <w:bCs/>
                <w:szCs w:val="21"/>
                <w:lang w:val="en-US" w:eastAsia="zh-CN"/>
              </w:rPr>
              <w:t>4</w:t>
            </w:r>
            <w:r>
              <w:rPr>
                <w:rFonts w:hint="default" w:ascii="Times New Roman" w:hAnsi="Times New Roman" w:cs="Times New Roman"/>
                <w:b/>
                <w:bCs/>
                <w:szCs w:val="21"/>
              </w:rPr>
              <w:t>）非正常工况</w:t>
            </w:r>
          </w:p>
          <w:p>
            <w:pPr>
              <w:adjustRightInd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本项目非正常工况的污染物排放是由于生产不正常或净化系统的设备运行管理等环节存在问题，出现的短时间污染治理效果下降、污染物排放量增加的情况。</w:t>
            </w:r>
          </w:p>
          <w:p>
            <w:pPr>
              <w:adjustRightInd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本</w:t>
            </w:r>
            <w:r>
              <w:rPr>
                <w:rStyle w:val="73"/>
                <w:rFonts w:hint="default" w:ascii="Times New Roman" w:hAnsi="Times New Roman" w:cs="Times New Roman"/>
                <w:sz w:val="21"/>
                <w:szCs w:val="21"/>
              </w:rPr>
              <w:t>项目非正常工况考虑为：环保设备异常，处理效率考虑为正常工况的50%（处理效率47.5%）</w:t>
            </w:r>
            <w:r>
              <w:rPr>
                <w:rFonts w:hint="default" w:ascii="Times New Roman" w:hAnsi="Times New Roman" w:cs="Times New Roman"/>
                <w:szCs w:val="21"/>
              </w:rPr>
              <w:t>。</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根据前述计算，本项目建成后，颗粒物</w:t>
            </w:r>
            <w:r>
              <w:rPr>
                <w:rFonts w:hint="default" w:ascii="Times New Roman" w:hAnsi="Times New Roman" w:cs="Times New Roman"/>
                <w:bCs/>
                <w:szCs w:val="21"/>
              </w:rPr>
              <w:t>经集气罩系统+布袋除尘器处理后通过</w:t>
            </w:r>
            <w:r>
              <w:rPr>
                <w:rFonts w:hint="default" w:ascii="Times New Roman" w:hAnsi="Times New Roman" w:cs="Times New Roman"/>
                <w:szCs w:val="21"/>
              </w:rPr>
              <w:t>15m高排气筒排放。若环保设备出现故障，环保设施的处理效率将降低50%，故障时间一般为15分钟内，由此确定本项目非正常工况下颗粒物的排放浓度为</w:t>
            </w:r>
            <w:r>
              <w:rPr>
                <w:rFonts w:hint="eastAsia" w:cs="Times New Roman"/>
                <w:szCs w:val="21"/>
                <w:lang w:val="en-US" w:eastAsia="zh-CN"/>
              </w:rPr>
              <w:t>4.16</w:t>
            </w:r>
            <w:r>
              <w:rPr>
                <w:rFonts w:hint="default" w:ascii="Times New Roman" w:hAnsi="Times New Roman" w:cs="Times New Roman"/>
                <w:szCs w:val="21"/>
              </w:rPr>
              <w:t>mg/m</w:t>
            </w:r>
            <w:r>
              <w:rPr>
                <w:rFonts w:hint="default" w:ascii="Times New Roman" w:hAnsi="Times New Roman" w:cs="Times New Roman"/>
                <w:szCs w:val="21"/>
                <w:vertAlign w:val="superscript"/>
              </w:rPr>
              <w:t>3</w:t>
            </w:r>
            <w:r>
              <w:rPr>
                <w:rFonts w:hint="default" w:ascii="Times New Roman" w:hAnsi="Times New Roman" w:cs="Times New Roman"/>
                <w:szCs w:val="21"/>
              </w:rPr>
              <w:t>。非正常情况下出现污染物排放浓度大幅升高的情况，一般此类事故发生通常是由于环保设施出现故障导致的。因此，项目建成运行后，要求企业在正常生产过程应认真做好环保设备设施的定期维护保养，企业应加强在岗人员培训和对工艺设备运行的管理，尽量降低、避免非正常情况的发生，一旦出现非正常工况，应立即停止生产，避免出现污染物达标排放的现象。</w:t>
            </w:r>
          </w:p>
          <w:p>
            <w:pPr>
              <w:pStyle w:val="13"/>
              <w:numPr>
                <w:ilvl w:val="0"/>
                <w:numId w:val="0"/>
              </w:numPr>
              <w:spacing w:line="360" w:lineRule="auto"/>
              <w:ind w:firstLine="422" w:firstLineChars="200"/>
              <w:rPr>
                <w:rFonts w:hint="default" w:ascii="Times New Roman" w:hAnsi="Times New Roman" w:cs="Times New Roman"/>
                <w:szCs w:val="21"/>
                <w:highlight w:val="yellow"/>
              </w:rPr>
            </w:pPr>
            <w:r>
              <w:rPr>
                <w:rFonts w:hint="default" w:ascii="Times New Roman" w:hAnsi="Times New Roman" w:cs="Times New Roman"/>
                <w:b/>
                <w:bCs/>
                <w:szCs w:val="21"/>
              </w:rPr>
              <w:t>（</w:t>
            </w:r>
            <w:r>
              <w:rPr>
                <w:rFonts w:hint="default" w:ascii="Times New Roman" w:hAnsi="Times New Roman" w:cs="Times New Roman"/>
                <w:b/>
                <w:bCs/>
                <w:szCs w:val="21"/>
                <w:lang w:val="en-US" w:eastAsia="zh-CN"/>
              </w:rPr>
              <w:t>5</w:t>
            </w:r>
            <w:r>
              <w:rPr>
                <w:rFonts w:hint="default" w:ascii="Times New Roman" w:hAnsi="Times New Roman" w:cs="Times New Roman"/>
                <w:b/>
                <w:bCs/>
                <w:szCs w:val="21"/>
              </w:rPr>
              <w:t>）监测要求</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建设单位制定完善的《环境监测管理制度》、《环境信息公开制度》，并按照制度落实环境监测、环境信息公开。</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环境监测计划的制定依据项目内容和企业实际情况，根据《排污单位自行监测技术指南 总则》（HJ819-2017）、《固定污染源废气监测点位设置技术规范》（DB37/T3535-2019）中内容要求，制定相应切实可行的方案。</w:t>
            </w:r>
          </w:p>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表</w:t>
            </w:r>
            <w:r>
              <w:rPr>
                <w:rFonts w:hint="eastAsia" w:cs="Times New Roman"/>
                <w:b/>
                <w:szCs w:val="21"/>
                <w:lang w:val="en-US" w:eastAsia="zh-CN"/>
              </w:rPr>
              <w:t>18</w:t>
            </w:r>
            <w:r>
              <w:rPr>
                <w:rFonts w:hint="default" w:ascii="Times New Roman" w:hAnsi="Times New Roman" w:cs="Times New Roman"/>
                <w:b/>
                <w:szCs w:val="21"/>
              </w:rPr>
              <w:t xml:space="preserve">  主要监测制度表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986"/>
              <w:gridCol w:w="1974"/>
              <w:gridCol w:w="3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9"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环境要素</w:t>
                  </w:r>
                </w:p>
              </w:tc>
              <w:tc>
                <w:tcPr>
                  <w:tcW w:w="1986"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监测位置</w:t>
                  </w:r>
                </w:p>
              </w:tc>
              <w:tc>
                <w:tcPr>
                  <w:tcW w:w="1974"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污染物</w:t>
                  </w:r>
                </w:p>
              </w:tc>
              <w:tc>
                <w:tcPr>
                  <w:tcW w:w="3217"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9"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废气</w:t>
                  </w:r>
                </w:p>
              </w:tc>
              <w:tc>
                <w:tcPr>
                  <w:tcW w:w="1986" w:type="dxa"/>
                  <w:tcBorders>
                    <w:tl2br w:val="nil"/>
                    <w:tr2bl w:val="nil"/>
                  </w:tcBorders>
                  <w:vAlign w:val="center"/>
                </w:tcPr>
                <w:p>
                  <w:pPr>
                    <w:jc w:val="center"/>
                    <w:rPr>
                      <w:rFonts w:hint="default" w:ascii="Times New Roman" w:hAnsi="Times New Roman" w:cs="Times New Roman"/>
                      <w:szCs w:val="21"/>
                    </w:rPr>
                  </w:pPr>
                  <w:r>
                    <w:rPr>
                      <w:rFonts w:hint="eastAsia" w:cs="Times New Roman"/>
                      <w:szCs w:val="21"/>
                      <w:lang w:eastAsia="zh-CN"/>
                    </w:rPr>
                    <w:t>布袋除尘器</w:t>
                  </w:r>
                  <w:r>
                    <w:rPr>
                      <w:rFonts w:hint="default" w:ascii="Times New Roman" w:hAnsi="Times New Roman" w:cs="Times New Roman"/>
                      <w:szCs w:val="21"/>
                    </w:rPr>
                    <w:t>排气筒</w:t>
                  </w:r>
                </w:p>
              </w:tc>
              <w:tc>
                <w:tcPr>
                  <w:tcW w:w="197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颗粒物</w:t>
                  </w:r>
                </w:p>
              </w:tc>
              <w:tc>
                <w:tcPr>
                  <w:tcW w:w="3217"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1次/</w:t>
                  </w:r>
                  <w:r>
                    <w:rPr>
                      <w:rFonts w:hint="eastAsia" w:cs="Times New Roman"/>
                      <w:szCs w:val="21"/>
                      <w:lang w:val="en-US" w:eastAsia="zh-CN"/>
                    </w:rPr>
                    <w:t>半</w:t>
                  </w:r>
                  <w:r>
                    <w:rPr>
                      <w:rFonts w:hint="default" w:ascii="Times New Roman" w:hAnsi="Times New Roman" w:cs="Times New Roman"/>
                      <w:szCs w:val="21"/>
                    </w:rPr>
                    <w:t>年（事故时及时监测）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9" w:type="dxa"/>
                  <w:vMerge w:val="continue"/>
                  <w:tcBorders>
                    <w:tl2br w:val="nil"/>
                    <w:tr2bl w:val="nil"/>
                  </w:tcBorders>
                  <w:vAlign w:val="center"/>
                </w:tcPr>
                <w:p>
                  <w:pPr>
                    <w:jc w:val="center"/>
                    <w:rPr>
                      <w:rFonts w:hint="default" w:ascii="Times New Roman" w:hAnsi="Times New Roman" w:cs="Times New Roman"/>
                      <w:szCs w:val="21"/>
                    </w:rPr>
                  </w:pPr>
                </w:p>
              </w:tc>
              <w:tc>
                <w:tcPr>
                  <w:tcW w:w="198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厂界无组织排放</w:t>
                  </w:r>
                </w:p>
              </w:tc>
              <w:tc>
                <w:tcPr>
                  <w:tcW w:w="197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颗粒物</w:t>
                  </w:r>
                </w:p>
              </w:tc>
              <w:tc>
                <w:tcPr>
                  <w:tcW w:w="3217"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1次/</w:t>
                  </w:r>
                  <w:r>
                    <w:rPr>
                      <w:rFonts w:hint="eastAsia" w:cs="Times New Roman"/>
                      <w:szCs w:val="21"/>
                      <w:lang w:val="en-US" w:eastAsia="zh-CN"/>
                    </w:rPr>
                    <w:t>半</w:t>
                  </w:r>
                  <w:r>
                    <w:rPr>
                      <w:rFonts w:hint="default" w:ascii="Times New Roman" w:hAnsi="Times New Roman" w:cs="Times New Roman"/>
                      <w:szCs w:val="21"/>
                    </w:rPr>
                    <w:t>年（事故时及时监测）</w:t>
                  </w:r>
                </w:p>
              </w:tc>
            </w:tr>
          </w:tbl>
          <w:p>
            <w:pPr>
              <w:widowControl/>
              <w:spacing w:line="360" w:lineRule="auto"/>
              <w:ind w:firstLine="422" w:firstLineChars="200"/>
              <w:jc w:val="left"/>
              <w:rPr>
                <w:rFonts w:hint="default" w:ascii="Times New Roman" w:hAnsi="Times New Roman" w:cs="Times New Roman"/>
                <w:kern w:val="0"/>
                <w:szCs w:val="21"/>
                <w:lang w:bidi="ar"/>
              </w:rPr>
            </w:pPr>
            <w:r>
              <w:rPr>
                <w:rFonts w:hint="default" w:ascii="Times New Roman" w:hAnsi="Times New Roman" w:cs="Times New Roman"/>
                <w:b/>
                <w:bCs/>
                <w:kern w:val="0"/>
                <w:szCs w:val="21"/>
                <w:lang w:bidi="ar"/>
              </w:rPr>
              <w:t>（</w:t>
            </w:r>
            <w:r>
              <w:rPr>
                <w:rFonts w:hint="default" w:ascii="Times New Roman" w:hAnsi="Times New Roman" w:cs="Times New Roman"/>
                <w:b/>
                <w:bCs/>
                <w:kern w:val="0"/>
                <w:szCs w:val="21"/>
                <w:lang w:val="en-US" w:eastAsia="zh-CN" w:bidi="ar"/>
              </w:rPr>
              <w:t>6</w:t>
            </w:r>
            <w:r>
              <w:rPr>
                <w:rFonts w:hint="default" w:ascii="Times New Roman" w:hAnsi="Times New Roman" w:cs="Times New Roman"/>
                <w:b/>
                <w:bCs/>
                <w:kern w:val="0"/>
                <w:szCs w:val="21"/>
                <w:lang w:bidi="ar"/>
              </w:rPr>
              <w:t>）废气</w:t>
            </w:r>
            <w:r>
              <w:rPr>
                <w:rFonts w:hint="eastAsia" w:cs="Times New Roman"/>
                <w:b/>
                <w:bCs/>
                <w:kern w:val="0"/>
                <w:szCs w:val="21"/>
                <w:lang w:eastAsia="zh-CN" w:bidi="ar"/>
              </w:rPr>
              <w:t>达标</w:t>
            </w:r>
            <w:r>
              <w:rPr>
                <w:rFonts w:hint="default" w:ascii="Times New Roman" w:hAnsi="Times New Roman" w:cs="Times New Roman"/>
                <w:b/>
                <w:bCs/>
                <w:kern w:val="0"/>
                <w:szCs w:val="21"/>
                <w:lang w:bidi="ar"/>
              </w:rPr>
              <w:t>性分析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kern w:val="0"/>
                <w:szCs w:val="21"/>
                <w:lang w:bidi="ar"/>
              </w:rPr>
              <w:t>建设项目所在区域为不达标区，周边500m环境保护目标为东河村、西河村，</w:t>
            </w:r>
            <w:r>
              <w:rPr>
                <w:rFonts w:hint="default" w:ascii="Times New Roman" w:hAnsi="Times New Roman" w:cs="Times New Roman"/>
                <w:bCs/>
                <w:szCs w:val="21"/>
              </w:rPr>
              <w:t>本项目有组织废气主要是原材料投料</w:t>
            </w:r>
            <w:r>
              <w:rPr>
                <w:rFonts w:hint="eastAsia" w:cs="Times New Roman"/>
                <w:bCs/>
                <w:szCs w:val="21"/>
                <w:lang w:eastAsia="zh-CN"/>
              </w:rPr>
              <w:t>混料</w:t>
            </w:r>
            <w:r>
              <w:rPr>
                <w:rFonts w:hint="default" w:ascii="Times New Roman" w:hAnsi="Times New Roman" w:cs="Times New Roman"/>
                <w:bCs/>
                <w:szCs w:val="21"/>
              </w:rPr>
              <w:t>环节产生的粉尘。其中原材料投料</w:t>
            </w:r>
            <w:r>
              <w:rPr>
                <w:rFonts w:hint="eastAsia" w:cs="Times New Roman"/>
                <w:bCs/>
                <w:szCs w:val="21"/>
                <w:lang w:val="en-US" w:eastAsia="zh-CN"/>
              </w:rPr>
              <w:t>混料</w:t>
            </w:r>
            <w:r>
              <w:rPr>
                <w:rFonts w:hint="default" w:ascii="Times New Roman" w:hAnsi="Times New Roman" w:cs="Times New Roman"/>
                <w:bCs/>
                <w:szCs w:val="21"/>
              </w:rPr>
              <w:t>环节产生的粉尘通过集气罩收集+布袋除尘器处理后经15m高排气筒</w:t>
            </w:r>
            <w:r>
              <w:rPr>
                <w:rFonts w:hint="eastAsia" w:cs="Times New Roman"/>
                <w:bCs/>
                <w:szCs w:val="21"/>
                <w:lang w:val="en-US" w:eastAsia="zh-CN"/>
              </w:rPr>
              <w:t>DA001</w:t>
            </w:r>
            <w:r>
              <w:rPr>
                <w:rFonts w:hint="default" w:ascii="Times New Roman" w:hAnsi="Times New Roman" w:cs="Times New Roman"/>
                <w:bCs/>
                <w:szCs w:val="21"/>
              </w:rPr>
              <w:t>排放。</w:t>
            </w:r>
            <w:r>
              <w:rPr>
                <w:rFonts w:hint="default" w:ascii="Times New Roman" w:hAnsi="Times New Roman" w:cs="Times New Roman"/>
                <w:szCs w:val="21"/>
              </w:rPr>
              <w:t>有组织排放浓度可以满足</w:t>
            </w:r>
            <w:r>
              <w:rPr>
                <w:rFonts w:hint="default" w:ascii="Times New Roman" w:hAnsi="Times New Roman" w:cs="Times New Roman"/>
                <w:color w:val="auto"/>
                <w:szCs w:val="21"/>
              </w:rPr>
              <w:t>《区域性大气污染物综合排放标准》(DB37/ 2376-2019)重点控制区排放浓度限值（颗粒物：10mg/m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r>
              <w:rPr>
                <w:rFonts w:hint="eastAsia" w:cs="Times New Roman"/>
                <w:color w:val="auto"/>
                <w:szCs w:val="21"/>
                <w:lang w:eastAsia="zh-CN"/>
              </w:rPr>
              <w:t>；</w:t>
            </w:r>
            <w:r>
              <w:rPr>
                <w:rFonts w:hint="default" w:ascii="Times New Roman" w:hAnsi="Times New Roman" w:cs="Times New Roman"/>
                <w:color w:val="auto"/>
                <w:szCs w:val="21"/>
              </w:rPr>
              <w:t>投料过程中集气罩未收集的粉尘，</w:t>
            </w:r>
            <w:r>
              <w:rPr>
                <w:rFonts w:hint="eastAsia" w:cs="Times New Roman"/>
                <w:color w:val="auto"/>
                <w:szCs w:val="21"/>
                <w:lang w:val="en-US" w:eastAsia="zh-CN"/>
              </w:rPr>
              <w:t>无组织排放</w:t>
            </w:r>
            <w:r>
              <w:rPr>
                <w:rFonts w:hint="default" w:ascii="Times New Roman" w:hAnsi="Times New Roman" w:cs="Times New Roman"/>
                <w:color w:val="auto"/>
                <w:szCs w:val="21"/>
              </w:rPr>
              <w:t>，</w:t>
            </w:r>
            <w:r>
              <w:rPr>
                <w:rFonts w:hint="eastAsia" w:cs="Times New Roman"/>
                <w:color w:val="auto"/>
                <w:szCs w:val="21"/>
                <w:lang w:val="en-US" w:eastAsia="zh-CN"/>
              </w:rPr>
              <w:t>排放浓度</w:t>
            </w:r>
            <w:r>
              <w:rPr>
                <w:rFonts w:hint="default" w:ascii="Times New Roman" w:hAnsi="Times New Roman" w:cs="Times New Roman"/>
                <w:color w:val="auto"/>
                <w:szCs w:val="21"/>
              </w:rPr>
              <w:t>可以满足《大气污染物综合排放标准》（GB16297-1996）中颗粒物无组织排放要求（1.0mg/m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bCs/>
                <w:szCs w:val="21"/>
              </w:rPr>
              <w:t>所有废气经过合理的收集处理后，对周围的环境影响较小。</w:t>
            </w:r>
          </w:p>
          <w:p>
            <w:pPr>
              <w:spacing w:line="360" w:lineRule="auto"/>
              <w:ind w:firstLine="422" w:firstLineChars="200"/>
              <w:rPr>
                <w:rFonts w:hint="default" w:ascii="Times New Roman" w:hAnsi="Times New Roman" w:cs="Times New Roman"/>
                <w:b/>
                <w:szCs w:val="21"/>
              </w:rPr>
            </w:pPr>
            <w:r>
              <w:rPr>
                <w:rFonts w:hint="default" w:ascii="Times New Roman" w:hAnsi="Times New Roman" w:cs="Times New Roman"/>
                <w:b/>
                <w:szCs w:val="21"/>
              </w:rPr>
              <w:t>2.废水</w:t>
            </w:r>
          </w:p>
          <w:p>
            <w:pPr>
              <w:spacing w:line="360" w:lineRule="auto"/>
              <w:ind w:firstLine="420" w:firstLineChars="200"/>
              <w:rPr>
                <w:rFonts w:hint="default" w:ascii="Times New Roman" w:hAnsi="Times New Roman" w:cs="Times New Roman"/>
                <w:color w:val="auto"/>
              </w:rPr>
            </w:pPr>
            <w:r>
              <w:rPr>
                <w:rFonts w:hint="default" w:ascii="Times New Roman" w:hAnsi="Times New Roman" w:cs="Times New Roman"/>
                <w:color w:val="auto"/>
                <w:szCs w:val="21"/>
              </w:rPr>
              <w:t>项目废水主要为职工生活污水</w:t>
            </w:r>
            <w:r>
              <w:rPr>
                <w:rFonts w:hint="default" w:ascii="Times New Roman" w:hAnsi="Times New Roman" w:cs="Times New Roman"/>
                <w:bCs/>
                <w:color w:val="auto"/>
                <w:szCs w:val="21"/>
              </w:rPr>
              <w:t>。生活污水进入厂区化粪池处理后定期由环卫部门定期清运</w:t>
            </w:r>
            <w:r>
              <w:rPr>
                <w:rFonts w:hint="default" w:ascii="Times New Roman" w:hAnsi="Times New Roman" w:cs="Times New Roman"/>
                <w:snapToGrid w:val="0"/>
                <w:color w:val="auto"/>
                <w:kern w:val="0"/>
                <w:szCs w:val="21"/>
                <w:lang w:val="en-US" w:eastAsia="zh-CN"/>
              </w:rPr>
              <w:t>。</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kern w:val="0"/>
                <w:szCs w:val="21"/>
              </w:rPr>
              <w:t>综上，本项目废水对周围环境影响很小。</w:t>
            </w:r>
          </w:p>
          <w:p>
            <w:pPr>
              <w:pStyle w:val="13"/>
              <w:numPr>
                <w:ilvl w:val="0"/>
                <w:numId w:val="0"/>
              </w:numPr>
              <w:spacing w:line="360" w:lineRule="auto"/>
              <w:ind w:firstLine="422" w:firstLineChars="200"/>
              <w:rPr>
                <w:rFonts w:hint="default" w:ascii="Times New Roman" w:hAnsi="Times New Roman" w:cs="Times New Roman"/>
                <w:szCs w:val="21"/>
              </w:rPr>
            </w:pPr>
            <w:r>
              <w:rPr>
                <w:rFonts w:hint="default" w:ascii="Times New Roman" w:hAnsi="Times New Roman" w:cs="Times New Roman"/>
                <w:b/>
                <w:szCs w:val="21"/>
              </w:rPr>
              <w:t>3.噪声</w:t>
            </w:r>
          </w:p>
          <w:p>
            <w:pPr>
              <w:spacing w:line="360" w:lineRule="auto"/>
              <w:ind w:firstLine="480"/>
              <w:rPr>
                <w:rFonts w:hint="default" w:ascii="Times New Roman" w:hAnsi="Times New Roman" w:cs="Times New Roman"/>
                <w:szCs w:val="21"/>
              </w:rPr>
            </w:pPr>
            <w:r>
              <w:rPr>
                <w:rFonts w:hint="default" w:ascii="Times New Roman" w:hAnsi="Times New Roman" w:cs="Times New Roman"/>
                <w:szCs w:val="21"/>
              </w:rPr>
              <w:t>本项目噪声源主要为设备产生的噪声。噪声源强在65~95dB(A)之间。主要噪声源为</w:t>
            </w:r>
            <w:r>
              <w:rPr>
                <w:rFonts w:hint="eastAsia" w:cs="Times New Roman"/>
                <w:szCs w:val="21"/>
                <w:lang w:val="en-US" w:eastAsia="zh-CN"/>
              </w:rPr>
              <w:t>混料</w:t>
            </w:r>
            <w:r>
              <w:rPr>
                <w:rFonts w:hint="default" w:ascii="Times New Roman" w:hAnsi="Times New Roman" w:cs="Times New Roman"/>
                <w:szCs w:val="21"/>
              </w:rPr>
              <w:t>机、</w:t>
            </w:r>
            <w:r>
              <w:rPr>
                <w:rFonts w:hint="eastAsia" w:cs="Times New Roman"/>
                <w:szCs w:val="21"/>
                <w:lang w:val="en-US" w:eastAsia="zh-CN"/>
              </w:rPr>
              <w:t>压片</w:t>
            </w:r>
            <w:r>
              <w:rPr>
                <w:rFonts w:hint="default" w:ascii="Times New Roman" w:hAnsi="Times New Roman" w:cs="Times New Roman"/>
                <w:szCs w:val="21"/>
              </w:rPr>
              <w:t>机、</w:t>
            </w:r>
            <w:r>
              <w:rPr>
                <w:rFonts w:hint="eastAsia" w:cs="Times New Roman"/>
                <w:szCs w:val="21"/>
                <w:lang w:val="en-US" w:eastAsia="zh-CN"/>
              </w:rPr>
              <w:t>包衣</w:t>
            </w:r>
            <w:r>
              <w:rPr>
                <w:rFonts w:hint="default" w:ascii="Times New Roman" w:hAnsi="Times New Roman" w:cs="Times New Roman"/>
                <w:szCs w:val="21"/>
              </w:rPr>
              <w:t>机、</w:t>
            </w:r>
            <w:r>
              <w:rPr>
                <w:rFonts w:hint="eastAsia" w:cs="Times New Roman"/>
                <w:szCs w:val="21"/>
                <w:lang w:val="en-US" w:eastAsia="zh-CN"/>
              </w:rPr>
              <w:t>装瓶</w:t>
            </w:r>
            <w:r>
              <w:rPr>
                <w:rFonts w:hint="default" w:ascii="Times New Roman" w:hAnsi="Times New Roman" w:cs="Times New Roman"/>
                <w:szCs w:val="21"/>
              </w:rPr>
              <w:t>机</w:t>
            </w:r>
            <w:r>
              <w:rPr>
                <w:rFonts w:hint="eastAsia" w:cs="Times New Roman"/>
                <w:szCs w:val="21"/>
                <w:lang w:eastAsia="zh-CN"/>
              </w:rPr>
              <w:t>、</w:t>
            </w:r>
            <w:r>
              <w:rPr>
                <w:rFonts w:hint="eastAsia" w:cs="Times New Roman"/>
                <w:szCs w:val="21"/>
                <w:lang w:val="en-US" w:eastAsia="zh-CN"/>
              </w:rPr>
              <w:t>包装机、风机</w:t>
            </w:r>
            <w:r>
              <w:rPr>
                <w:rFonts w:hint="default" w:ascii="Times New Roman" w:hAnsi="Times New Roman" w:cs="Times New Roman"/>
                <w:szCs w:val="21"/>
              </w:rPr>
              <w:t>等设备运行产生的机械噪声。项目噪声源强见下表。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szCs w:val="21"/>
              </w:rPr>
            </w:pPr>
            <w:r>
              <w:rPr>
                <w:rFonts w:hint="default" w:ascii="Times New Roman" w:hAnsi="Times New Roman" w:cs="Times New Roman"/>
                <w:b/>
                <w:szCs w:val="21"/>
              </w:rPr>
              <w:t>表</w:t>
            </w:r>
            <w:r>
              <w:rPr>
                <w:rFonts w:hint="eastAsia" w:cs="Times New Roman"/>
                <w:b/>
                <w:szCs w:val="21"/>
                <w:lang w:val="en-US" w:eastAsia="zh-CN"/>
              </w:rPr>
              <w:t>19</w:t>
            </w:r>
            <w:r>
              <w:rPr>
                <w:rFonts w:hint="default" w:ascii="Times New Roman" w:hAnsi="Times New Roman" w:cs="Times New Roman"/>
                <w:b/>
                <w:szCs w:val="21"/>
              </w:rPr>
              <w:t xml:space="preserve">  本项目主要高噪声设备一览表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2"/>
              <w:gridCol w:w="937"/>
              <w:gridCol w:w="1057"/>
              <w:gridCol w:w="744"/>
              <w:gridCol w:w="810"/>
              <w:gridCol w:w="1290"/>
              <w:gridCol w:w="645"/>
              <w:gridCol w:w="600"/>
              <w:gridCol w:w="570"/>
              <w:gridCol w:w="6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2"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937"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噪声源</w:t>
                  </w:r>
                </w:p>
              </w:tc>
              <w:tc>
                <w:tcPr>
                  <w:tcW w:w="1057"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声级dB（A）</w:t>
                  </w:r>
                </w:p>
              </w:tc>
              <w:tc>
                <w:tcPr>
                  <w:tcW w:w="744"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工作时间</w:t>
                  </w:r>
                </w:p>
              </w:tc>
              <w:tc>
                <w:tcPr>
                  <w:tcW w:w="810"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控制措施</w:t>
                  </w:r>
                </w:p>
              </w:tc>
              <w:tc>
                <w:tcPr>
                  <w:tcW w:w="1290"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降噪后声级dB（A）</w:t>
                  </w:r>
                </w:p>
              </w:tc>
              <w:tc>
                <w:tcPr>
                  <w:tcW w:w="2416" w:type="dxa"/>
                  <w:gridSpan w:val="4"/>
                  <w:tcBorders>
                    <w:bottom w:val="single" w:color="000000" w:sz="2" w:space="0"/>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与厂界距离（m）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2" w:type="dxa"/>
                  <w:vMerge w:val="continue"/>
                  <w:tcBorders>
                    <w:tl2br w:val="nil"/>
                    <w:tr2bl w:val="nil"/>
                  </w:tcBorders>
                  <w:vAlign w:val="center"/>
                </w:tcPr>
                <w:p>
                  <w:pPr>
                    <w:spacing w:line="240" w:lineRule="atLeast"/>
                    <w:jc w:val="center"/>
                    <w:rPr>
                      <w:rFonts w:hint="default" w:ascii="Times New Roman" w:hAnsi="Times New Roman" w:cs="Times New Roman"/>
                      <w:b/>
                      <w:bCs/>
                      <w:szCs w:val="21"/>
                    </w:rPr>
                  </w:pPr>
                </w:p>
              </w:tc>
              <w:tc>
                <w:tcPr>
                  <w:tcW w:w="937" w:type="dxa"/>
                  <w:vMerge w:val="continue"/>
                  <w:tcBorders>
                    <w:tl2br w:val="nil"/>
                    <w:tr2bl w:val="nil"/>
                  </w:tcBorders>
                  <w:vAlign w:val="center"/>
                </w:tcPr>
                <w:p>
                  <w:pPr>
                    <w:spacing w:line="240" w:lineRule="atLeast"/>
                    <w:jc w:val="center"/>
                    <w:rPr>
                      <w:rFonts w:hint="default" w:ascii="Times New Roman" w:hAnsi="Times New Roman" w:cs="Times New Roman"/>
                      <w:b/>
                      <w:bCs/>
                      <w:szCs w:val="21"/>
                    </w:rPr>
                  </w:pPr>
                </w:p>
              </w:tc>
              <w:tc>
                <w:tcPr>
                  <w:tcW w:w="1057" w:type="dxa"/>
                  <w:vMerge w:val="continue"/>
                  <w:tcBorders>
                    <w:tl2br w:val="nil"/>
                    <w:tr2bl w:val="nil"/>
                  </w:tcBorders>
                  <w:vAlign w:val="center"/>
                </w:tcPr>
                <w:p>
                  <w:pPr>
                    <w:spacing w:line="240" w:lineRule="atLeast"/>
                    <w:jc w:val="center"/>
                    <w:rPr>
                      <w:rFonts w:hint="default" w:ascii="Times New Roman" w:hAnsi="Times New Roman" w:cs="Times New Roman"/>
                      <w:b/>
                      <w:bCs/>
                      <w:szCs w:val="21"/>
                    </w:rPr>
                  </w:pPr>
                </w:p>
              </w:tc>
              <w:tc>
                <w:tcPr>
                  <w:tcW w:w="744" w:type="dxa"/>
                  <w:vMerge w:val="continue"/>
                  <w:tcBorders>
                    <w:tl2br w:val="nil"/>
                    <w:tr2bl w:val="nil"/>
                  </w:tcBorders>
                  <w:vAlign w:val="center"/>
                </w:tcPr>
                <w:p>
                  <w:pPr>
                    <w:spacing w:line="240" w:lineRule="atLeast"/>
                    <w:jc w:val="center"/>
                    <w:rPr>
                      <w:rFonts w:hint="default" w:ascii="Times New Roman" w:hAnsi="Times New Roman" w:cs="Times New Roman"/>
                      <w:b/>
                      <w:bCs/>
                      <w:szCs w:val="21"/>
                    </w:rPr>
                  </w:pPr>
                </w:p>
              </w:tc>
              <w:tc>
                <w:tcPr>
                  <w:tcW w:w="810" w:type="dxa"/>
                  <w:vMerge w:val="continue"/>
                  <w:tcBorders>
                    <w:tl2br w:val="nil"/>
                    <w:tr2bl w:val="nil"/>
                  </w:tcBorders>
                  <w:vAlign w:val="center"/>
                </w:tcPr>
                <w:p>
                  <w:pPr>
                    <w:spacing w:line="240" w:lineRule="atLeast"/>
                    <w:jc w:val="center"/>
                    <w:rPr>
                      <w:rFonts w:hint="default" w:ascii="Times New Roman" w:hAnsi="Times New Roman" w:cs="Times New Roman"/>
                      <w:b/>
                      <w:bCs/>
                      <w:szCs w:val="21"/>
                    </w:rPr>
                  </w:pPr>
                </w:p>
              </w:tc>
              <w:tc>
                <w:tcPr>
                  <w:tcW w:w="1290" w:type="dxa"/>
                  <w:vMerge w:val="continue"/>
                  <w:tcBorders>
                    <w:tl2br w:val="nil"/>
                    <w:tr2bl w:val="nil"/>
                  </w:tcBorders>
                  <w:vAlign w:val="center"/>
                </w:tcPr>
                <w:p>
                  <w:pPr>
                    <w:spacing w:line="240" w:lineRule="atLeast"/>
                    <w:jc w:val="center"/>
                    <w:rPr>
                      <w:rFonts w:hint="default" w:ascii="Times New Roman" w:hAnsi="Times New Roman" w:cs="Times New Roman"/>
                      <w:b/>
                      <w:bCs/>
                      <w:szCs w:val="21"/>
                    </w:rPr>
                  </w:pPr>
                </w:p>
              </w:tc>
              <w:tc>
                <w:tcPr>
                  <w:tcW w:w="645" w:type="dxa"/>
                  <w:tcBorders>
                    <w:top w:val="single" w:color="000000" w:sz="2" w:space="0"/>
                    <w:right w:val="single" w:color="000000" w:sz="2" w:space="0"/>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东</w:t>
                  </w:r>
                </w:p>
              </w:tc>
              <w:tc>
                <w:tcPr>
                  <w:tcW w:w="600" w:type="dxa"/>
                  <w:tcBorders>
                    <w:top w:val="single" w:color="000000" w:sz="2" w:space="0"/>
                    <w:left w:val="single" w:color="000000" w:sz="2" w:space="0"/>
                    <w:right w:val="single" w:color="000000" w:sz="2" w:space="0"/>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西</w:t>
                  </w:r>
                </w:p>
              </w:tc>
              <w:tc>
                <w:tcPr>
                  <w:tcW w:w="570" w:type="dxa"/>
                  <w:tcBorders>
                    <w:top w:val="single" w:color="000000" w:sz="2" w:space="0"/>
                    <w:left w:val="single" w:color="000000" w:sz="2" w:space="0"/>
                    <w:right w:val="single" w:color="000000" w:sz="2" w:space="0"/>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南</w:t>
                  </w:r>
                </w:p>
              </w:tc>
              <w:tc>
                <w:tcPr>
                  <w:tcW w:w="601" w:type="dxa"/>
                  <w:tcBorders>
                    <w:top w:val="single" w:color="000000" w:sz="2" w:space="0"/>
                    <w:left w:val="single" w:color="000000" w:sz="2" w:space="0"/>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2" w:type="dxa"/>
                  <w:tcBorders>
                    <w:tl2br w:val="nil"/>
                    <w:tr2bl w:val="nil"/>
                  </w:tcBorders>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1</w:t>
                  </w:r>
                </w:p>
              </w:tc>
              <w:tc>
                <w:tcPr>
                  <w:tcW w:w="937" w:type="dxa"/>
                  <w:tcBorders>
                    <w:tl2br w:val="nil"/>
                    <w:tr2bl w:val="nil"/>
                  </w:tcBorders>
                  <w:vAlign w:val="center"/>
                </w:tcPr>
                <w:p>
                  <w:pPr>
                    <w:jc w:val="center"/>
                    <w:rPr>
                      <w:rFonts w:hint="default" w:ascii="Times New Roman" w:hAnsi="Times New Roman" w:eastAsia="宋体" w:cs="Times New Roman"/>
                      <w:szCs w:val="21"/>
                      <w:lang w:eastAsia="zh-CN"/>
                    </w:rPr>
                  </w:pPr>
                  <w:r>
                    <w:rPr>
                      <w:rFonts w:hint="eastAsia" w:cs="Times New Roman"/>
                      <w:color w:val="auto"/>
                      <w:lang w:val="en-US" w:eastAsia="zh-CN"/>
                    </w:rPr>
                    <w:t>混料</w:t>
                  </w:r>
                  <w:r>
                    <w:rPr>
                      <w:rFonts w:hint="default" w:ascii="Times New Roman" w:hAnsi="Times New Roman" w:cs="Times New Roman"/>
                      <w:color w:val="auto"/>
                      <w:lang w:val="en-US" w:eastAsia="zh-CN"/>
                    </w:rPr>
                    <w:t>机</w:t>
                  </w:r>
                </w:p>
              </w:tc>
              <w:tc>
                <w:tcPr>
                  <w:tcW w:w="1057"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65~75</w:t>
                  </w:r>
                </w:p>
              </w:tc>
              <w:tc>
                <w:tcPr>
                  <w:tcW w:w="744"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300d，2400h</w:t>
                  </w:r>
                </w:p>
              </w:tc>
              <w:tc>
                <w:tcPr>
                  <w:tcW w:w="810" w:type="dxa"/>
                  <w:vMerge w:val="restart"/>
                  <w:tcBorders>
                    <w:tl2br w:val="nil"/>
                    <w:tr2bl w:val="nil"/>
                  </w:tcBorders>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隔音、减振</w:t>
                  </w:r>
                </w:p>
              </w:tc>
              <w:tc>
                <w:tcPr>
                  <w:tcW w:w="129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60~65</w:t>
                  </w:r>
                </w:p>
              </w:tc>
              <w:tc>
                <w:tcPr>
                  <w:tcW w:w="645" w:type="dxa"/>
                  <w:tcBorders>
                    <w:righ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30</w:t>
                  </w:r>
                </w:p>
              </w:tc>
              <w:tc>
                <w:tcPr>
                  <w:tcW w:w="600" w:type="dxa"/>
                  <w:tcBorders>
                    <w:left w:val="single" w:color="000000" w:sz="2" w:space="0"/>
                    <w:right w:val="single" w:color="000000" w:sz="2" w:space="0"/>
                    <w:tl2br w:val="nil"/>
                    <w:tr2bl w:val="nil"/>
                  </w:tcBorders>
                  <w:vAlign w:val="center"/>
                </w:tcPr>
                <w:p>
                  <w:pPr>
                    <w:jc w:val="center"/>
                    <w:rPr>
                      <w:rFonts w:hint="eastAsia" w:ascii="Times New Roman" w:hAnsi="Times New Roman" w:eastAsia="宋体" w:cs="Times New Roman"/>
                      <w:szCs w:val="21"/>
                      <w:lang w:eastAsia="zh-CN"/>
                    </w:rPr>
                  </w:pPr>
                  <w:r>
                    <w:rPr>
                      <w:rFonts w:hint="eastAsia" w:cs="Times New Roman"/>
                      <w:szCs w:val="21"/>
                      <w:lang w:val="en-US" w:eastAsia="zh-CN"/>
                    </w:rPr>
                    <w:t>5</w:t>
                  </w:r>
                </w:p>
              </w:tc>
              <w:tc>
                <w:tcPr>
                  <w:tcW w:w="570" w:type="dxa"/>
                  <w:tcBorders>
                    <w:left w:val="single" w:color="000000" w:sz="2" w:space="0"/>
                    <w:righ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90</w:t>
                  </w:r>
                </w:p>
              </w:tc>
              <w:tc>
                <w:tcPr>
                  <w:tcW w:w="601" w:type="dxa"/>
                  <w:tcBorders>
                    <w:left w:val="single" w:color="000000" w:sz="2" w:space="0"/>
                    <w:tl2br w:val="nil"/>
                    <w:tr2bl w:val="nil"/>
                  </w:tcBorders>
                  <w:vAlign w:val="center"/>
                </w:tcPr>
                <w:p>
                  <w:pPr>
                    <w:jc w:val="center"/>
                    <w:rPr>
                      <w:rFonts w:hint="eastAsia" w:ascii="Times New Roman" w:hAnsi="Times New Roman" w:eastAsia="宋体" w:cs="Times New Roman"/>
                      <w:szCs w:val="21"/>
                      <w:lang w:eastAsia="zh-CN"/>
                    </w:rPr>
                  </w:pPr>
                  <w:r>
                    <w:rPr>
                      <w:rFonts w:hint="eastAsia" w:cs="Times New Roman"/>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2" w:type="dxa"/>
                  <w:tcBorders>
                    <w:tl2br w:val="nil"/>
                    <w:tr2bl w:val="nil"/>
                  </w:tcBorders>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2</w:t>
                  </w:r>
                </w:p>
              </w:tc>
              <w:tc>
                <w:tcPr>
                  <w:tcW w:w="937" w:type="dxa"/>
                  <w:tcBorders>
                    <w:tl2br w:val="nil"/>
                    <w:tr2bl w:val="nil"/>
                  </w:tcBorders>
                  <w:vAlign w:val="center"/>
                </w:tcPr>
                <w:p>
                  <w:pPr>
                    <w:jc w:val="center"/>
                    <w:rPr>
                      <w:rFonts w:hint="default" w:ascii="Times New Roman" w:hAnsi="Times New Roman" w:cs="Times New Roman"/>
                    </w:rPr>
                  </w:pPr>
                  <w:r>
                    <w:rPr>
                      <w:rFonts w:hint="eastAsia" w:cs="Times New Roman"/>
                      <w:lang w:val="en-US" w:eastAsia="zh-CN"/>
                    </w:rPr>
                    <w:t>压片机</w:t>
                  </w:r>
                </w:p>
              </w:tc>
              <w:tc>
                <w:tcPr>
                  <w:tcW w:w="1057"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65~75</w:t>
                  </w:r>
                </w:p>
              </w:tc>
              <w:tc>
                <w:tcPr>
                  <w:tcW w:w="744" w:type="dxa"/>
                  <w:vMerge w:val="continue"/>
                  <w:tcBorders>
                    <w:tl2br w:val="nil"/>
                    <w:tr2bl w:val="nil"/>
                  </w:tcBorders>
                  <w:vAlign w:val="center"/>
                </w:tcPr>
                <w:p>
                  <w:pPr>
                    <w:jc w:val="center"/>
                    <w:rPr>
                      <w:rFonts w:hint="default" w:ascii="Times New Roman" w:hAnsi="Times New Roman" w:cs="Times New Roman"/>
                      <w:szCs w:val="21"/>
                    </w:rPr>
                  </w:pPr>
                </w:p>
              </w:tc>
              <w:tc>
                <w:tcPr>
                  <w:tcW w:w="810"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c>
                <w:tcPr>
                  <w:tcW w:w="129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60~65</w:t>
                  </w:r>
                </w:p>
              </w:tc>
              <w:tc>
                <w:tcPr>
                  <w:tcW w:w="645" w:type="dxa"/>
                  <w:tcBorders>
                    <w:righ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25</w:t>
                  </w:r>
                </w:p>
              </w:tc>
              <w:tc>
                <w:tcPr>
                  <w:tcW w:w="600" w:type="dxa"/>
                  <w:tcBorders>
                    <w:left w:val="single" w:color="000000" w:sz="2" w:space="0"/>
                    <w:right w:val="single" w:color="000000" w:sz="2" w:space="0"/>
                    <w:tl2br w:val="nil"/>
                    <w:tr2bl w:val="nil"/>
                  </w:tcBorders>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1</w:t>
                  </w:r>
                  <w:r>
                    <w:rPr>
                      <w:rFonts w:hint="eastAsia" w:cs="Times New Roman"/>
                      <w:szCs w:val="21"/>
                      <w:lang w:val="en-US" w:eastAsia="zh-CN"/>
                    </w:rPr>
                    <w:t>0</w:t>
                  </w:r>
                </w:p>
              </w:tc>
              <w:tc>
                <w:tcPr>
                  <w:tcW w:w="570" w:type="dxa"/>
                  <w:tcBorders>
                    <w:left w:val="single" w:color="000000" w:sz="2" w:space="0"/>
                    <w:right w:val="single" w:color="000000" w:sz="2" w:space="0"/>
                    <w:tl2br w:val="nil"/>
                    <w:tr2bl w:val="nil"/>
                  </w:tcBorders>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9</w:t>
                  </w:r>
                  <w:r>
                    <w:rPr>
                      <w:rFonts w:hint="eastAsia" w:cs="Times New Roman"/>
                      <w:szCs w:val="21"/>
                      <w:lang w:val="en-US" w:eastAsia="zh-CN"/>
                    </w:rPr>
                    <w:t>0</w:t>
                  </w:r>
                </w:p>
              </w:tc>
              <w:tc>
                <w:tcPr>
                  <w:tcW w:w="601" w:type="dxa"/>
                  <w:tcBorders>
                    <w:left w:val="single" w:color="000000" w:sz="2" w:space="0"/>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2" w:type="dxa"/>
                  <w:tcBorders>
                    <w:tl2br w:val="nil"/>
                    <w:tr2bl w:val="nil"/>
                  </w:tcBorders>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3</w:t>
                  </w:r>
                </w:p>
              </w:tc>
              <w:tc>
                <w:tcPr>
                  <w:tcW w:w="937" w:type="dxa"/>
                  <w:tcBorders>
                    <w:tl2br w:val="nil"/>
                    <w:tr2bl w:val="nil"/>
                  </w:tcBorders>
                  <w:vAlign w:val="center"/>
                </w:tcPr>
                <w:p>
                  <w:pPr>
                    <w:jc w:val="center"/>
                    <w:rPr>
                      <w:rFonts w:hint="default" w:ascii="Times New Roman" w:hAnsi="Times New Roman" w:cs="Times New Roman"/>
                    </w:rPr>
                  </w:pPr>
                  <w:r>
                    <w:rPr>
                      <w:rFonts w:hint="eastAsia" w:cs="Times New Roman"/>
                      <w:lang w:val="en-US" w:eastAsia="zh-CN"/>
                    </w:rPr>
                    <w:t>包衣</w:t>
                  </w:r>
                  <w:r>
                    <w:rPr>
                      <w:rFonts w:hint="default" w:ascii="Times New Roman" w:hAnsi="Times New Roman" w:cs="Times New Roman"/>
                    </w:rPr>
                    <w:t>机</w:t>
                  </w:r>
                </w:p>
              </w:tc>
              <w:tc>
                <w:tcPr>
                  <w:tcW w:w="1057"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65~75</w:t>
                  </w:r>
                </w:p>
              </w:tc>
              <w:tc>
                <w:tcPr>
                  <w:tcW w:w="744" w:type="dxa"/>
                  <w:vMerge w:val="continue"/>
                  <w:tcBorders>
                    <w:tl2br w:val="nil"/>
                    <w:tr2bl w:val="nil"/>
                  </w:tcBorders>
                  <w:vAlign w:val="center"/>
                </w:tcPr>
                <w:p>
                  <w:pPr>
                    <w:jc w:val="center"/>
                    <w:rPr>
                      <w:rFonts w:hint="default" w:ascii="Times New Roman" w:hAnsi="Times New Roman" w:cs="Times New Roman"/>
                      <w:szCs w:val="21"/>
                    </w:rPr>
                  </w:pPr>
                </w:p>
              </w:tc>
              <w:tc>
                <w:tcPr>
                  <w:tcW w:w="810"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c>
                <w:tcPr>
                  <w:tcW w:w="129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60~65</w:t>
                  </w:r>
                </w:p>
              </w:tc>
              <w:tc>
                <w:tcPr>
                  <w:tcW w:w="645" w:type="dxa"/>
                  <w:tcBorders>
                    <w:righ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20</w:t>
                  </w:r>
                </w:p>
              </w:tc>
              <w:tc>
                <w:tcPr>
                  <w:tcW w:w="600" w:type="dxa"/>
                  <w:tcBorders>
                    <w:left w:val="single" w:color="000000" w:sz="2" w:space="0"/>
                    <w:righ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15</w:t>
                  </w:r>
                </w:p>
              </w:tc>
              <w:tc>
                <w:tcPr>
                  <w:tcW w:w="570" w:type="dxa"/>
                  <w:tcBorders>
                    <w:left w:val="single" w:color="000000" w:sz="2" w:space="0"/>
                    <w:right w:val="single" w:color="000000" w:sz="2" w:space="0"/>
                    <w:tl2br w:val="nil"/>
                    <w:tr2bl w:val="nil"/>
                  </w:tcBorders>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9</w:t>
                  </w:r>
                  <w:r>
                    <w:rPr>
                      <w:rFonts w:hint="eastAsia" w:cs="Times New Roman"/>
                      <w:szCs w:val="21"/>
                      <w:lang w:val="en-US" w:eastAsia="zh-CN"/>
                    </w:rPr>
                    <w:t>0</w:t>
                  </w:r>
                </w:p>
              </w:tc>
              <w:tc>
                <w:tcPr>
                  <w:tcW w:w="601" w:type="dxa"/>
                  <w:tcBorders>
                    <w:left w:val="single" w:color="000000" w:sz="2" w:space="0"/>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2" w:type="dxa"/>
                  <w:tcBorders>
                    <w:tl2br w:val="nil"/>
                    <w:tr2bl w:val="nil"/>
                  </w:tcBorders>
                  <w:vAlign w:val="center"/>
                </w:tcPr>
                <w:p>
                  <w:pPr>
                    <w:spacing w:line="240" w:lineRule="atLeast"/>
                    <w:jc w:val="center"/>
                    <w:rPr>
                      <w:rFonts w:hint="eastAsia" w:ascii="Times New Roman" w:hAnsi="Times New Roman" w:eastAsia="宋体" w:cs="Times New Roman"/>
                      <w:szCs w:val="21"/>
                      <w:lang w:val="en-US" w:eastAsia="zh-CN"/>
                    </w:rPr>
                  </w:pPr>
                  <w:r>
                    <w:rPr>
                      <w:rFonts w:hint="eastAsia" w:cs="Times New Roman"/>
                      <w:szCs w:val="21"/>
                      <w:lang w:val="en-US" w:eastAsia="zh-CN"/>
                    </w:rPr>
                    <w:t>4</w:t>
                  </w:r>
                </w:p>
              </w:tc>
              <w:tc>
                <w:tcPr>
                  <w:tcW w:w="937" w:type="dxa"/>
                  <w:tcBorders>
                    <w:tl2br w:val="nil"/>
                    <w:tr2bl w:val="nil"/>
                  </w:tcBorders>
                  <w:vAlign w:val="center"/>
                </w:tcPr>
                <w:p>
                  <w:pPr>
                    <w:jc w:val="center"/>
                    <w:rPr>
                      <w:rFonts w:hint="default" w:cs="Times New Roman"/>
                      <w:lang w:val="en-US" w:eastAsia="zh-CN"/>
                    </w:rPr>
                  </w:pPr>
                  <w:r>
                    <w:rPr>
                      <w:rFonts w:hint="eastAsia" w:cs="Times New Roman"/>
                      <w:lang w:val="en-US" w:eastAsia="zh-CN"/>
                    </w:rPr>
                    <w:t>装瓶机</w:t>
                  </w:r>
                </w:p>
              </w:tc>
              <w:tc>
                <w:tcPr>
                  <w:tcW w:w="1057"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65~75</w:t>
                  </w:r>
                </w:p>
              </w:tc>
              <w:tc>
                <w:tcPr>
                  <w:tcW w:w="744" w:type="dxa"/>
                  <w:vMerge w:val="continue"/>
                  <w:tcBorders>
                    <w:tl2br w:val="nil"/>
                    <w:tr2bl w:val="nil"/>
                  </w:tcBorders>
                  <w:vAlign w:val="center"/>
                </w:tcPr>
                <w:p>
                  <w:pPr>
                    <w:jc w:val="center"/>
                    <w:rPr>
                      <w:rFonts w:hint="default" w:ascii="Times New Roman" w:hAnsi="Times New Roman" w:cs="Times New Roman"/>
                      <w:szCs w:val="21"/>
                    </w:rPr>
                  </w:pPr>
                </w:p>
              </w:tc>
              <w:tc>
                <w:tcPr>
                  <w:tcW w:w="810"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c>
                <w:tcPr>
                  <w:tcW w:w="129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60~65</w:t>
                  </w:r>
                </w:p>
              </w:tc>
              <w:tc>
                <w:tcPr>
                  <w:tcW w:w="645" w:type="dxa"/>
                  <w:tcBorders>
                    <w:righ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15</w:t>
                  </w:r>
                </w:p>
              </w:tc>
              <w:tc>
                <w:tcPr>
                  <w:tcW w:w="600" w:type="dxa"/>
                  <w:tcBorders>
                    <w:left w:val="single" w:color="000000" w:sz="2" w:space="0"/>
                    <w:righ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20</w:t>
                  </w:r>
                </w:p>
              </w:tc>
              <w:tc>
                <w:tcPr>
                  <w:tcW w:w="570" w:type="dxa"/>
                  <w:tcBorders>
                    <w:left w:val="single" w:color="000000" w:sz="2" w:space="0"/>
                    <w:righ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90</w:t>
                  </w:r>
                </w:p>
              </w:tc>
              <w:tc>
                <w:tcPr>
                  <w:tcW w:w="601" w:type="dxa"/>
                  <w:tcBorders>
                    <w:left w:val="single" w:color="000000" w:sz="2" w:space="0"/>
                    <w:tl2br w:val="nil"/>
                    <w:tr2bl w:val="nil"/>
                  </w:tcBorders>
                  <w:vAlign w:val="center"/>
                </w:tcPr>
                <w:p>
                  <w:pPr>
                    <w:jc w:val="center"/>
                    <w:rPr>
                      <w:rFonts w:hint="eastAsia" w:ascii="Times New Roman" w:hAnsi="Times New Roman" w:eastAsia="宋体" w:cs="Times New Roman"/>
                      <w:szCs w:val="21"/>
                      <w:lang w:val="en-US" w:eastAsia="zh-CN"/>
                    </w:rPr>
                  </w:pPr>
                  <w:r>
                    <w:rPr>
                      <w:rFonts w:hint="eastAsia" w:cs="Times New Roman"/>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2" w:type="dxa"/>
                  <w:tcBorders>
                    <w:tl2br w:val="nil"/>
                    <w:tr2bl w:val="nil"/>
                  </w:tcBorders>
                  <w:vAlign w:val="center"/>
                </w:tcPr>
                <w:p>
                  <w:pPr>
                    <w:spacing w:line="240" w:lineRule="atLeast"/>
                    <w:jc w:val="center"/>
                    <w:rPr>
                      <w:rFonts w:hint="eastAsia" w:ascii="Times New Roman" w:hAnsi="Times New Roman" w:eastAsia="宋体" w:cs="Times New Roman"/>
                      <w:szCs w:val="21"/>
                      <w:lang w:val="en-US" w:eastAsia="zh-CN"/>
                    </w:rPr>
                  </w:pPr>
                  <w:r>
                    <w:rPr>
                      <w:rFonts w:hint="eastAsia" w:cs="Times New Roman"/>
                      <w:szCs w:val="21"/>
                      <w:lang w:val="en-US" w:eastAsia="zh-CN"/>
                    </w:rPr>
                    <w:t>5</w:t>
                  </w:r>
                </w:p>
              </w:tc>
              <w:tc>
                <w:tcPr>
                  <w:tcW w:w="937" w:type="dxa"/>
                  <w:tcBorders>
                    <w:tl2br w:val="nil"/>
                    <w:tr2bl w:val="nil"/>
                  </w:tcBorders>
                  <w:vAlign w:val="center"/>
                </w:tcPr>
                <w:p>
                  <w:pPr>
                    <w:jc w:val="center"/>
                    <w:rPr>
                      <w:rFonts w:hint="default" w:cs="Times New Roman"/>
                      <w:lang w:val="en-US" w:eastAsia="zh-CN"/>
                    </w:rPr>
                  </w:pPr>
                  <w:r>
                    <w:rPr>
                      <w:rFonts w:hint="eastAsia" w:cs="Times New Roman"/>
                      <w:lang w:val="en-US" w:eastAsia="zh-CN"/>
                    </w:rPr>
                    <w:t>包装机</w:t>
                  </w:r>
                </w:p>
              </w:tc>
              <w:tc>
                <w:tcPr>
                  <w:tcW w:w="1057"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65~75</w:t>
                  </w:r>
                </w:p>
              </w:tc>
              <w:tc>
                <w:tcPr>
                  <w:tcW w:w="744" w:type="dxa"/>
                  <w:vMerge w:val="continue"/>
                  <w:tcBorders>
                    <w:tl2br w:val="nil"/>
                    <w:tr2bl w:val="nil"/>
                  </w:tcBorders>
                  <w:vAlign w:val="center"/>
                </w:tcPr>
                <w:p>
                  <w:pPr>
                    <w:jc w:val="center"/>
                    <w:rPr>
                      <w:rFonts w:hint="default" w:ascii="Times New Roman" w:hAnsi="Times New Roman" w:cs="Times New Roman"/>
                      <w:szCs w:val="21"/>
                    </w:rPr>
                  </w:pPr>
                </w:p>
              </w:tc>
              <w:tc>
                <w:tcPr>
                  <w:tcW w:w="810"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c>
                <w:tcPr>
                  <w:tcW w:w="129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60~65</w:t>
                  </w:r>
                </w:p>
              </w:tc>
              <w:tc>
                <w:tcPr>
                  <w:tcW w:w="645" w:type="dxa"/>
                  <w:tcBorders>
                    <w:righ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10</w:t>
                  </w:r>
                </w:p>
              </w:tc>
              <w:tc>
                <w:tcPr>
                  <w:tcW w:w="600" w:type="dxa"/>
                  <w:tcBorders>
                    <w:left w:val="single" w:color="000000" w:sz="2" w:space="0"/>
                    <w:righ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25</w:t>
                  </w:r>
                </w:p>
              </w:tc>
              <w:tc>
                <w:tcPr>
                  <w:tcW w:w="570" w:type="dxa"/>
                  <w:tcBorders>
                    <w:left w:val="single" w:color="000000" w:sz="2" w:space="0"/>
                    <w:righ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90</w:t>
                  </w:r>
                </w:p>
              </w:tc>
              <w:tc>
                <w:tcPr>
                  <w:tcW w:w="601" w:type="dxa"/>
                  <w:tcBorders>
                    <w:left w:val="single" w:color="000000" w:sz="2" w:space="0"/>
                    <w:tl2br w:val="nil"/>
                    <w:tr2bl w:val="nil"/>
                  </w:tcBorders>
                  <w:vAlign w:val="center"/>
                </w:tcPr>
                <w:p>
                  <w:pPr>
                    <w:jc w:val="center"/>
                    <w:rPr>
                      <w:rFonts w:hint="eastAsia" w:ascii="Times New Roman" w:hAnsi="Times New Roman" w:eastAsia="宋体" w:cs="Times New Roman"/>
                      <w:szCs w:val="21"/>
                      <w:lang w:val="en-US" w:eastAsia="zh-CN"/>
                    </w:rPr>
                  </w:pPr>
                  <w:r>
                    <w:rPr>
                      <w:rFonts w:hint="eastAsia" w:cs="Times New Roman"/>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2" w:type="dxa"/>
                  <w:tcBorders>
                    <w:tl2br w:val="nil"/>
                    <w:tr2bl w:val="nil"/>
                  </w:tcBorders>
                  <w:vAlign w:val="center"/>
                </w:tcPr>
                <w:p>
                  <w:pPr>
                    <w:spacing w:line="240" w:lineRule="atLeast"/>
                    <w:jc w:val="center"/>
                    <w:rPr>
                      <w:rFonts w:hint="eastAsia" w:ascii="Times New Roman" w:hAnsi="Times New Roman" w:eastAsia="宋体" w:cs="Times New Roman"/>
                      <w:szCs w:val="21"/>
                      <w:lang w:val="en-US" w:eastAsia="zh-CN"/>
                    </w:rPr>
                  </w:pPr>
                  <w:r>
                    <w:rPr>
                      <w:rFonts w:hint="eastAsia" w:cs="Times New Roman"/>
                      <w:szCs w:val="21"/>
                      <w:lang w:val="en-US" w:eastAsia="zh-CN"/>
                    </w:rPr>
                    <w:t>6</w:t>
                  </w:r>
                </w:p>
              </w:tc>
              <w:tc>
                <w:tcPr>
                  <w:tcW w:w="937" w:type="dxa"/>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风机</w:t>
                  </w:r>
                </w:p>
              </w:tc>
              <w:tc>
                <w:tcPr>
                  <w:tcW w:w="1057"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80~95</w:t>
                  </w:r>
                </w:p>
              </w:tc>
              <w:tc>
                <w:tcPr>
                  <w:tcW w:w="744" w:type="dxa"/>
                  <w:vMerge w:val="continue"/>
                  <w:tcBorders>
                    <w:tl2br w:val="nil"/>
                    <w:tr2bl w:val="nil"/>
                  </w:tcBorders>
                  <w:vAlign w:val="center"/>
                </w:tcPr>
                <w:p>
                  <w:pPr>
                    <w:jc w:val="center"/>
                    <w:rPr>
                      <w:rFonts w:hint="default" w:ascii="Times New Roman" w:hAnsi="Times New Roman" w:cs="Times New Roman"/>
                      <w:szCs w:val="21"/>
                    </w:rPr>
                  </w:pPr>
                </w:p>
              </w:tc>
              <w:tc>
                <w:tcPr>
                  <w:tcW w:w="810"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c>
                <w:tcPr>
                  <w:tcW w:w="129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70~85</w:t>
                  </w:r>
                </w:p>
              </w:tc>
              <w:tc>
                <w:tcPr>
                  <w:tcW w:w="645" w:type="dxa"/>
                  <w:tcBorders>
                    <w:right w:val="single" w:color="000000" w:sz="2" w:space="0"/>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00" w:type="dxa"/>
                  <w:tcBorders>
                    <w:left w:val="single" w:color="000000" w:sz="2" w:space="0"/>
                    <w:right w:val="single" w:color="000000" w:sz="2" w:space="0"/>
                    <w:tl2br w:val="nil"/>
                    <w:tr2bl w:val="nil"/>
                  </w:tcBorders>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4</w:t>
                  </w:r>
                  <w:r>
                    <w:rPr>
                      <w:rFonts w:hint="eastAsia" w:cs="Times New Roman"/>
                      <w:szCs w:val="21"/>
                      <w:lang w:val="en-US" w:eastAsia="zh-CN"/>
                    </w:rPr>
                    <w:t>0</w:t>
                  </w:r>
                </w:p>
              </w:tc>
              <w:tc>
                <w:tcPr>
                  <w:tcW w:w="570" w:type="dxa"/>
                  <w:tcBorders>
                    <w:left w:val="single" w:color="000000" w:sz="2" w:space="0"/>
                    <w:righ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80</w:t>
                  </w:r>
                </w:p>
              </w:tc>
              <w:tc>
                <w:tcPr>
                  <w:tcW w:w="601" w:type="dxa"/>
                  <w:tcBorders>
                    <w:left w:val="single" w:color="000000" w:sz="2" w:space="0"/>
                    <w:tl2br w:val="nil"/>
                    <w:tr2bl w:val="nil"/>
                  </w:tcBorders>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20</w:t>
                  </w:r>
                </w:p>
              </w:tc>
            </w:tr>
          </w:tbl>
          <w:p>
            <w:pPr>
              <w:adjustRightInd w:val="0"/>
              <w:snapToGrid w:val="0"/>
              <w:spacing w:before="120" w:beforeLines="50"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【防治措施】：为降低噪声、改善环境质量，建设单位拟采取隔声、减振等防治措施。</w:t>
            </w:r>
          </w:p>
          <w:p>
            <w:pPr>
              <w:adjustRightInd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1）在进行设备采购中，应尽量选择低噪声设备，配备必要的噪声治理设施；建筑上采取隔声措施，优先选用吸声性能较好的墙面材料，屋顶可设吸声吊顶。在结构设计中采用减振平顶，减振内壁和减振地板等措施。</w:t>
            </w:r>
          </w:p>
          <w:p>
            <w:pPr>
              <w:adjustRightInd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（2）合理规划布局，高噪声设备应远离厂界及声环境敏感保护目标。</w:t>
            </w:r>
          </w:p>
          <w:p>
            <w:pPr>
              <w:adjustRightInd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（3）保证设备处于良好的运转状态，并对主要噪声设备进一步采取减振、隔声、消声等降噪措施，确保噪声达标排放。</w:t>
            </w:r>
          </w:p>
          <w:p>
            <w:pPr>
              <w:adjustRightInd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（4）切实做好绿化，在厂界周围种植高大植物，削减厂界噪声排放，减轻噪声对周围环境的影响。</w:t>
            </w:r>
          </w:p>
          <w:p>
            <w:pPr>
              <w:keepNext w:val="0"/>
              <w:keepLines w:val="0"/>
              <w:pageBreakBefore w:val="0"/>
              <w:widowControl w:val="0"/>
              <w:kinsoku/>
              <w:wordWrap/>
              <w:overflowPunct/>
              <w:topLinePunct w:val="0"/>
              <w:autoSpaceDE w:val="0"/>
              <w:autoSpaceDN w:val="0"/>
              <w:bidi w:val="0"/>
              <w:spacing w:line="360" w:lineRule="auto"/>
              <w:ind w:firstLine="420" w:firstLineChars="200"/>
              <w:textAlignment w:val="auto"/>
              <w:rPr>
                <w:bCs/>
                <w:color w:val="auto"/>
                <w:kern w:val="0"/>
                <w:sz w:val="21"/>
                <w:szCs w:val="21"/>
              </w:rPr>
            </w:pPr>
            <w:r>
              <w:rPr>
                <w:rFonts w:hint="default"/>
                <w:bCs/>
                <w:color w:val="auto"/>
                <w:kern w:val="0"/>
                <w:sz w:val="21"/>
                <w:szCs w:val="21"/>
              </w:rPr>
              <w:t>本次评价采用《环境影响评价技术导则</w:t>
            </w:r>
            <w:r>
              <w:rPr>
                <w:rFonts w:hint="eastAsia"/>
                <w:bCs/>
                <w:color w:val="auto"/>
                <w:kern w:val="0"/>
                <w:sz w:val="21"/>
                <w:szCs w:val="21"/>
                <w:lang w:val="en-US" w:eastAsia="zh-CN"/>
              </w:rPr>
              <w:t>-</w:t>
            </w:r>
            <w:r>
              <w:rPr>
                <w:rFonts w:hint="default"/>
                <w:bCs/>
                <w:color w:val="auto"/>
                <w:kern w:val="0"/>
                <w:sz w:val="21"/>
                <w:szCs w:val="21"/>
              </w:rPr>
              <w:t>声环境》</w:t>
            </w:r>
            <w:r>
              <w:rPr>
                <w:rFonts w:hint="eastAsia"/>
                <w:bCs/>
                <w:color w:val="auto"/>
                <w:kern w:val="0"/>
                <w:sz w:val="21"/>
                <w:szCs w:val="21"/>
                <w:lang w:eastAsia="zh-CN"/>
              </w:rPr>
              <w:t>（</w:t>
            </w:r>
            <w:r>
              <w:rPr>
                <w:rFonts w:hint="default"/>
                <w:bCs/>
                <w:color w:val="auto"/>
                <w:kern w:val="0"/>
                <w:sz w:val="21"/>
                <w:szCs w:val="21"/>
                <w:lang w:eastAsia="zh-CN"/>
              </w:rPr>
              <w:t>HJ2.4-2021</w:t>
            </w:r>
            <w:r>
              <w:rPr>
                <w:rFonts w:hint="eastAsia"/>
                <w:bCs/>
                <w:color w:val="auto"/>
                <w:kern w:val="0"/>
                <w:sz w:val="21"/>
                <w:szCs w:val="21"/>
                <w:lang w:eastAsia="zh-CN"/>
              </w:rPr>
              <w:t>）</w:t>
            </w:r>
            <w:r>
              <w:rPr>
                <w:rFonts w:hint="default"/>
                <w:bCs/>
                <w:color w:val="auto"/>
                <w:kern w:val="0"/>
                <w:sz w:val="21"/>
                <w:szCs w:val="21"/>
              </w:rPr>
              <w:t>中附录</w:t>
            </w:r>
            <w:r>
              <w:rPr>
                <w:rFonts w:hint="default"/>
                <w:bCs/>
                <w:color w:val="auto"/>
                <w:kern w:val="0"/>
                <w:sz w:val="21"/>
                <w:szCs w:val="21"/>
                <w:lang w:val="en-US" w:eastAsia="zh-CN"/>
              </w:rPr>
              <w:t>B</w:t>
            </w:r>
            <w:r>
              <w:rPr>
                <w:rFonts w:hint="default"/>
                <w:bCs/>
                <w:color w:val="auto"/>
                <w:kern w:val="0"/>
                <w:sz w:val="21"/>
                <w:szCs w:val="21"/>
              </w:rPr>
              <w:t>.1（工业噪声预测计算模式）进行预测，用A声级计算，模式如下：</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eastAsia="zh-CN"/>
              </w:rPr>
              <w:t>①</w:t>
            </w:r>
            <w:r>
              <w:rPr>
                <w:rFonts w:hint="default" w:ascii="Times New Roman" w:hAnsi="Times New Roman" w:cs="Times New Roman"/>
                <w:color w:val="auto"/>
                <w:kern w:val="0"/>
                <w:sz w:val="21"/>
                <w:szCs w:val="21"/>
              </w:rPr>
              <w:t>室外声源在预测点产生的声级计算基本公式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a）</w:t>
            </w:r>
            <w:r>
              <w:rPr>
                <w:rFonts w:hint="default" w:ascii="Times New Roman" w:hAnsi="Times New Roman" w:cs="Times New Roman"/>
                <w:color w:val="auto"/>
                <w:kern w:val="0"/>
                <w:sz w:val="21"/>
                <w:szCs w:val="21"/>
              </w:rPr>
              <w:t>在环境影响评价中，应根据声源功率级或参考位置处的</w:t>
            </w:r>
            <w:r>
              <w:rPr>
                <w:rFonts w:hint="default" w:ascii="Times New Roman" w:hAnsi="Times New Roman" w:cs="Times New Roman"/>
                <w:color w:val="auto"/>
                <w:kern w:val="0"/>
                <w:sz w:val="21"/>
                <w:szCs w:val="21"/>
                <w:lang w:val="en-US" w:eastAsia="zh-CN"/>
              </w:rPr>
              <w:t>声压级</w:t>
            </w:r>
            <w:r>
              <w:rPr>
                <w:rFonts w:hint="default" w:ascii="Times New Roman" w:hAnsi="Times New Roman" w:cs="Times New Roman"/>
                <w:color w:val="auto"/>
                <w:kern w:val="0"/>
                <w:sz w:val="21"/>
                <w:szCs w:val="21"/>
              </w:rPr>
              <w:t>、户外</w:t>
            </w:r>
            <w:r>
              <w:rPr>
                <w:rFonts w:hint="default" w:ascii="Times New Roman" w:hAnsi="Times New Roman" w:cs="Times New Roman"/>
                <w:color w:val="auto"/>
                <w:kern w:val="0"/>
                <w:sz w:val="21"/>
                <w:szCs w:val="21"/>
                <w:lang w:val="en-US" w:eastAsia="zh-CN"/>
              </w:rPr>
              <w:t>声</w:t>
            </w:r>
            <w:r>
              <w:rPr>
                <w:rFonts w:hint="default" w:ascii="Times New Roman" w:hAnsi="Times New Roman" w:cs="Times New Roman"/>
                <w:color w:val="auto"/>
                <w:kern w:val="0"/>
                <w:sz w:val="21"/>
                <w:szCs w:val="21"/>
              </w:rPr>
              <w:t>传播衰减</w:t>
            </w: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rPr>
              <w:t>计算预测点的声级</w:t>
            </w: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lang w:val="en-US" w:eastAsia="zh-CN"/>
              </w:rPr>
              <w:t>分别按</w:t>
            </w:r>
            <w:r>
              <w:rPr>
                <w:rFonts w:hint="default" w:ascii="Times New Roman" w:hAnsi="Times New Roman" w:cs="Times New Roman"/>
                <w:color w:val="auto"/>
                <w:kern w:val="0"/>
                <w:sz w:val="21"/>
                <w:szCs w:val="21"/>
              </w:rPr>
              <w:t>式（A.1）</w:t>
            </w:r>
            <w:r>
              <w:rPr>
                <w:rFonts w:hint="default" w:ascii="Times New Roman" w:hAnsi="Times New Roman" w:cs="Times New Roman"/>
                <w:color w:val="auto"/>
                <w:kern w:val="0"/>
                <w:sz w:val="21"/>
                <w:szCs w:val="21"/>
                <w:lang w:val="en-US" w:eastAsia="zh-CN"/>
              </w:rPr>
              <w:t>或式</w:t>
            </w:r>
            <w:r>
              <w:rPr>
                <w:rFonts w:hint="default" w:ascii="Times New Roman" w:hAnsi="Times New Roman" w:cs="Times New Roman"/>
                <w:color w:val="auto"/>
                <w:kern w:val="0"/>
                <w:sz w:val="21"/>
                <w:szCs w:val="21"/>
              </w:rPr>
              <w:t>（A.</w:t>
            </w:r>
            <w:r>
              <w:rPr>
                <w:rFonts w:hint="default" w:ascii="Times New Roman" w:hAnsi="Times New Roman" w:cs="Times New Roman"/>
                <w:color w:val="auto"/>
                <w:kern w:val="0"/>
                <w:sz w:val="21"/>
                <w:szCs w:val="21"/>
                <w:lang w:val="en-US" w:eastAsia="zh-CN"/>
              </w:rPr>
              <w:t>2</w:t>
            </w:r>
            <w:r>
              <w:rPr>
                <w:rFonts w:hint="default" w:ascii="Times New Roman" w:hAnsi="Times New Roman" w:cs="Times New Roman"/>
                <w:color w:val="auto"/>
                <w:kern w:val="0"/>
                <w:sz w:val="21"/>
                <w:szCs w:val="21"/>
              </w:rPr>
              <w:t>）计算</w:t>
            </w: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rPr>
              <w:t xml:space="preserve"> </w:t>
            </w:r>
          </w:p>
          <w:p>
            <w:pPr>
              <w:autoSpaceDE w:val="0"/>
              <w:autoSpaceDN w:val="0"/>
              <w:adjustRightInd w:val="0"/>
              <w:snapToGrid w:val="0"/>
              <w:spacing w:line="360" w:lineRule="auto"/>
              <w:rPr>
                <w:rFonts w:hint="default" w:ascii="Times New Roman" w:hAnsi="Times New Roman" w:cs="Times New Roman"/>
                <w:color w:val="auto"/>
                <w:kern w:val="0"/>
                <w:sz w:val="21"/>
                <w:szCs w:val="21"/>
                <w:lang w:val="pt-BR"/>
              </w:rPr>
            </w:pPr>
            <w:r>
              <w:rPr>
                <w:rFonts w:hint="default" w:ascii="Times New Roman" w:hAnsi="Times New Roman" w:cs="Times New Roman"/>
                <w:b/>
                <w:color w:val="auto"/>
                <w:kern w:val="0"/>
                <w:sz w:val="21"/>
                <w:szCs w:val="21"/>
              </w:rPr>
              <w:t xml:space="preserve">          </w:t>
            </w:r>
            <w:r>
              <w:rPr>
                <w:rFonts w:hint="default" w:ascii="Times New Roman" w:hAnsi="Times New Roman" w:cs="Times New Roman"/>
                <w:b/>
                <w:i/>
                <w:color w:val="auto"/>
                <w:kern w:val="0"/>
                <w:sz w:val="21"/>
                <w:szCs w:val="21"/>
              </w:rPr>
              <w:t xml:space="preserve"> </w:t>
            </w:r>
            <w:r>
              <w:rPr>
                <w:rFonts w:hint="default" w:ascii="Times New Roman" w:hAnsi="Times New Roman" w:cs="Times New Roman"/>
                <w:i/>
                <w:iCs/>
                <w:color w:val="auto"/>
                <w:sz w:val="21"/>
                <w:szCs w:val="21"/>
                <w:lang w:val="pt-BR"/>
              </w:rPr>
              <w:t>Lp</w:t>
            </w:r>
            <w:r>
              <w:rPr>
                <w:rFonts w:hint="default" w:ascii="Times New Roman" w:hAnsi="Times New Roman" w:cs="Times New Roman"/>
                <w:iCs/>
                <w:color w:val="auto"/>
                <w:sz w:val="21"/>
                <w:szCs w:val="21"/>
                <w:lang w:val="pt-BR"/>
              </w:rPr>
              <w:t>（r）</w:t>
            </w:r>
            <w:r>
              <w:rPr>
                <w:rFonts w:hint="default" w:ascii="Times New Roman" w:hAnsi="Times New Roman" w:cs="Times New Roman"/>
                <w:i/>
                <w:iCs/>
                <w:color w:val="auto"/>
                <w:sz w:val="21"/>
                <w:szCs w:val="21"/>
                <w:lang w:val="pt-BR"/>
              </w:rPr>
              <w:t>=Lw+Dc-</w:t>
            </w:r>
            <w:r>
              <w:rPr>
                <w:rFonts w:hint="default" w:ascii="Times New Roman" w:hAnsi="Times New Roman" w:cs="Times New Roman"/>
                <w:iCs/>
                <w:color w:val="auto"/>
                <w:sz w:val="21"/>
                <w:szCs w:val="21"/>
                <w:lang w:val="pt-BR"/>
              </w:rPr>
              <w:t>（</w:t>
            </w:r>
            <w:r>
              <w:rPr>
                <w:rFonts w:hint="default" w:ascii="Times New Roman" w:hAnsi="Times New Roman" w:cs="Times New Roman"/>
                <w:i/>
                <w:iCs/>
                <w:color w:val="auto"/>
                <w:kern w:val="0"/>
                <w:sz w:val="21"/>
                <w:szCs w:val="21"/>
                <w:lang w:val="pt-BR"/>
              </w:rPr>
              <w:t>A</w:t>
            </w:r>
            <w:r>
              <w:rPr>
                <w:rFonts w:hint="default" w:ascii="Times New Roman" w:hAnsi="Times New Roman" w:cs="Times New Roman"/>
                <w:i/>
                <w:iCs/>
                <w:color w:val="auto"/>
                <w:kern w:val="0"/>
                <w:sz w:val="21"/>
                <w:szCs w:val="21"/>
                <w:vertAlign w:val="subscript"/>
                <w:lang w:val="pt-BR"/>
              </w:rPr>
              <w:t>div+</w:t>
            </w:r>
            <w:r>
              <w:rPr>
                <w:rFonts w:hint="default" w:ascii="Times New Roman" w:hAnsi="Times New Roman" w:cs="Times New Roman"/>
                <w:i/>
                <w:iCs/>
                <w:color w:val="auto"/>
                <w:kern w:val="0"/>
                <w:sz w:val="21"/>
                <w:szCs w:val="21"/>
                <w:lang w:val="pt-BR"/>
              </w:rPr>
              <w:t>A</w:t>
            </w:r>
            <w:r>
              <w:rPr>
                <w:rFonts w:hint="default" w:ascii="Times New Roman" w:hAnsi="Times New Roman" w:cs="Times New Roman"/>
                <w:i/>
                <w:iCs/>
                <w:color w:val="auto"/>
                <w:kern w:val="0"/>
                <w:sz w:val="21"/>
                <w:szCs w:val="21"/>
                <w:vertAlign w:val="subscript"/>
                <w:lang w:val="pt-BR"/>
              </w:rPr>
              <w:t>atm+</w:t>
            </w:r>
            <w:r>
              <w:rPr>
                <w:rFonts w:hint="default" w:ascii="Times New Roman" w:hAnsi="Times New Roman" w:cs="Times New Roman"/>
                <w:i/>
                <w:iCs/>
                <w:color w:val="auto"/>
                <w:kern w:val="0"/>
                <w:sz w:val="21"/>
                <w:szCs w:val="21"/>
                <w:lang w:val="pt-BR"/>
              </w:rPr>
              <w:t>A</w:t>
            </w:r>
            <w:r>
              <w:rPr>
                <w:rFonts w:hint="default" w:ascii="Times New Roman" w:hAnsi="Times New Roman" w:cs="Times New Roman"/>
                <w:i/>
                <w:iCs/>
                <w:color w:val="auto"/>
                <w:kern w:val="0"/>
                <w:sz w:val="21"/>
                <w:szCs w:val="21"/>
                <w:vertAlign w:val="subscript"/>
                <w:lang w:val="pt-BR"/>
              </w:rPr>
              <w:t>gr+</w:t>
            </w:r>
            <w:r>
              <w:rPr>
                <w:rFonts w:hint="default" w:ascii="Times New Roman" w:hAnsi="Times New Roman" w:cs="Times New Roman"/>
                <w:i/>
                <w:iCs/>
                <w:color w:val="auto"/>
                <w:kern w:val="0"/>
                <w:sz w:val="21"/>
                <w:szCs w:val="21"/>
                <w:lang w:val="pt-BR"/>
              </w:rPr>
              <w:t>A</w:t>
            </w:r>
            <w:r>
              <w:rPr>
                <w:rFonts w:hint="default" w:ascii="Times New Roman" w:hAnsi="Times New Roman" w:cs="Times New Roman"/>
                <w:i/>
                <w:iCs/>
                <w:color w:val="auto"/>
                <w:kern w:val="0"/>
                <w:sz w:val="21"/>
                <w:szCs w:val="21"/>
                <w:vertAlign w:val="subscript"/>
                <w:lang w:val="pt-BR"/>
              </w:rPr>
              <w:t>bar+</w:t>
            </w:r>
            <w:r>
              <w:rPr>
                <w:rFonts w:hint="default" w:ascii="Times New Roman" w:hAnsi="Times New Roman" w:cs="Times New Roman"/>
                <w:i/>
                <w:iCs/>
                <w:color w:val="auto"/>
                <w:kern w:val="0"/>
                <w:sz w:val="21"/>
                <w:szCs w:val="21"/>
                <w:lang w:val="pt-BR"/>
              </w:rPr>
              <w:t>A</w:t>
            </w:r>
            <w:r>
              <w:rPr>
                <w:rFonts w:hint="default" w:ascii="Times New Roman" w:hAnsi="Times New Roman" w:cs="Times New Roman"/>
                <w:i/>
                <w:iCs/>
                <w:color w:val="auto"/>
                <w:kern w:val="0"/>
                <w:sz w:val="21"/>
                <w:szCs w:val="21"/>
                <w:vertAlign w:val="subscript"/>
                <w:lang w:val="pt-BR"/>
              </w:rPr>
              <w:t>mis</w:t>
            </w:r>
            <w:r>
              <w:rPr>
                <w:rFonts w:hint="default" w:ascii="Times New Roman" w:hAnsi="Times New Roman" w:cs="Times New Roman"/>
                <w:i/>
                <w:iCs/>
                <w:color w:val="auto"/>
                <w:kern w:val="0"/>
                <w:sz w:val="21"/>
                <w:szCs w:val="21"/>
                <w:vertAlign w:val="subscript"/>
                <w:lang w:val="en-US" w:eastAsia="zh-CN"/>
              </w:rPr>
              <w:t>c</w:t>
            </w:r>
            <w:r>
              <w:rPr>
                <w:rFonts w:hint="default" w:ascii="Times New Roman" w:hAnsi="Times New Roman" w:cs="Times New Roman"/>
                <w:iCs/>
                <w:color w:val="auto"/>
                <w:sz w:val="21"/>
                <w:szCs w:val="21"/>
                <w:lang w:val="pt-BR"/>
              </w:rPr>
              <w:t>）</w:t>
            </w:r>
            <w:r>
              <w:rPr>
                <w:rFonts w:hint="default" w:ascii="Times New Roman" w:hAnsi="Times New Roman" w:cs="Times New Roman"/>
                <w:i/>
                <w:iCs/>
                <w:color w:val="auto"/>
                <w:sz w:val="21"/>
                <w:szCs w:val="21"/>
                <w:lang w:val="pt-BR"/>
              </w:rPr>
              <w:t xml:space="preserve"> </w:t>
            </w:r>
            <w:r>
              <w:rPr>
                <w:rFonts w:hint="default" w:ascii="Times New Roman" w:hAnsi="Times New Roman" w:cs="Times New Roman"/>
                <w:iCs/>
                <w:color w:val="auto"/>
                <w:sz w:val="21"/>
                <w:szCs w:val="21"/>
                <w:lang w:val="pt-BR"/>
              </w:rPr>
              <w:t xml:space="preserve">                  </w:t>
            </w:r>
            <w:r>
              <w:rPr>
                <w:rFonts w:hint="default" w:ascii="Times New Roman" w:hAnsi="Times New Roman" w:cs="Times New Roman"/>
                <w:color w:val="auto"/>
                <w:kern w:val="0"/>
                <w:sz w:val="21"/>
                <w:szCs w:val="21"/>
                <w:lang w:val="pt-BR"/>
              </w:rPr>
              <w:t>（A.1）</w:t>
            </w:r>
          </w:p>
          <w:p>
            <w:pPr>
              <w:autoSpaceDE w:val="0"/>
              <w:autoSpaceDN w:val="0"/>
              <w:adjustRightInd w:val="0"/>
              <w:snapToGrid w:val="0"/>
              <w:spacing w:line="360" w:lineRule="auto"/>
              <w:ind w:firstLine="420" w:firstLineChars="200"/>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式中：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i/>
                <w:iCs/>
                <w:color w:val="auto"/>
                <w:kern w:val="0"/>
                <w:sz w:val="21"/>
                <w:szCs w:val="21"/>
              </w:rPr>
            </w:pPr>
            <w:r>
              <w:rPr>
                <w:rFonts w:hint="default" w:ascii="Times New Roman" w:hAnsi="Times New Roman" w:cs="Times New Roman"/>
                <w:i/>
                <w:iCs/>
                <w:color w:val="auto"/>
                <w:sz w:val="21"/>
                <w:szCs w:val="21"/>
                <w:lang w:val="pt-BR"/>
              </w:rPr>
              <w:t>Lp</w:t>
            </w:r>
            <w:r>
              <w:rPr>
                <w:rFonts w:hint="default" w:ascii="Times New Roman" w:hAnsi="Times New Roman" w:cs="Times New Roman"/>
                <w:iCs/>
                <w:color w:val="auto"/>
                <w:sz w:val="21"/>
                <w:szCs w:val="21"/>
                <w:lang w:val="pt-BR"/>
              </w:rPr>
              <w:t>（r）</w:t>
            </w:r>
            <w:r>
              <w:rPr>
                <w:rFonts w:hint="default" w:ascii="Times New Roman" w:hAnsi="Times New Roman" w:cs="Times New Roman"/>
                <w:color w:val="auto"/>
                <w:kern w:val="0"/>
                <w:sz w:val="21"/>
                <w:szCs w:val="21"/>
              </w:rPr>
              <w:t>—预测点处声压级，dB；</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w</w:t>
            </w:r>
            <w:r>
              <w:rPr>
                <w:rFonts w:hint="default" w:ascii="Times New Roman" w:hAnsi="Times New Roman" w:cs="Times New Roman"/>
                <w:color w:val="auto"/>
                <w:kern w:val="0"/>
                <w:sz w:val="21"/>
                <w:szCs w:val="21"/>
              </w:rPr>
              <w:t xml:space="preserve">—由点声源产生的声功率级（A计权或倍频带），dB；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Dc</w:t>
            </w:r>
            <w:r>
              <w:rPr>
                <w:rFonts w:hint="default" w:ascii="Times New Roman" w:hAnsi="Times New Roman" w:cs="Times New Roman"/>
                <w:color w:val="auto"/>
                <w:kern w:val="0"/>
                <w:sz w:val="21"/>
                <w:szCs w:val="21"/>
              </w:rPr>
              <w:t>—指向性校正，dB；它描述点声源的等效连续声压级与产生声功率级</w:t>
            </w: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w</w:t>
            </w:r>
            <w:r>
              <w:rPr>
                <w:rFonts w:hint="default" w:ascii="Times New Roman" w:hAnsi="Times New Roman" w:cs="Times New Roman"/>
                <w:color w:val="auto"/>
                <w:kern w:val="0"/>
                <w:sz w:val="21"/>
                <w:szCs w:val="21"/>
              </w:rPr>
              <w:t>的全向点声源在规定方向的级的偏差程度。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A</w:t>
            </w:r>
            <w:r>
              <w:rPr>
                <w:rFonts w:hint="default" w:ascii="Times New Roman" w:hAnsi="Times New Roman" w:cs="Times New Roman"/>
                <w:i/>
                <w:iCs/>
                <w:color w:val="auto"/>
                <w:kern w:val="0"/>
                <w:sz w:val="21"/>
                <w:szCs w:val="21"/>
                <w:vertAlign w:val="subscript"/>
              </w:rPr>
              <w:t>div</w:t>
            </w:r>
            <w:r>
              <w:rPr>
                <w:rFonts w:hint="default" w:ascii="Times New Roman" w:hAnsi="Times New Roman" w:cs="Times New Roman"/>
                <w:color w:val="auto"/>
                <w:kern w:val="0"/>
                <w:sz w:val="21"/>
                <w:szCs w:val="21"/>
              </w:rPr>
              <w:t xml:space="preserve">—几何发散引起的衰减，dB；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A</w:t>
            </w:r>
            <w:r>
              <w:rPr>
                <w:rFonts w:hint="default" w:ascii="Times New Roman" w:hAnsi="Times New Roman" w:cs="Times New Roman"/>
                <w:i/>
                <w:iCs/>
                <w:color w:val="auto"/>
                <w:kern w:val="0"/>
                <w:sz w:val="21"/>
                <w:szCs w:val="21"/>
                <w:vertAlign w:val="subscript"/>
              </w:rPr>
              <w:t>atm</w:t>
            </w:r>
            <w:r>
              <w:rPr>
                <w:rFonts w:hint="default" w:ascii="Times New Roman" w:hAnsi="Times New Roman" w:cs="Times New Roman"/>
                <w:color w:val="auto"/>
                <w:kern w:val="0"/>
                <w:sz w:val="21"/>
                <w:szCs w:val="21"/>
              </w:rPr>
              <w:t xml:space="preserve">—大气吸收引起的衰减，dB； </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A</w:t>
            </w:r>
            <w:r>
              <w:rPr>
                <w:rFonts w:hint="default" w:ascii="Times New Roman" w:hAnsi="Times New Roman" w:cs="Times New Roman"/>
                <w:i/>
                <w:iCs/>
                <w:color w:val="auto"/>
                <w:kern w:val="0"/>
                <w:sz w:val="21"/>
                <w:szCs w:val="21"/>
                <w:vertAlign w:val="subscript"/>
              </w:rPr>
              <w:t>gr</w:t>
            </w:r>
            <w:r>
              <w:rPr>
                <w:rFonts w:hint="default" w:ascii="Times New Roman" w:hAnsi="Times New Roman" w:cs="Times New Roman"/>
                <w:color w:val="auto"/>
                <w:kern w:val="0"/>
                <w:sz w:val="21"/>
                <w:szCs w:val="21"/>
              </w:rPr>
              <w:t>—地面效应引起的衰减，dB；</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A</w:t>
            </w:r>
            <w:r>
              <w:rPr>
                <w:rFonts w:hint="default" w:ascii="Times New Roman" w:hAnsi="Times New Roman" w:cs="Times New Roman"/>
                <w:i/>
                <w:iCs/>
                <w:color w:val="auto"/>
                <w:kern w:val="0"/>
                <w:sz w:val="21"/>
                <w:szCs w:val="21"/>
                <w:vertAlign w:val="subscript"/>
              </w:rPr>
              <w:t>bar</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val="en-US" w:eastAsia="zh-CN"/>
              </w:rPr>
              <w:t>障碍物屏蔽</w:t>
            </w:r>
            <w:r>
              <w:rPr>
                <w:rFonts w:hint="default" w:ascii="Times New Roman" w:hAnsi="Times New Roman" w:cs="Times New Roman"/>
                <w:color w:val="auto"/>
                <w:kern w:val="0"/>
                <w:sz w:val="21"/>
                <w:szCs w:val="21"/>
              </w:rPr>
              <w:t xml:space="preserve">引起的衰减，dB； </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A</w:t>
            </w:r>
            <w:r>
              <w:rPr>
                <w:rFonts w:hint="default" w:ascii="Times New Roman" w:hAnsi="Times New Roman" w:cs="Times New Roman"/>
                <w:i/>
                <w:iCs/>
                <w:color w:val="auto"/>
                <w:kern w:val="0"/>
                <w:sz w:val="21"/>
                <w:szCs w:val="21"/>
                <w:vertAlign w:val="subscript"/>
              </w:rPr>
              <w:t>misc</w:t>
            </w:r>
            <w:r>
              <w:rPr>
                <w:rFonts w:hint="default" w:ascii="Times New Roman" w:hAnsi="Times New Roman" w:cs="Times New Roman"/>
                <w:color w:val="auto"/>
                <w:kern w:val="0"/>
                <w:sz w:val="21"/>
                <w:szCs w:val="21"/>
              </w:rPr>
              <w:t>—其他多方面效应引起的衰减，dB。</w:t>
            </w:r>
          </w:p>
          <w:p>
            <w:pPr>
              <w:autoSpaceDE w:val="0"/>
              <w:autoSpaceDN w:val="0"/>
              <w:adjustRightInd w:val="0"/>
              <w:snapToGrid w:val="0"/>
              <w:spacing w:line="360" w:lineRule="auto"/>
              <w:ind w:firstLine="1265" w:firstLineChars="600"/>
              <w:rPr>
                <w:rFonts w:hint="default" w:ascii="Times New Roman" w:hAnsi="Times New Roman" w:cs="Times New Roman"/>
                <w:color w:val="auto"/>
                <w:kern w:val="0"/>
                <w:sz w:val="21"/>
                <w:szCs w:val="21"/>
                <w:lang w:val="pt-BR"/>
              </w:rPr>
            </w:pPr>
            <w:r>
              <w:rPr>
                <w:rFonts w:hint="default" w:ascii="Times New Roman" w:hAnsi="Times New Roman" w:cs="Times New Roman"/>
                <w:b/>
                <w:color w:val="auto"/>
                <w:kern w:val="0"/>
                <w:sz w:val="21"/>
                <w:szCs w:val="21"/>
              </w:rPr>
              <w:t xml:space="preserve"> </w:t>
            </w:r>
            <w:r>
              <w:rPr>
                <w:rFonts w:hint="default" w:ascii="Times New Roman" w:hAnsi="Times New Roman" w:cs="Times New Roman"/>
                <w:b/>
                <w:i/>
                <w:color w:val="auto"/>
                <w:kern w:val="0"/>
                <w:sz w:val="21"/>
                <w:szCs w:val="21"/>
              </w:rPr>
              <w:t xml:space="preserve"> </w:t>
            </w:r>
            <w:r>
              <w:rPr>
                <w:rFonts w:hint="default" w:ascii="Times New Roman" w:hAnsi="Times New Roman" w:cs="Times New Roman"/>
                <w:i/>
                <w:iCs/>
                <w:color w:val="auto"/>
                <w:sz w:val="21"/>
                <w:szCs w:val="21"/>
                <w:lang w:val="pt-BR"/>
              </w:rPr>
              <w:t>Lp</w:t>
            </w:r>
            <w:r>
              <w:rPr>
                <w:rFonts w:hint="default" w:ascii="Times New Roman" w:hAnsi="Times New Roman" w:cs="Times New Roman"/>
                <w:iCs/>
                <w:color w:val="auto"/>
                <w:sz w:val="21"/>
                <w:szCs w:val="21"/>
                <w:lang w:val="pt-BR"/>
              </w:rPr>
              <w:t>（r）</w:t>
            </w:r>
            <w:r>
              <w:rPr>
                <w:rFonts w:hint="default" w:ascii="Times New Roman" w:hAnsi="Times New Roman" w:cs="Times New Roman"/>
                <w:i/>
                <w:iCs/>
                <w:color w:val="auto"/>
                <w:sz w:val="21"/>
                <w:szCs w:val="21"/>
                <w:lang w:val="pt-BR"/>
              </w:rPr>
              <w:t>=</w:t>
            </w: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w:t>
            </w:r>
            <w:r>
              <w:rPr>
                <w:rFonts w:hint="default" w:ascii="Times New Roman" w:hAnsi="Times New Roman" w:cs="Times New Roman"/>
                <w:color w:val="auto"/>
                <w:kern w:val="0"/>
                <w:sz w:val="21"/>
                <w:szCs w:val="21"/>
              </w:rPr>
              <w:t>(</w:t>
            </w:r>
            <w:r>
              <w:rPr>
                <w:rFonts w:hint="default" w:ascii="Times New Roman" w:hAnsi="Times New Roman" w:cs="Times New Roman"/>
                <w:i/>
                <w:iCs/>
                <w:color w:val="auto"/>
                <w:kern w:val="0"/>
                <w:sz w:val="21"/>
                <w:szCs w:val="21"/>
              </w:rPr>
              <w:t>r</w:t>
            </w:r>
            <w:r>
              <w:rPr>
                <w:rFonts w:hint="default" w:ascii="Times New Roman" w:hAnsi="Times New Roman" w:cs="Times New Roman"/>
                <w:color w:val="auto"/>
                <w:kern w:val="0"/>
                <w:sz w:val="21"/>
                <w:szCs w:val="21"/>
                <w:vertAlign w:val="subscript"/>
              </w:rPr>
              <w:t>0</w:t>
            </w:r>
            <w:r>
              <w:rPr>
                <w:rFonts w:hint="default" w:ascii="Times New Roman" w:hAnsi="Times New Roman" w:cs="Times New Roman"/>
                <w:color w:val="auto"/>
                <w:kern w:val="0"/>
                <w:sz w:val="21"/>
                <w:szCs w:val="21"/>
              </w:rPr>
              <w:t>)</w:t>
            </w:r>
            <w:r>
              <w:rPr>
                <w:rFonts w:hint="default" w:ascii="Times New Roman" w:hAnsi="Times New Roman" w:cs="Times New Roman"/>
                <w:i/>
                <w:iCs/>
                <w:color w:val="auto"/>
                <w:sz w:val="21"/>
                <w:szCs w:val="21"/>
                <w:lang w:val="pt-BR"/>
              </w:rPr>
              <w:t>+Dc-</w:t>
            </w:r>
            <w:r>
              <w:rPr>
                <w:rFonts w:hint="default" w:ascii="Times New Roman" w:hAnsi="Times New Roman" w:cs="Times New Roman"/>
                <w:iCs/>
                <w:color w:val="auto"/>
                <w:sz w:val="21"/>
                <w:szCs w:val="21"/>
                <w:lang w:val="pt-BR"/>
              </w:rPr>
              <w:t>（</w:t>
            </w:r>
            <w:r>
              <w:rPr>
                <w:rFonts w:hint="default" w:ascii="Times New Roman" w:hAnsi="Times New Roman" w:cs="Times New Roman"/>
                <w:i/>
                <w:iCs/>
                <w:color w:val="auto"/>
                <w:kern w:val="0"/>
                <w:sz w:val="21"/>
                <w:szCs w:val="21"/>
                <w:lang w:val="pt-BR"/>
              </w:rPr>
              <w:t>A</w:t>
            </w:r>
            <w:r>
              <w:rPr>
                <w:rFonts w:hint="default" w:ascii="Times New Roman" w:hAnsi="Times New Roman" w:cs="Times New Roman"/>
                <w:i/>
                <w:iCs/>
                <w:color w:val="auto"/>
                <w:kern w:val="0"/>
                <w:sz w:val="21"/>
                <w:szCs w:val="21"/>
                <w:vertAlign w:val="subscript"/>
                <w:lang w:val="pt-BR"/>
              </w:rPr>
              <w:t>div+</w:t>
            </w:r>
            <w:r>
              <w:rPr>
                <w:rFonts w:hint="default" w:ascii="Times New Roman" w:hAnsi="Times New Roman" w:cs="Times New Roman"/>
                <w:i/>
                <w:iCs/>
                <w:color w:val="auto"/>
                <w:kern w:val="0"/>
                <w:sz w:val="21"/>
                <w:szCs w:val="21"/>
                <w:lang w:val="pt-BR"/>
              </w:rPr>
              <w:t>A</w:t>
            </w:r>
            <w:r>
              <w:rPr>
                <w:rFonts w:hint="default" w:ascii="Times New Roman" w:hAnsi="Times New Roman" w:cs="Times New Roman"/>
                <w:i/>
                <w:iCs/>
                <w:color w:val="auto"/>
                <w:kern w:val="0"/>
                <w:sz w:val="21"/>
                <w:szCs w:val="21"/>
                <w:vertAlign w:val="subscript"/>
                <w:lang w:val="pt-BR"/>
              </w:rPr>
              <w:t>atm+</w:t>
            </w:r>
            <w:r>
              <w:rPr>
                <w:rFonts w:hint="default" w:ascii="Times New Roman" w:hAnsi="Times New Roman" w:cs="Times New Roman"/>
                <w:i/>
                <w:iCs/>
                <w:color w:val="auto"/>
                <w:kern w:val="0"/>
                <w:sz w:val="21"/>
                <w:szCs w:val="21"/>
                <w:lang w:val="pt-BR"/>
              </w:rPr>
              <w:t>A</w:t>
            </w:r>
            <w:r>
              <w:rPr>
                <w:rFonts w:hint="default" w:ascii="Times New Roman" w:hAnsi="Times New Roman" w:cs="Times New Roman"/>
                <w:i/>
                <w:iCs/>
                <w:color w:val="auto"/>
                <w:kern w:val="0"/>
                <w:sz w:val="21"/>
                <w:szCs w:val="21"/>
                <w:vertAlign w:val="subscript"/>
                <w:lang w:val="pt-BR"/>
              </w:rPr>
              <w:t>gr+</w:t>
            </w:r>
            <w:r>
              <w:rPr>
                <w:rFonts w:hint="default" w:ascii="Times New Roman" w:hAnsi="Times New Roman" w:cs="Times New Roman"/>
                <w:i/>
                <w:iCs/>
                <w:color w:val="auto"/>
                <w:kern w:val="0"/>
                <w:sz w:val="21"/>
                <w:szCs w:val="21"/>
                <w:lang w:val="pt-BR"/>
              </w:rPr>
              <w:t>A</w:t>
            </w:r>
            <w:r>
              <w:rPr>
                <w:rFonts w:hint="default" w:ascii="Times New Roman" w:hAnsi="Times New Roman" w:cs="Times New Roman"/>
                <w:i/>
                <w:iCs/>
                <w:color w:val="auto"/>
                <w:kern w:val="0"/>
                <w:sz w:val="21"/>
                <w:szCs w:val="21"/>
                <w:vertAlign w:val="subscript"/>
                <w:lang w:val="pt-BR"/>
              </w:rPr>
              <w:t>bar+</w:t>
            </w:r>
            <w:r>
              <w:rPr>
                <w:rFonts w:hint="default" w:ascii="Times New Roman" w:hAnsi="Times New Roman" w:cs="Times New Roman"/>
                <w:i/>
                <w:iCs/>
                <w:color w:val="auto"/>
                <w:kern w:val="0"/>
                <w:sz w:val="21"/>
                <w:szCs w:val="21"/>
                <w:lang w:val="pt-BR"/>
              </w:rPr>
              <w:t>A</w:t>
            </w:r>
            <w:r>
              <w:rPr>
                <w:rFonts w:hint="default" w:ascii="Times New Roman" w:hAnsi="Times New Roman" w:cs="Times New Roman"/>
                <w:i/>
                <w:iCs/>
                <w:color w:val="auto"/>
                <w:kern w:val="0"/>
                <w:sz w:val="21"/>
                <w:szCs w:val="21"/>
                <w:vertAlign w:val="subscript"/>
                <w:lang w:val="pt-BR"/>
              </w:rPr>
              <w:t>mis</w:t>
            </w:r>
            <w:r>
              <w:rPr>
                <w:rFonts w:hint="default" w:ascii="Times New Roman" w:hAnsi="Times New Roman" w:cs="Times New Roman"/>
                <w:i/>
                <w:iCs/>
                <w:color w:val="auto"/>
                <w:kern w:val="0"/>
                <w:sz w:val="21"/>
                <w:szCs w:val="21"/>
                <w:vertAlign w:val="subscript"/>
                <w:lang w:val="en-US" w:eastAsia="zh-CN"/>
              </w:rPr>
              <w:t>c</w:t>
            </w:r>
            <w:r>
              <w:rPr>
                <w:rFonts w:hint="default" w:ascii="Times New Roman" w:hAnsi="Times New Roman" w:cs="Times New Roman"/>
                <w:iCs/>
                <w:color w:val="auto"/>
                <w:sz w:val="21"/>
                <w:szCs w:val="21"/>
                <w:lang w:val="pt-BR"/>
              </w:rPr>
              <w:t>）</w:t>
            </w:r>
            <w:r>
              <w:rPr>
                <w:rFonts w:hint="default" w:ascii="Times New Roman" w:hAnsi="Times New Roman" w:cs="Times New Roman"/>
                <w:i/>
                <w:iCs/>
                <w:color w:val="auto"/>
                <w:sz w:val="21"/>
                <w:szCs w:val="21"/>
                <w:lang w:val="pt-BR"/>
              </w:rPr>
              <w:t xml:space="preserve"> </w:t>
            </w:r>
            <w:r>
              <w:rPr>
                <w:rFonts w:hint="default" w:ascii="Times New Roman" w:hAnsi="Times New Roman" w:cs="Times New Roman"/>
                <w:iCs/>
                <w:color w:val="auto"/>
                <w:sz w:val="21"/>
                <w:szCs w:val="21"/>
                <w:lang w:val="pt-BR"/>
              </w:rPr>
              <w:t xml:space="preserve">                  </w:t>
            </w:r>
            <w:r>
              <w:rPr>
                <w:rFonts w:hint="default" w:ascii="Times New Roman" w:hAnsi="Times New Roman" w:cs="Times New Roman"/>
                <w:color w:val="auto"/>
                <w:kern w:val="0"/>
                <w:sz w:val="21"/>
                <w:szCs w:val="21"/>
                <w:lang w:val="pt-BR"/>
              </w:rPr>
              <w:t>（A.1）</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式中：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i/>
                <w:iCs/>
                <w:color w:val="auto"/>
                <w:kern w:val="0"/>
                <w:sz w:val="21"/>
                <w:szCs w:val="21"/>
              </w:rPr>
            </w:pPr>
            <w:r>
              <w:rPr>
                <w:rFonts w:hint="default" w:ascii="Times New Roman" w:hAnsi="Times New Roman" w:cs="Times New Roman"/>
                <w:i/>
                <w:iCs/>
                <w:color w:val="auto"/>
                <w:sz w:val="21"/>
                <w:szCs w:val="21"/>
                <w:lang w:val="pt-BR"/>
              </w:rPr>
              <w:t>Lp</w:t>
            </w:r>
            <w:r>
              <w:rPr>
                <w:rFonts w:hint="default" w:ascii="Times New Roman" w:hAnsi="Times New Roman" w:cs="Times New Roman"/>
                <w:iCs/>
                <w:color w:val="auto"/>
                <w:sz w:val="21"/>
                <w:szCs w:val="21"/>
                <w:lang w:val="pt-BR"/>
              </w:rPr>
              <w:t>（r）</w:t>
            </w:r>
            <w:r>
              <w:rPr>
                <w:rFonts w:hint="default" w:ascii="Times New Roman" w:hAnsi="Times New Roman" w:cs="Times New Roman"/>
                <w:color w:val="auto"/>
                <w:kern w:val="0"/>
                <w:sz w:val="21"/>
                <w:szCs w:val="21"/>
              </w:rPr>
              <w:t>—预测点处声压级，dB；</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w:t>
            </w:r>
            <w:r>
              <w:rPr>
                <w:rFonts w:hint="default" w:ascii="Times New Roman" w:hAnsi="Times New Roman" w:cs="Times New Roman"/>
                <w:color w:val="auto"/>
                <w:kern w:val="0"/>
                <w:sz w:val="21"/>
                <w:szCs w:val="21"/>
              </w:rPr>
              <w:t>(</w:t>
            </w:r>
            <w:r>
              <w:rPr>
                <w:rFonts w:hint="default" w:ascii="Times New Roman" w:hAnsi="Times New Roman" w:cs="Times New Roman"/>
                <w:i/>
                <w:iCs/>
                <w:color w:val="auto"/>
                <w:kern w:val="0"/>
                <w:sz w:val="21"/>
                <w:szCs w:val="21"/>
              </w:rPr>
              <w:t>r</w:t>
            </w:r>
            <w:r>
              <w:rPr>
                <w:rFonts w:hint="default" w:ascii="Times New Roman" w:hAnsi="Times New Roman" w:cs="Times New Roman"/>
                <w:color w:val="auto"/>
                <w:kern w:val="0"/>
                <w:sz w:val="21"/>
                <w:szCs w:val="21"/>
                <w:vertAlign w:val="subscript"/>
              </w:rPr>
              <w:t>0</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val="en-US" w:eastAsia="zh-CN"/>
              </w:rPr>
              <w:t>参考位置</w:t>
            </w:r>
            <w:r>
              <w:rPr>
                <w:rFonts w:hint="default" w:ascii="Times New Roman" w:hAnsi="Times New Roman" w:cs="Times New Roman"/>
                <w:i/>
                <w:iCs/>
                <w:color w:val="auto"/>
                <w:kern w:val="0"/>
                <w:sz w:val="21"/>
                <w:szCs w:val="21"/>
              </w:rPr>
              <w:t>r</w:t>
            </w:r>
            <w:r>
              <w:rPr>
                <w:rFonts w:hint="default" w:ascii="Times New Roman" w:hAnsi="Times New Roman" w:cs="Times New Roman"/>
                <w:color w:val="auto"/>
                <w:kern w:val="0"/>
                <w:sz w:val="21"/>
                <w:szCs w:val="21"/>
                <w:vertAlign w:val="subscript"/>
              </w:rPr>
              <w:t>0</w:t>
            </w:r>
            <w:r>
              <w:rPr>
                <w:rFonts w:hint="default" w:ascii="Times New Roman" w:hAnsi="Times New Roman" w:cs="Times New Roman"/>
                <w:color w:val="auto"/>
                <w:kern w:val="0"/>
                <w:sz w:val="21"/>
                <w:szCs w:val="21"/>
                <w:vertAlign w:val="baseline"/>
                <w:lang w:val="en-US" w:eastAsia="zh-CN"/>
              </w:rPr>
              <w:t>处的</w:t>
            </w:r>
            <w:r>
              <w:rPr>
                <w:rFonts w:hint="default" w:ascii="Times New Roman" w:hAnsi="Times New Roman" w:cs="Times New Roman"/>
                <w:color w:val="auto"/>
                <w:kern w:val="0"/>
                <w:sz w:val="21"/>
                <w:szCs w:val="21"/>
              </w:rPr>
              <w:t xml:space="preserve">声压级，dB；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Dc</w:t>
            </w:r>
            <w:r>
              <w:rPr>
                <w:rFonts w:hint="default" w:ascii="Times New Roman" w:hAnsi="Times New Roman" w:cs="Times New Roman"/>
                <w:color w:val="auto"/>
                <w:kern w:val="0"/>
                <w:sz w:val="21"/>
                <w:szCs w:val="21"/>
              </w:rPr>
              <w:t>—指向性校正，dB；它描述点声源的等效连续声压级与产生声功率级</w:t>
            </w: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w</w:t>
            </w:r>
            <w:r>
              <w:rPr>
                <w:rFonts w:hint="default" w:ascii="Times New Roman" w:hAnsi="Times New Roman" w:cs="Times New Roman"/>
                <w:color w:val="auto"/>
                <w:kern w:val="0"/>
                <w:sz w:val="21"/>
                <w:szCs w:val="21"/>
              </w:rPr>
              <w:t>的全向点声源在规定方向的级的偏差程度。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A</w:t>
            </w:r>
            <w:r>
              <w:rPr>
                <w:rFonts w:hint="default" w:ascii="Times New Roman" w:hAnsi="Times New Roman" w:cs="Times New Roman"/>
                <w:i/>
                <w:iCs/>
                <w:color w:val="auto"/>
                <w:kern w:val="0"/>
                <w:sz w:val="21"/>
                <w:szCs w:val="21"/>
                <w:vertAlign w:val="subscript"/>
              </w:rPr>
              <w:t>div</w:t>
            </w:r>
            <w:r>
              <w:rPr>
                <w:rFonts w:hint="default" w:ascii="Times New Roman" w:hAnsi="Times New Roman" w:cs="Times New Roman"/>
                <w:color w:val="auto"/>
                <w:kern w:val="0"/>
                <w:sz w:val="21"/>
                <w:szCs w:val="21"/>
              </w:rPr>
              <w:t xml:space="preserve">—几何发散引起的衰减，dB；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A</w:t>
            </w:r>
            <w:r>
              <w:rPr>
                <w:rFonts w:hint="default" w:ascii="Times New Roman" w:hAnsi="Times New Roman" w:cs="Times New Roman"/>
                <w:i/>
                <w:iCs/>
                <w:color w:val="auto"/>
                <w:kern w:val="0"/>
                <w:sz w:val="21"/>
                <w:szCs w:val="21"/>
                <w:vertAlign w:val="subscript"/>
              </w:rPr>
              <w:t>atm</w:t>
            </w:r>
            <w:r>
              <w:rPr>
                <w:rFonts w:hint="default" w:ascii="Times New Roman" w:hAnsi="Times New Roman" w:cs="Times New Roman"/>
                <w:color w:val="auto"/>
                <w:kern w:val="0"/>
                <w:sz w:val="21"/>
                <w:szCs w:val="21"/>
              </w:rPr>
              <w:t xml:space="preserve">—大气吸收引起的衰减，dB； </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A</w:t>
            </w:r>
            <w:r>
              <w:rPr>
                <w:rFonts w:hint="default" w:ascii="Times New Roman" w:hAnsi="Times New Roman" w:cs="Times New Roman"/>
                <w:i/>
                <w:iCs/>
                <w:color w:val="auto"/>
                <w:kern w:val="0"/>
                <w:sz w:val="21"/>
                <w:szCs w:val="21"/>
                <w:vertAlign w:val="subscript"/>
              </w:rPr>
              <w:t>gr</w:t>
            </w:r>
            <w:r>
              <w:rPr>
                <w:rFonts w:hint="default" w:ascii="Times New Roman" w:hAnsi="Times New Roman" w:cs="Times New Roman"/>
                <w:color w:val="auto"/>
                <w:kern w:val="0"/>
                <w:sz w:val="21"/>
                <w:szCs w:val="21"/>
              </w:rPr>
              <w:t>—地面效应引起的衰减，dB；</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A</w:t>
            </w:r>
            <w:r>
              <w:rPr>
                <w:rFonts w:hint="default" w:ascii="Times New Roman" w:hAnsi="Times New Roman" w:cs="Times New Roman"/>
                <w:i/>
                <w:iCs/>
                <w:color w:val="auto"/>
                <w:kern w:val="0"/>
                <w:sz w:val="21"/>
                <w:szCs w:val="21"/>
                <w:vertAlign w:val="subscript"/>
              </w:rPr>
              <w:t>bar</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val="en-US" w:eastAsia="zh-CN"/>
              </w:rPr>
              <w:t>障碍物屏蔽</w:t>
            </w:r>
            <w:r>
              <w:rPr>
                <w:rFonts w:hint="default" w:ascii="Times New Roman" w:hAnsi="Times New Roman" w:cs="Times New Roman"/>
                <w:color w:val="auto"/>
                <w:kern w:val="0"/>
                <w:sz w:val="21"/>
                <w:szCs w:val="21"/>
              </w:rPr>
              <w:t xml:space="preserve">引起的衰减，dB； </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A</w:t>
            </w:r>
            <w:r>
              <w:rPr>
                <w:rFonts w:hint="default" w:ascii="Times New Roman" w:hAnsi="Times New Roman" w:cs="Times New Roman"/>
                <w:i/>
                <w:iCs/>
                <w:color w:val="auto"/>
                <w:kern w:val="0"/>
                <w:sz w:val="21"/>
                <w:szCs w:val="21"/>
                <w:vertAlign w:val="subscript"/>
              </w:rPr>
              <w:t>misc</w:t>
            </w:r>
            <w:r>
              <w:rPr>
                <w:rFonts w:hint="default" w:ascii="Times New Roman" w:hAnsi="Times New Roman" w:cs="Times New Roman"/>
                <w:color w:val="auto"/>
                <w:kern w:val="0"/>
                <w:sz w:val="21"/>
                <w:szCs w:val="21"/>
              </w:rPr>
              <w:t>—其他多方面效应引起的衰减，dB。</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b</w:t>
            </w: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rPr>
              <w:t>预测点的A声级</w:t>
            </w:r>
            <w:r>
              <w:rPr>
                <w:rFonts w:hint="default" w:ascii="Times New Roman" w:hAnsi="Times New Roman" w:cs="Times New Roman"/>
                <w:i/>
                <w:iCs/>
                <w:color w:val="auto"/>
                <w:kern w:val="0"/>
                <w:sz w:val="21"/>
                <w:szCs w:val="21"/>
                <w:lang w:val="pt-BR"/>
              </w:rPr>
              <w:t>L</w:t>
            </w:r>
            <w:r>
              <w:rPr>
                <w:rFonts w:hint="default" w:ascii="Times New Roman" w:hAnsi="Times New Roman" w:cs="Times New Roman"/>
                <w:i/>
                <w:iCs/>
                <w:color w:val="auto"/>
                <w:kern w:val="0"/>
                <w:sz w:val="21"/>
                <w:szCs w:val="21"/>
                <w:vertAlign w:val="subscript"/>
                <w:lang w:val="pt-BR"/>
              </w:rPr>
              <w:t>A</w:t>
            </w:r>
            <w:r>
              <w:rPr>
                <w:rFonts w:hint="default" w:ascii="Times New Roman" w:hAnsi="Times New Roman" w:cs="Times New Roman"/>
                <w:color w:val="auto"/>
                <w:kern w:val="0"/>
                <w:sz w:val="21"/>
                <w:szCs w:val="21"/>
                <w:lang w:val="pt-BR"/>
              </w:rPr>
              <w:t>(</w:t>
            </w:r>
            <w:r>
              <w:rPr>
                <w:rFonts w:hint="default" w:ascii="Times New Roman" w:hAnsi="Times New Roman" w:cs="Times New Roman"/>
                <w:i/>
                <w:iCs/>
                <w:color w:val="auto"/>
                <w:kern w:val="0"/>
                <w:sz w:val="21"/>
                <w:szCs w:val="21"/>
                <w:lang w:val="pt-BR"/>
              </w:rPr>
              <w:t>r</w:t>
            </w:r>
            <w:r>
              <w:rPr>
                <w:rFonts w:hint="default" w:ascii="Times New Roman" w:hAnsi="Times New Roman" w:cs="Times New Roman"/>
                <w:color w:val="auto"/>
                <w:kern w:val="0"/>
                <w:sz w:val="21"/>
                <w:szCs w:val="21"/>
                <w:lang w:val="pt-BR"/>
              </w:rPr>
              <w:t>)</w:t>
            </w:r>
            <w:r>
              <w:rPr>
                <w:rFonts w:hint="default" w:ascii="Times New Roman" w:hAnsi="Times New Roman" w:cs="Times New Roman"/>
                <w:color w:val="auto"/>
                <w:kern w:val="0"/>
                <w:sz w:val="21"/>
                <w:szCs w:val="21"/>
              </w:rPr>
              <w:t>可按公式（A.3）计算，</w:t>
            </w:r>
            <w:r>
              <w:rPr>
                <w:rFonts w:hint="default" w:ascii="Times New Roman" w:hAnsi="Times New Roman" w:cs="Times New Roman"/>
                <w:color w:val="auto"/>
                <w:kern w:val="0"/>
                <w:sz w:val="21"/>
                <w:szCs w:val="21"/>
                <w:lang w:val="en-US" w:eastAsia="zh-CN"/>
              </w:rPr>
              <w:t>即将</w:t>
            </w:r>
            <w:r>
              <w:rPr>
                <w:rFonts w:hint="default" w:ascii="Times New Roman" w:hAnsi="Times New Roman" w:cs="Times New Roman"/>
                <w:color w:val="auto"/>
                <w:kern w:val="0"/>
                <w:sz w:val="21"/>
                <w:szCs w:val="21"/>
              </w:rPr>
              <w:t>8个倍频带声压级</w:t>
            </w:r>
            <w:r>
              <w:rPr>
                <w:rFonts w:hint="default" w:ascii="Times New Roman" w:hAnsi="Times New Roman" w:cs="Times New Roman"/>
                <w:color w:val="auto"/>
                <w:kern w:val="0"/>
                <w:sz w:val="21"/>
                <w:szCs w:val="21"/>
                <w:lang w:val="en-US" w:eastAsia="zh-CN"/>
              </w:rPr>
              <w:t>合成，计算出预测点的</w:t>
            </w:r>
            <w:r>
              <w:rPr>
                <w:rFonts w:hint="default" w:ascii="Times New Roman" w:hAnsi="Times New Roman" w:cs="Times New Roman"/>
                <w:color w:val="auto"/>
                <w:kern w:val="0"/>
                <w:sz w:val="21"/>
                <w:szCs w:val="21"/>
              </w:rPr>
              <w:t>A声级</w:t>
            </w:r>
            <w:r>
              <w:rPr>
                <w:rFonts w:hint="default" w:ascii="Times New Roman" w:hAnsi="Times New Roman" w:cs="Times New Roman"/>
                <w:color w:val="auto"/>
                <w:kern w:val="0"/>
                <w:sz w:val="21"/>
                <w:szCs w:val="21"/>
                <w:lang w:val="en-US" w:eastAsia="zh-CN"/>
              </w:rPr>
              <w:t>[</w:t>
            </w:r>
            <w:r>
              <w:rPr>
                <w:rFonts w:hint="default" w:ascii="Times New Roman" w:hAnsi="Times New Roman" w:cs="Times New Roman"/>
                <w:i/>
                <w:iCs/>
                <w:color w:val="auto"/>
                <w:kern w:val="0"/>
                <w:sz w:val="21"/>
                <w:szCs w:val="21"/>
                <w:lang w:val="pt-BR"/>
              </w:rPr>
              <w:t>L</w:t>
            </w:r>
            <w:r>
              <w:rPr>
                <w:rFonts w:hint="default" w:ascii="Times New Roman" w:hAnsi="Times New Roman" w:cs="Times New Roman"/>
                <w:i/>
                <w:iCs/>
                <w:color w:val="auto"/>
                <w:kern w:val="0"/>
                <w:sz w:val="21"/>
                <w:szCs w:val="21"/>
                <w:vertAlign w:val="subscript"/>
                <w:lang w:val="pt-BR"/>
              </w:rPr>
              <w:t>A</w:t>
            </w:r>
            <w:r>
              <w:rPr>
                <w:rFonts w:hint="default" w:ascii="Times New Roman" w:hAnsi="Times New Roman" w:cs="Times New Roman"/>
                <w:color w:val="auto"/>
                <w:kern w:val="0"/>
                <w:sz w:val="21"/>
                <w:szCs w:val="21"/>
                <w:lang w:val="pt-BR"/>
              </w:rPr>
              <w:t>(</w:t>
            </w:r>
            <w:r>
              <w:rPr>
                <w:rFonts w:hint="default" w:ascii="Times New Roman" w:hAnsi="Times New Roman" w:cs="Times New Roman"/>
                <w:i/>
                <w:iCs/>
                <w:color w:val="auto"/>
                <w:kern w:val="0"/>
                <w:sz w:val="21"/>
                <w:szCs w:val="21"/>
                <w:lang w:val="pt-BR"/>
              </w:rPr>
              <w:t>r</w:t>
            </w:r>
            <w:r>
              <w:rPr>
                <w:rFonts w:hint="default" w:ascii="Times New Roman" w:hAnsi="Times New Roman" w:cs="Times New Roman"/>
                <w:color w:val="auto"/>
                <w:kern w:val="0"/>
                <w:sz w:val="21"/>
                <w:szCs w:val="21"/>
                <w:lang w:val="pt-BR"/>
              </w:rPr>
              <w:t>)</w:t>
            </w:r>
            <w:r>
              <w:rPr>
                <w:rFonts w:hint="default" w:ascii="Times New Roman" w:hAnsi="Times New Roman" w:cs="Times New Roman"/>
                <w:color w:val="auto"/>
                <w:kern w:val="0"/>
                <w:sz w:val="21"/>
                <w:szCs w:val="21"/>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color w:val="auto"/>
                <w:kern w:val="0"/>
                <w:sz w:val="21"/>
                <w:szCs w:val="21"/>
                <w:lang w:val="fr-FR"/>
              </w:rPr>
            </w:pPr>
            <w:r>
              <w:rPr>
                <w:color w:val="auto"/>
              </w:rPr>
              <w:drawing>
                <wp:inline distT="0" distB="0" distL="114300" distR="114300">
                  <wp:extent cx="1715770" cy="386715"/>
                  <wp:effectExtent l="0" t="0" r="17780" b="1333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6"/>
                          <a:stretch>
                            <a:fillRect/>
                          </a:stretch>
                        </pic:blipFill>
                        <pic:spPr>
                          <a:xfrm>
                            <a:off x="0" y="0"/>
                            <a:ext cx="1715770" cy="386715"/>
                          </a:xfrm>
                          <a:prstGeom prst="rect">
                            <a:avLst/>
                          </a:prstGeom>
                          <a:noFill/>
                          <a:ln>
                            <a:noFill/>
                          </a:ln>
                        </pic:spPr>
                      </pic:pic>
                    </a:graphicData>
                  </a:graphic>
                </wp:inline>
              </w:drawing>
            </w:r>
            <w:r>
              <w:rPr>
                <w:rFonts w:hint="default" w:ascii="Times New Roman" w:hAnsi="Times New Roman" w:cs="Times New Roman"/>
                <w:i/>
                <w:iCs/>
                <w:color w:val="auto"/>
                <w:kern w:val="0"/>
                <w:sz w:val="21"/>
                <w:szCs w:val="21"/>
                <w:lang w:val="fr-FR"/>
              </w:rPr>
              <w:t xml:space="preserve">  </w:t>
            </w:r>
            <w:r>
              <w:rPr>
                <w:rFonts w:hint="eastAsia" w:cs="Times New Roman"/>
                <w:i/>
                <w:iCs/>
                <w:color w:val="auto"/>
                <w:kern w:val="0"/>
                <w:sz w:val="21"/>
                <w:szCs w:val="21"/>
                <w:lang w:val="en-US" w:eastAsia="zh-CN"/>
              </w:rPr>
              <w:t xml:space="preserve">               </w:t>
            </w:r>
            <w:r>
              <w:rPr>
                <w:rFonts w:hint="default" w:ascii="Times New Roman" w:hAnsi="Times New Roman" w:cs="Times New Roman"/>
                <w:i/>
                <w:iCs/>
                <w:color w:val="auto"/>
                <w:kern w:val="0"/>
                <w:sz w:val="21"/>
                <w:szCs w:val="21"/>
                <w:lang w:val="fr-FR"/>
              </w:rPr>
              <w:t xml:space="preserve"> </w:t>
            </w:r>
            <w:r>
              <w:rPr>
                <w:rFonts w:hint="default" w:ascii="Times New Roman" w:hAnsi="Times New Roman" w:cs="Times New Roman"/>
                <w:color w:val="auto"/>
                <w:kern w:val="0"/>
                <w:sz w:val="21"/>
                <w:szCs w:val="21"/>
                <w:lang w:val="fr-FR"/>
              </w:rPr>
              <w:t>（A.</w:t>
            </w:r>
            <w:r>
              <w:rPr>
                <w:rFonts w:hint="eastAsia" w:cs="Times New Roman"/>
                <w:color w:val="auto"/>
                <w:kern w:val="0"/>
                <w:sz w:val="21"/>
                <w:szCs w:val="21"/>
                <w:lang w:val="en-US" w:eastAsia="zh-CN"/>
              </w:rPr>
              <w:t>3</w:t>
            </w:r>
            <w:r>
              <w:rPr>
                <w:rFonts w:hint="default" w:ascii="Times New Roman" w:hAnsi="Times New Roman" w:cs="Times New Roman"/>
                <w:color w:val="auto"/>
                <w:kern w:val="0"/>
                <w:sz w:val="21"/>
                <w:szCs w:val="21"/>
                <w:lang w:val="fr-FR"/>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color w:val="auto"/>
              </w:rPr>
            </w:pPr>
            <w:r>
              <w:rPr>
                <w:rFonts w:hint="default" w:ascii="Times New Roman" w:hAnsi="Times New Roman" w:cs="Times New Roman"/>
                <w:color w:val="auto"/>
                <w:kern w:val="0"/>
                <w:sz w:val="21"/>
                <w:szCs w:val="21"/>
              </w:rPr>
              <w:t xml:space="preserve">式中：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i/>
                <w:iCs/>
                <w:color w:val="auto"/>
                <w:kern w:val="0"/>
                <w:sz w:val="21"/>
                <w:szCs w:val="21"/>
                <w:lang w:val="fr-FR"/>
              </w:rPr>
              <w:t>L</w:t>
            </w:r>
            <w:r>
              <w:rPr>
                <w:rFonts w:hint="default" w:ascii="Times New Roman" w:hAnsi="Times New Roman" w:cs="Times New Roman"/>
                <w:i/>
                <w:iCs/>
                <w:color w:val="auto"/>
                <w:kern w:val="0"/>
                <w:sz w:val="21"/>
                <w:szCs w:val="21"/>
                <w:vertAlign w:val="subscript"/>
                <w:lang w:val="fr-FR"/>
              </w:rPr>
              <w:t>A</w:t>
            </w:r>
            <w:r>
              <w:rPr>
                <w:rFonts w:hint="default" w:ascii="Times New Roman" w:hAnsi="Times New Roman" w:cs="Times New Roman"/>
                <w:color w:val="auto"/>
                <w:kern w:val="0"/>
                <w:sz w:val="21"/>
                <w:szCs w:val="21"/>
                <w:lang w:val="fr-FR"/>
              </w:rPr>
              <w:t>(</w:t>
            </w:r>
            <w:r>
              <w:rPr>
                <w:rFonts w:hint="default" w:ascii="Times New Roman" w:hAnsi="Times New Roman" w:cs="Times New Roman"/>
                <w:i/>
                <w:iCs/>
                <w:color w:val="auto"/>
                <w:kern w:val="0"/>
                <w:sz w:val="21"/>
                <w:szCs w:val="21"/>
                <w:lang w:val="fr-FR"/>
              </w:rPr>
              <w:t>r</w:t>
            </w:r>
            <w:r>
              <w:rPr>
                <w:rFonts w:hint="default" w:ascii="Times New Roman" w:hAnsi="Times New Roman" w:cs="Times New Roman"/>
                <w:color w:val="auto"/>
                <w:kern w:val="0"/>
                <w:sz w:val="21"/>
                <w:szCs w:val="21"/>
                <w:lang w:val="fr-FR"/>
              </w:rPr>
              <w:t>)</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val="en-US" w:eastAsia="zh-CN"/>
              </w:rPr>
              <w:t>距声源</w:t>
            </w:r>
            <w:r>
              <w:rPr>
                <w:rFonts w:hint="default" w:ascii="Times New Roman" w:hAnsi="Times New Roman" w:cs="Times New Roman"/>
                <w:i/>
                <w:iCs/>
                <w:color w:val="auto"/>
                <w:kern w:val="0"/>
                <w:sz w:val="21"/>
                <w:szCs w:val="21"/>
                <w:lang w:val="fr-FR"/>
              </w:rPr>
              <w:t>r</w:t>
            </w:r>
            <w:r>
              <w:rPr>
                <w:rFonts w:hint="default" w:ascii="Times New Roman" w:hAnsi="Times New Roman" w:cs="Times New Roman"/>
                <w:color w:val="auto"/>
                <w:kern w:val="0"/>
                <w:sz w:val="21"/>
                <w:szCs w:val="21"/>
                <w:vertAlign w:val="baseline"/>
                <w:lang w:val="en-US" w:eastAsia="zh-CN"/>
              </w:rPr>
              <w:t>处的A声级，</w:t>
            </w:r>
            <w:r>
              <w:rPr>
                <w:rFonts w:hint="default" w:ascii="Times New Roman" w:hAnsi="Times New Roman" w:cs="Times New Roman"/>
                <w:color w:val="auto"/>
                <w:kern w:val="0"/>
                <w:sz w:val="21"/>
                <w:szCs w:val="21"/>
              </w:rPr>
              <w:t>dB</w:t>
            </w:r>
            <w:r>
              <w:rPr>
                <w:rFonts w:hint="default" w:ascii="Times New Roman" w:hAnsi="Times New Roman" w:cs="Times New Roman"/>
                <w:color w:val="auto"/>
                <w:kern w:val="0"/>
                <w:sz w:val="21"/>
                <w:szCs w:val="21"/>
                <w:lang w:val="fr-FR"/>
              </w:rPr>
              <w:t>(</w:t>
            </w:r>
            <w:r>
              <w:rPr>
                <w:rFonts w:hint="default" w:ascii="Times New Roman" w:hAnsi="Times New Roman" w:cs="Times New Roman"/>
                <w:i/>
                <w:iCs/>
                <w:color w:val="auto"/>
                <w:kern w:val="0"/>
                <w:sz w:val="21"/>
                <w:szCs w:val="21"/>
                <w:lang w:val="en-US" w:eastAsia="zh-CN"/>
              </w:rPr>
              <w:t>A</w:t>
            </w:r>
            <w:r>
              <w:rPr>
                <w:rFonts w:hint="default" w:ascii="Times New Roman" w:hAnsi="Times New Roman" w:cs="Times New Roman"/>
                <w:color w:val="auto"/>
                <w:kern w:val="0"/>
                <w:sz w:val="21"/>
                <w:szCs w:val="21"/>
                <w:lang w:val="fr-FR"/>
              </w:rPr>
              <w:t>)</w:t>
            </w:r>
            <w:r>
              <w:rPr>
                <w:rFonts w:hint="default" w:ascii="Times New Roman" w:hAnsi="Times New Roman" w:cs="Times New Roman"/>
                <w:color w:val="auto"/>
                <w:kern w:val="0"/>
                <w:sz w:val="21"/>
                <w:szCs w:val="21"/>
                <w:lang w:val="fr-FR"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cs="Times New Roman"/>
                <w:i/>
                <w:iCs/>
                <w:color w:val="auto"/>
                <w:kern w:val="0"/>
                <w:sz w:val="21"/>
                <w:szCs w:val="21"/>
                <w:lang w:val="fr-FR"/>
              </w:rPr>
              <w:t>L</w:t>
            </w:r>
            <w:r>
              <w:rPr>
                <w:rFonts w:hint="default" w:ascii="Times New Roman" w:hAnsi="Times New Roman" w:cs="Times New Roman"/>
                <w:i/>
                <w:iCs/>
                <w:color w:val="auto"/>
                <w:kern w:val="0"/>
                <w:sz w:val="21"/>
                <w:szCs w:val="21"/>
                <w:vertAlign w:val="subscript"/>
              </w:rPr>
              <w:t>P</w:t>
            </w:r>
            <w:r>
              <w:rPr>
                <w:rFonts w:hint="default" w:ascii="Times New Roman" w:hAnsi="Times New Roman" w:cs="Times New Roman"/>
                <w:i/>
                <w:iCs/>
                <w:color w:val="auto"/>
                <w:kern w:val="0"/>
                <w:sz w:val="21"/>
                <w:szCs w:val="21"/>
                <w:vertAlign w:val="subscript"/>
                <w:lang w:val="en-US" w:eastAsia="zh-CN"/>
              </w:rPr>
              <w:t>i</w:t>
            </w:r>
            <w:r>
              <w:rPr>
                <w:rFonts w:hint="default" w:ascii="Times New Roman" w:hAnsi="Times New Roman" w:cs="Times New Roman"/>
                <w:color w:val="auto"/>
                <w:kern w:val="0"/>
                <w:sz w:val="21"/>
                <w:szCs w:val="21"/>
                <w:lang w:val="fr-FR"/>
              </w:rPr>
              <w:t>(</w:t>
            </w:r>
            <w:r>
              <w:rPr>
                <w:rFonts w:hint="default" w:ascii="Times New Roman" w:hAnsi="Times New Roman" w:cs="Times New Roman"/>
                <w:i/>
                <w:iCs/>
                <w:color w:val="auto"/>
                <w:kern w:val="0"/>
                <w:sz w:val="21"/>
                <w:szCs w:val="21"/>
                <w:lang w:val="fr-FR"/>
              </w:rPr>
              <w:t>r</w:t>
            </w:r>
            <w:r>
              <w:rPr>
                <w:rFonts w:hint="default" w:ascii="Times New Roman" w:hAnsi="Times New Roman" w:cs="Times New Roman"/>
                <w:color w:val="auto"/>
                <w:kern w:val="0"/>
                <w:sz w:val="21"/>
                <w:szCs w:val="21"/>
                <w:lang w:val="fr-FR"/>
              </w:rPr>
              <w:t>)</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val="en-US" w:eastAsia="zh-CN"/>
              </w:rPr>
              <w:t>预测点</w:t>
            </w:r>
            <w:r>
              <w:rPr>
                <w:rFonts w:hint="default" w:ascii="Times New Roman" w:hAnsi="Times New Roman" w:cs="Times New Roman"/>
                <w:color w:val="auto"/>
                <w:kern w:val="0"/>
                <w:sz w:val="21"/>
                <w:szCs w:val="21"/>
                <w:lang w:val="pt-BR"/>
              </w:rPr>
              <w:t>(</w:t>
            </w:r>
            <w:r>
              <w:rPr>
                <w:rFonts w:hint="default" w:ascii="Times New Roman" w:hAnsi="Times New Roman" w:cs="Times New Roman"/>
                <w:i/>
                <w:iCs/>
                <w:color w:val="auto"/>
                <w:kern w:val="0"/>
                <w:sz w:val="21"/>
                <w:szCs w:val="21"/>
                <w:lang w:val="pt-BR"/>
              </w:rPr>
              <w:t>r</w:t>
            </w:r>
            <w:r>
              <w:rPr>
                <w:rFonts w:hint="default" w:ascii="Times New Roman" w:hAnsi="Times New Roman" w:cs="Times New Roman"/>
                <w:color w:val="auto"/>
                <w:kern w:val="0"/>
                <w:sz w:val="21"/>
                <w:szCs w:val="21"/>
                <w:lang w:val="pt-BR"/>
              </w:rPr>
              <w:t>)</w:t>
            </w:r>
            <w:r>
              <w:rPr>
                <w:rFonts w:hint="default" w:ascii="Times New Roman" w:hAnsi="Times New Roman" w:cs="Times New Roman"/>
                <w:color w:val="auto"/>
                <w:kern w:val="0"/>
                <w:sz w:val="21"/>
                <w:szCs w:val="21"/>
                <w:lang w:val="en-US" w:eastAsia="zh-CN"/>
              </w:rPr>
              <w:t>距</w:t>
            </w:r>
            <w:r>
              <w:rPr>
                <w:rFonts w:hint="default" w:ascii="Times New Roman" w:hAnsi="Times New Roman" w:cs="Times New Roman"/>
                <w:color w:val="auto"/>
                <w:kern w:val="0"/>
                <w:sz w:val="21"/>
                <w:szCs w:val="21"/>
                <w:vertAlign w:val="baseline"/>
                <w:lang w:val="en-US" w:eastAsia="zh-CN"/>
              </w:rPr>
              <w:t>处，第i频带声压级，</w:t>
            </w:r>
            <w:r>
              <w:rPr>
                <w:rFonts w:hint="default" w:ascii="Times New Roman" w:hAnsi="Times New Roman" w:cs="Times New Roman"/>
                <w:color w:val="auto"/>
                <w:kern w:val="0"/>
                <w:sz w:val="21"/>
                <w:szCs w:val="21"/>
              </w:rPr>
              <w:t>dB</w:t>
            </w:r>
            <w:r>
              <w:rPr>
                <w:rFonts w:hint="default" w:ascii="Times New Roman" w:hAnsi="Times New Roman" w:cs="Times New Roman"/>
                <w:color w:val="auto"/>
                <w:kern w:val="0"/>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Δ</w:t>
            </w: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i</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vertAlign w:val="baseline"/>
                <w:lang w:val="en-US" w:eastAsia="zh-CN"/>
              </w:rPr>
              <w:t>第</w:t>
            </w:r>
            <w:r>
              <w:rPr>
                <w:rFonts w:hint="default" w:ascii="Times New Roman" w:hAnsi="Times New Roman" w:cs="Times New Roman"/>
                <w:color w:val="auto"/>
                <w:kern w:val="0"/>
                <w:sz w:val="21"/>
                <w:szCs w:val="21"/>
              </w:rPr>
              <w:t>i倍频带</w:t>
            </w:r>
            <w:r>
              <w:rPr>
                <w:rFonts w:hint="default" w:ascii="Times New Roman" w:hAnsi="Times New Roman" w:cs="Times New Roman"/>
                <w:color w:val="auto"/>
                <w:kern w:val="0"/>
                <w:sz w:val="21"/>
                <w:szCs w:val="21"/>
                <w:lang w:val="en-US" w:eastAsia="zh-CN"/>
              </w:rPr>
              <w:t>的</w:t>
            </w:r>
            <w:r>
              <w:rPr>
                <w:rFonts w:hint="default" w:ascii="Times New Roman" w:hAnsi="Times New Roman" w:cs="Times New Roman"/>
                <w:color w:val="auto"/>
                <w:kern w:val="0"/>
                <w:sz w:val="21"/>
                <w:szCs w:val="21"/>
              </w:rPr>
              <w:t xml:space="preserve">A计权网络修正值，dB。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c</w:t>
            </w:r>
            <w:r>
              <w:rPr>
                <w:rFonts w:hint="default" w:ascii="Times New Roman" w:hAnsi="Times New Roman" w:cs="Times New Roman"/>
                <w:color w:val="auto"/>
                <w:kern w:val="0"/>
                <w:sz w:val="21"/>
                <w:szCs w:val="21"/>
                <w:lang w:eastAsia="zh-CN"/>
              </w:rPr>
              <w:t>）在只考虑几何发散衰减时，可按式（A.4）计算。</w:t>
            </w:r>
          </w:p>
          <w:p>
            <w:pPr>
              <w:autoSpaceDE w:val="0"/>
              <w:autoSpaceDN w:val="0"/>
              <w:adjustRightInd w:val="0"/>
              <w:snapToGrid w:val="0"/>
              <w:spacing w:line="360" w:lineRule="auto"/>
              <w:ind w:firstLine="1260" w:firstLineChars="600"/>
              <w:rPr>
                <w:rFonts w:hint="default" w:ascii="Times New Roman" w:hAnsi="Times New Roman" w:cs="Times New Roman"/>
                <w:color w:val="auto"/>
                <w:kern w:val="0"/>
                <w:sz w:val="21"/>
                <w:szCs w:val="21"/>
                <w:lang w:val="fr-FR"/>
              </w:rPr>
            </w:pPr>
            <w:r>
              <w:rPr>
                <w:rFonts w:hint="default" w:ascii="Times New Roman" w:hAnsi="Times New Roman" w:cs="Times New Roman"/>
                <w:i/>
                <w:iCs/>
                <w:color w:val="auto"/>
                <w:kern w:val="0"/>
                <w:sz w:val="21"/>
                <w:szCs w:val="21"/>
                <w:lang w:val="fr-FR"/>
              </w:rPr>
              <w:t>L</w:t>
            </w:r>
            <w:r>
              <w:rPr>
                <w:rFonts w:hint="default" w:ascii="Times New Roman" w:hAnsi="Times New Roman" w:cs="Times New Roman"/>
                <w:i/>
                <w:iCs/>
                <w:color w:val="auto"/>
                <w:kern w:val="0"/>
                <w:sz w:val="21"/>
                <w:szCs w:val="21"/>
                <w:vertAlign w:val="subscript"/>
                <w:lang w:val="fr-FR"/>
              </w:rPr>
              <w:t>A</w:t>
            </w:r>
            <w:r>
              <w:rPr>
                <w:rFonts w:hint="default" w:ascii="Times New Roman" w:hAnsi="Times New Roman" w:cs="Times New Roman"/>
                <w:color w:val="auto"/>
                <w:kern w:val="0"/>
                <w:sz w:val="21"/>
                <w:szCs w:val="21"/>
                <w:lang w:val="fr-FR"/>
              </w:rPr>
              <w:t>(</w:t>
            </w:r>
            <w:r>
              <w:rPr>
                <w:rFonts w:hint="default" w:ascii="Times New Roman" w:hAnsi="Times New Roman" w:cs="Times New Roman"/>
                <w:i/>
                <w:iCs/>
                <w:color w:val="auto"/>
                <w:kern w:val="0"/>
                <w:sz w:val="21"/>
                <w:szCs w:val="21"/>
                <w:lang w:val="fr-FR"/>
              </w:rPr>
              <w:t>r</w:t>
            </w:r>
            <w:r>
              <w:rPr>
                <w:rFonts w:hint="default" w:ascii="Times New Roman" w:hAnsi="Times New Roman" w:cs="Times New Roman"/>
                <w:color w:val="auto"/>
                <w:kern w:val="0"/>
                <w:sz w:val="21"/>
                <w:szCs w:val="21"/>
                <w:lang w:val="fr-FR"/>
              </w:rPr>
              <w:t>)=</w:t>
            </w:r>
            <w:r>
              <w:rPr>
                <w:rFonts w:hint="default" w:ascii="Times New Roman" w:hAnsi="Times New Roman" w:cs="Times New Roman"/>
                <w:i/>
                <w:iCs/>
                <w:color w:val="auto"/>
                <w:kern w:val="0"/>
                <w:sz w:val="21"/>
                <w:szCs w:val="21"/>
                <w:lang w:val="fr-FR"/>
              </w:rPr>
              <w:t xml:space="preserve"> L</w:t>
            </w:r>
            <w:r>
              <w:rPr>
                <w:rFonts w:hint="default" w:ascii="Times New Roman" w:hAnsi="Times New Roman" w:cs="Times New Roman"/>
                <w:i/>
                <w:iCs/>
                <w:color w:val="auto"/>
                <w:kern w:val="0"/>
                <w:sz w:val="21"/>
                <w:szCs w:val="21"/>
                <w:vertAlign w:val="subscript"/>
                <w:lang w:val="fr-FR"/>
              </w:rPr>
              <w:t>A</w:t>
            </w:r>
            <w:r>
              <w:rPr>
                <w:rFonts w:hint="default" w:ascii="Times New Roman" w:hAnsi="Times New Roman" w:cs="Times New Roman"/>
                <w:color w:val="auto"/>
                <w:kern w:val="0"/>
                <w:sz w:val="21"/>
                <w:szCs w:val="21"/>
                <w:lang w:val="fr-FR"/>
              </w:rPr>
              <w:t>(</w:t>
            </w:r>
            <w:r>
              <w:rPr>
                <w:rFonts w:hint="default" w:ascii="Times New Roman" w:hAnsi="Times New Roman" w:cs="Times New Roman"/>
                <w:i/>
                <w:iCs/>
                <w:color w:val="auto"/>
                <w:kern w:val="0"/>
                <w:sz w:val="21"/>
                <w:szCs w:val="21"/>
                <w:lang w:val="fr-FR"/>
              </w:rPr>
              <w:t>r</w:t>
            </w:r>
            <w:r>
              <w:rPr>
                <w:rFonts w:hint="default" w:ascii="Times New Roman" w:hAnsi="Times New Roman" w:cs="Times New Roman"/>
                <w:i/>
                <w:iCs/>
                <w:color w:val="auto"/>
                <w:kern w:val="0"/>
                <w:sz w:val="21"/>
                <w:szCs w:val="21"/>
                <w:vertAlign w:val="subscript"/>
                <w:lang w:val="en-US" w:eastAsia="zh-CN"/>
              </w:rPr>
              <w:t>0</w:t>
            </w:r>
            <w:r>
              <w:rPr>
                <w:rFonts w:hint="default" w:ascii="Times New Roman" w:hAnsi="Times New Roman" w:cs="Times New Roman"/>
                <w:color w:val="auto"/>
                <w:kern w:val="0"/>
                <w:sz w:val="21"/>
                <w:szCs w:val="21"/>
                <w:lang w:val="fr-FR"/>
              </w:rPr>
              <w:t>)</w:t>
            </w:r>
            <w:r>
              <w:rPr>
                <w:rFonts w:hint="default" w:ascii="Times New Roman" w:hAnsi="Times New Roman" w:cs="Times New Roman"/>
                <w:color w:val="auto"/>
                <w:kern w:val="0"/>
                <w:sz w:val="21"/>
                <w:szCs w:val="21"/>
                <w:lang w:val="en-US" w:eastAsia="zh-CN"/>
              </w:rPr>
              <w:t>-</w:t>
            </w:r>
            <w:r>
              <w:rPr>
                <w:rFonts w:hint="default" w:ascii="Times New Roman" w:hAnsi="Times New Roman" w:cs="Times New Roman"/>
                <w:i/>
                <w:iCs/>
                <w:color w:val="auto"/>
                <w:kern w:val="0"/>
                <w:sz w:val="21"/>
                <w:szCs w:val="21"/>
                <w:lang w:val="pt-BR"/>
              </w:rPr>
              <w:t>A</w:t>
            </w:r>
            <w:r>
              <w:rPr>
                <w:rFonts w:hint="default" w:ascii="Times New Roman" w:hAnsi="Times New Roman" w:cs="Times New Roman"/>
                <w:i/>
                <w:iCs/>
                <w:color w:val="auto"/>
                <w:kern w:val="0"/>
                <w:sz w:val="21"/>
                <w:szCs w:val="21"/>
                <w:vertAlign w:val="subscript"/>
                <w:lang w:val="pt-BR"/>
              </w:rPr>
              <w:t>div</w:t>
            </w:r>
            <w:r>
              <w:rPr>
                <w:rFonts w:hint="default" w:ascii="Times New Roman" w:hAnsi="Times New Roman" w:cs="Times New Roman"/>
                <w:i/>
                <w:iCs/>
                <w:color w:val="auto"/>
                <w:kern w:val="0"/>
                <w:sz w:val="21"/>
                <w:szCs w:val="21"/>
                <w:lang w:val="fr-FR"/>
              </w:rPr>
              <w:t xml:space="preserve">                               </w:t>
            </w:r>
            <w:r>
              <w:rPr>
                <w:rFonts w:hint="default" w:ascii="Times New Roman" w:hAnsi="Times New Roman" w:cs="Times New Roman"/>
                <w:color w:val="auto"/>
                <w:kern w:val="0"/>
                <w:sz w:val="21"/>
                <w:szCs w:val="21"/>
                <w:lang w:val="fr-FR"/>
              </w:rPr>
              <w:t xml:space="preserve">（A.4）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式中：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i/>
                <w:iCs/>
                <w:color w:val="auto"/>
                <w:kern w:val="0"/>
                <w:sz w:val="21"/>
                <w:szCs w:val="21"/>
                <w:lang w:val="fr-FR"/>
              </w:rPr>
              <w:t>L</w:t>
            </w:r>
            <w:r>
              <w:rPr>
                <w:rFonts w:hint="default" w:ascii="Times New Roman" w:hAnsi="Times New Roman" w:cs="Times New Roman"/>
                <w:i/>
                <w:iCs/>
                <w:color w:val="auto"/>
                <w:kern w:val="0"/>
                <w:sz w:val="21"/>
                <w:szCs w:val="21"/>
                <w:vertAlign w:val="subscript"/>
                <w:lang w:val="fr-FR"/>
              </w:rPr>
              <w:t>A</w:t>
            </w:r>
            <w:r>
              <w:rPr>
                <w:rFonts w:hint="default" w:ascii="Times New Roman" w:hAnsi="Times New Roman" w:cs="Times New Roman"/>
                <w:color w:val="auto"/>
                <w:kern w:val="0"/>
                <w:sz w:val="21"/>
                <w:szCs w:val="21"/>
                <w:lang w:val="fr-FR"/>
              </w:rPr>
              <w:t>(</w:t>
            </w:r>
            <w:r>
              <w:rPr>
                <w:rFonts w:hint="default" w:ascii="Times New Roman" w:hAnsi="Times New Roman" w:cs="Times New Roman"/>
                <w:i/>
                <w:iCs/>
                <w:color w:val="auto"/>
                <w:kern w:val="0"/>
                <w:sz w:val="21"/>
                <w:szCs w:val="21"/>
                <w:lang w:val="fr-FR"/>
              </w:rPr>
              <w:t>r</w:t>
            </w:r>
            <w:r>
              <w:rPr>
                <w:rFonts w:hint="default" w:ascii="Times New Roman" w:hAnsi="Times New Roman" w:cs="Times New Roman"/>
                <w:color w:val="auto"/>
                <w:kern w:val="0"/>
                <w:sz w:val="21"/>
                <w:szCs w:val="21"/>
                <w:lang w:val="fr-FR"/>
              </w:rPr>
              <w:t>)</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val="en-US" w:eastAsia="zh-CN"/>
              </w:rPr>
              <w:t>距声源</w:t>
            </w:r>
            <w:r>
              <w:rPr>
                <w:rFonts w:hint="default" w:ascii="Times New Roman" w:hAnsi="Times New Roman" w:cs="Times New Roman"/>
                <w:i/>
                <w:iCs/>
                <w:color w:val="auto"/>
                <w:kern w:val="0"/>
                <w:sz w:val="21"/>
                <w:szCs w:val="21"/>
                <w:lang w:val="fr-FR"/>
              </w:rPr>
              <w:t>r</w:t>
            </w:r>
            <w:r>
              <w:rPr>
                <w:rFonts w:hint="default" w:ascii="Times New Roman" w:hAnsi="Times New Roman" w:cs="Times New Roman"/>
                <w:color w:val="auto"/>
                <w:kern w:val="0"/>
                <w:sz w:val="21"/>
                <w:szCs w:val="21"/>
                <w:vertAlign w:val="baseline"/>
                <w:lang w:val="en-US" w:eastAsia="zh-CN"/>
              </w:rPr>
              <w:t>处的A声级，</w:t>
            </w:r>
            <w:r>
              <w:rPr>
                <w:rFonts w:hint="default" w:ascii="Times New Roman" w:hAnsi="Times New Roman" w:cs="Times New Roman"/>
                <w:color w:val="auto"/>
                <w:kern w:val="0"/>
                <w:sz w:val="21"/>
                <w:szCs w:val="21"/>
              </w:rPr>
              <w:t>dB</w:t>
            </w:r>
            <w:r>
              <w:rPr>
                <w:rFonts w:hint="default" w:ascii="Times New Roman" w:hAnsi="Times New Roman" w:cs="Times New Roman"/>
                <w:color w:val="auto"/>
                <w:kern w:val="0"/>
                <w:sz w:val="21"/>
                <w:szCs w:val="21"/>
                <w:lang w:val="fr-FR"/>
              </w:rPr>
              <w:t>(</w:t>
            </w:r>
            <w:r>
              <w:rPr>
                <w:rFonts w:hint="default" w:ascii="Times New Roman" w:hAnsi="Times New Roman" w:cs="Times New Roman"/>
                <w:i/>
                <w:iCs/>
                <w:color w:val="auto"/>
                <w:kern w:val="0"/>
                <w:sz w:val="21"/>
                <w:szCs w:val="21"/>
                <w:lang w:val="en-US" w:eastAsia="zh-CN"/>
              </w:rPr>
              <w:t>A</w:t>
            </w:r>
            <w:r>
              <w:rPr>
                <w:rFonts w:hint="default" w:ascii="Times New Roman" w:hAnsi="Times New Roman" w:cs="Times New Roman"/>
                <w:color w:val="auto"/>
                <w:kern w:val="0"/>
                <w:sz w:val="21"/>
                <w:szCs w:val="21"/>
                <w:lang w:val="fr-FR"/>
              </w:rPr>
              <w:t>)</w:t>
            </w:r>
            <w:r>
              <w:rPr>
                <w:rFonts w:hint="default" w:ascii="Times New Roman" w:hAnsi="Times New Roman" w:cs="Times New Roman"/>
                <w:color w:val="auto"/>
                <w:kern w:val="0"/>
                <w:sz w:val="21"/>
                <w:szCs w:val="21"/>
                <w:lang w:val="fr-FR"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cs="Times New Roman"/>
                <w:i/>
                <w:iCs/>
                <w:color w:val="auto"/>
                <w:kern w:val="0"/>
                <w:sz w:val="21"/>
                <w:szCs w:val="21"/>
                <w:lang w:val="fr-FR"/>
              </w:rPr>
              <w:t>L</w:t>
            </w:r>
            <w:r>
              <w:rPr>
                <w:rFonts w:hint="default" w:ascii="Times New Roman" w:hAnsi="Times New Roman" w:cs="Times New Roman"/>
                <w:i/>
                <w:iCs/>
                <w:color w:val="auto"/>
                <w:kern w:val="0"/>
                <w:sz w:val="21"/>
                <w:szCs w:val="21"/>
                <w:vertAlign w:val="subscript"/>
                <w:lang w:val="fr-FR"/>
              </w:rPr>
              <w:t>A</w:t>
            </w:r>
            <w:r>
              <w:rPr>
                <w:rFonts w:hint="default" w:ascii="Times New Roman" w:hAnsi="Times New Roman" w:cs="Times New Roman"/>
                <w:color w:val="auto"/>
                <w:kern w:val="0"/>
                <w:sz w:val="21"/>
                <w:szCs w:val="21"/>
                <w:lang w:val="fr-FR"/>
              </w:rPr>
              <w:t>(</w:t>
            </w:r>
            <w:r>
              <w:rPr>
                <w:rFonts w:hint="default" w:ascii="Times New Roman" w:hAnsi="Times New Roman" w:cs="Times New Roman"/>
                <w:i/>
                <w:iCs/>
                <w:color w:val="auto"/>
                <w:kern w:val="0"/>
                <w:sz w:val="21"/>
                <w:szCs w:val="21"/>
                <w:lang w:val="fr-FR"/>
              </w:rPr>
              <w:t>r</w:t>
            </w:r>
            <w:r>
              <w:rPr>
                <w:rFonts w:hint="default" w:ascii="Times New Roman" w:hAnsi="Times New Roman" w:cs="Times New Roman"/>
                <w:i/>
                <w:iCs/>
                <w:color w:val="auto"/>
                <w:kern w:val="0"/>
                <w:sz w:val="21"/>
                <w:szCs w:val="21"/>
                <w:vertAlign w:val="subscript"/>
                <w:lang w:val="en-US" w:eastAsia="zh-CN"/>
              </w:rPr>
              <w:t>0</w:t>
            </w:r>
            <w:r>
              <w:rPr>
                <w:rFonts w:hint="default" w:ascii="Times New Roman" w:hAnsi="Times New Roman" w:cs="Times New Roman"/>
                <w:color w:val="auto"/>
                <w:kern w:val="0"/>
                <w:sz w:val="21"/>
                <w:szCs w:val="21"/>
                <w:lang w:val="fr-FR"/>
              </w:rPr>
              <w:t>)</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val="en-US" w:eastAsia="zh-CN"/>
              </w:rPr>
              <w:t>参考位置</w:t>
            </w:r>
            <w:r>
              <w:rPr>
                <w:rFonts w:hint="default" w:ascii="Times New Roman" w:hAnsi="Times New Roman" w:cs="Times New Roman"/>
                <w:i/>
                <w:iCs/>
                <w:color w:val="auto"/>
                <w:kern w:val="0"/>
                <w:sz w:val="21"/>
                <w:szCs w:val="21"/>
                <w:lang w:val="fr-FR"/>
              </w:rPr>
              <w:t>r</w:t>
            </w:r>
            <w:r>
              <w:rPr>
                <w:rFonts w:hint="default" w:ascii="Times New Roman" w:hAnsi="Times New Roman" w:cs="Times New Roman"/>
                <w:i/>
                <w:iCs/>
                <w:color w:val="auto"/>
                <w:kern w:val="0"/>
                <w:sz w:val="21"/>
                <w:szCs w:val="21"/>
                <w:vertAlign w:val="subscript"/>
                <w:lang w:val="en-US" w:eastAsia="zh-CN"/>
              </w:rPr>
              <w:t>0</w:t>
            </w:r>
            <w:r>
              <w:rPr>
                <w:rFonts w:hint="default" w:ascii="Times New Roman" w:hAnsi="Times New Roman" w:cs="Times New Roman"/>
                <w:color w:val="auto"/>
                <w:kern w:val="0"/>
                <w:sz w:val="21"/>
                <w:szCs w:val="21"/>
                <w:vertAlign w:val="baseline"/>
                <w:lang w:val="en-US" w:eastAsia="zh-CN"/>
              </w:rPr>
              <w:t>处的A声级，</w:t>
            </w:r>
            <w:r>
              <w:rPr>
                <w:rFonts w:hint="default" w:ascii="Times New Roman" w:hAnsi="Times New Roman" w:cs="Times New Roman"/>
                <w:color w:val="auto"/>
                <w:kern w:val="0"/>
                <w:sz w:val="21"/>
                <w:szCs w:val="21"/>
              </w:rPr>
              <w:t>dB</w:t>
            </w:r>
            <w:r>
              <w:rPr>
                <w:rFonts w:hint="default" w:ascii="Times New Roman" w:hAnsi="Times New Roman" w:cs="Times New Roman"/>
                <w:color w:val="auto"/>
                <w:kern w:val="0"/>
                <w:sz w:val="21"/>
                <w:szCs w:val="21"/>
                <w:lang w:val="fr-FR"/>
              </w:rPr>
              <w:t>(</w:t>
            </w:r>
            <w:r>
              <w:rPr>
                <w:rFonts w:hint="default" w:ascii="Times New Roman" w:hAnsi="Times New Roman" w:cs="Times New Roman"/>
                <w:i/>
                <w:iCs/>
                <w:color w:val="auto"/>
                <w:kern w:val="0"/>
                <w:sz w:val="21"/>
                <w:szCs w:val="21"/>
                <w:lang w:val="en-US" w:eastAsia="zh-CN"/>
              </w:rPr>
              <w:t>A</w:t>
            </w:r>
            <w:r>
              <w:rPr>
                <w:rFonts w:hint="default" w:ascii="Times New Roman" w:hAnsi="Times New Roman" w:cs="Times New Roman"/>
                <w:color w:val="auto"/>
                <w:kern w:val="0"/>
                <w:sz w:val="21"/>
                <w:szCs w:val="21"/>
                <w:lang w:val="fr-FR"/>
              </w:rPr>
              <w:t>)</w:t>
            </w:r>
            <w:r>
              <w:rPr>
                <w:rFonts w:hint="default" w:ascii="Times New Roman" w:hAnsi="Times New Roman" w:cs="Times New Roman"/>
                <w:color w:val="auto"/>
                <w:kern w:val="0"/>
                <w:sz w:val="21"/>
                <w:szCs w:val="21"/>
                <w:lang w:eastAsia="zh-CN"/>
              </w:rPr>
              <w:t>；</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default" w:ascii="Times New Roman" w:hAnsi="Times New Roman" w:eastAsia="宋体" w:cs="Times New Roman"/>
                <w:i/>
                <w:iCs/>
                <w:color w:val="auto"/>
                <w:kern w:val="0"/>
                <w:sz w:val="21"/>
                <w:szCs w:val="21"/>
                <w:lang w:eastAsia="zh-CN"/>
              </w:rPr>
            </w:pPr>
            <w:r>
              <w:rPr>
                <w:rFonts w:hint="default" w:ascii="Times New Roman" w:hAnsi="Times New Roman" w:cs="Times New Roman"/>
                <w:i/>
                <w:iCs/>
                <w:color w:val="auto"/>
                <w:kern w:val="0"/>
                <w:sz w:val="21"/>
                <w:szCs w:val="21"/>
              </w:rPr>
              <w:t>A</w:t>
            </w:r>
            <w:r>
              <w:rPr>
                <w:rFonts w:hint="default" w:ascii="Times New Roman" w:hAnsi="Times New Roman" w:cs="Times New Roman"/>
                <w:i/>
                <w:iCs/>
                <w:color w:val="auto"/>
                <w:kern w:val="0"/>
                <w:sz w:val="21"/>
                <w:szCs w:val="21"/>
                <w:vertAlign w:val="subscript"/>
              </w:rPr>
              <w:t>div</w:t>
            </w:r>
            <w:r>
              <w:rPr>
                <w:rFonts w:hint="default" w:ascii="Times New Roman" w:hAnsi="Times New Roman" w:cs="Times New Roman"/>
                <w:color w:val="auto"/>
                <w:kern w:val="0"/>
                <w:sz w:val="21"/>
                <w:szCs w:val="21"/>
              </w:rPr>
              <w:t>—几何发散引起的衰减，dB</w:t>
            </w:r>
            <w:r>
              <w:rPr>
                <w:rFonts w:hint="default" w:ascii="Times New Roman" w:hAnsi="Times New Roman" w:cs="Times New Roman"/>
                <w:color w:val="auto"/>
                <w:kern w:val="0"/>
                <w:sz w:val="21"/>
                <w:szCs w:val="21"/>
                <w:lang w:eastAsia="zh-CN"/>
              </w:rPr>
              <w:t>。</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②</w:t>
            </w:r>
            <w:r>
              <w:rPr>
                <w:rFonts w:hint="default" w:ascii="Times New Roman" w:hAnsi="Times New Roman" w:cs="Times New Roman"/>
                <w:color w:val="auto"/>
                <w:sz w:val="21"/>
                <w:szCs w:val="21"/>
              </w:rPr>
              <w:t>室内声源等效室外声源声功率级计算方法</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如图</w:t>
            </w:r>
            <w:r>
              <w:rPr>
                <w:rFonts w:hint="default" w:ascii="Times New Roman" w:hAnsi="Times New Roman" w:cs="Times New Roman"/>
                <w:color w:val="auto"/>
                <w:kern w:val="0"/>
                <w:sz w:val="21"/>
                <w:szCs w:val="21"/>
                <w:lang w:val="en-US" w:eastAsia="zh-CN"/>
              </w:rPr>
              <w:t>B</w:t>
            </w:r>
            <w:r>
              <w:rPr>
                <w:rFonts w:hint="default" w:ascii="Times New Roman" w:hAnsi="Times New Roman" w:cs="Times New Roman"/>
                <w:color w:val="auto"/>
                <w:kern w:val="0"/>
                <w:sz w:val="21"/>
                <w:szCs w:val="21"/>
              </w:rPr>
              <w:t>.1所示，声源位于室内，室内声源可采用等效室外声源声功率级法进行计算。设靠近开口处（或窗户）室内、室外某倍频带的声压级分别为</w:t>
            </w: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w:t>
            </w:r>
            <w:r>
              <w:rPr>
                <w:rFonts w:hint="default" w:ascii="Times New Roman" w:hAnsi="Times New Roman" w:cs="Times New Roman"/>
                <w:color w:val="auto"/>
                <w:kern w:val="0"/>
                <w:sz w:val="21"/>
                <w:szCs w:val="21"/>
                <w:vertAlign w:val="subscript"/>
              </w:rPr>
              <w:t>1</w:t>
            </w:r>
            <w:r>
              <w:rPr>
                <w:rFonts w:hint="default" w:ascii="Times New Roman" w:hAnsi="Times New Roman" w:cs="Times New Roman"/>
                <w:color w:val="auto"/>
                <w:kern w:val="0"/>
                <w:sz w:val="21"/>
                <w:szCs w:val="21"/>
              </w:rPr>
              <w:t>和</w:t>
            </w: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p2</w:t>
            </w:r>
            <w:r>
              <w:rPr>
                <w:rFonts w:hint="default" w:ascii="Times New Roman" w:hAnsi="Times New Roman" w:cs="Times New Roman"/>
                <w:color w:val="auto"/>
                <w:kern w:val="0"/>
                <w:sz w:val="21"/>
                <w:szCs w:val="21"/>
              </w:rPr>
              <w:t>。若声源所在室内声场为近似扩散声场，则室外的倍频带声压级可按公式（</w:t>
            </w:r>
            <w:r>
              <w:rPr>
                <w:rFonts w:hint="default" w:ascii="Times New Roman" w:hAnsi="Times New Roman" w:cs="Times New Roman"/>
                <w:color w:val="auto"/>
                <w:kern w:val="0"/>
                <w:sz w:val="21"/>
                <w:szCs w:val="21"/>
                <w:lang w:val="en-US" w:eastAsia="zh-CN"/>
              </w:rPr>
              <w:t>B</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val="en-US" w:eastAsia="zh-CN"/>
              </w:rPr>
              <w:t>1</w:t>
            </w:r>
            <w:r>
              <w:rPr>
                <w:rFonts w:hint="default" w:ascii="Times New Roman" w:hAnsi="Times New Roman" w:cs="Times New Roman"/>
                <w:color w:val="auto"/>
                <w:kern w:val="0"/>
                <w:sz w:val="21"/>
                <w:szCs w:val="21"/>
              </w:rPr>
              <w:t xml:space="preserve">）近似求出： </w:t>
            </w:r>
          </w:p>
          <w:p>
            <w:pPr>
              <w:autoSpaceDE w:val="0"/>
              <w:autoSpaceDN w:val="0"/>
              <w:adjustRightInd w:val="0"/>
              <w:snapToGrid w:val="0"/>
              <w:spacing w:line="360" w:lineRule="auto"/>
              <w:ind w:firstLine="1260" w:firstLineChars="600"/>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p2</w:t>
            </w:r>
            <w:r>
              <w:rPr>
                <w:rFonts w:hint="default" w:ascii="Times New Roman" w:hAnsi="Times New Roman" w:cs="Times New Roman"/>
                <w:color w:val="auto"/>
                <w:kern w:val="0"/>
                <w:sz w:val="21"/>
                <w:szCs w:val="21"/>
              </w:rPr>
              <w:t>=</w:t>
            </w: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w:t>
            </w:r>
            <w:r>
              <w:rPr>
                <w:rFonts w:hint="default" w:ascii="Times New Roman" w:hAnsi="Times New Roman" w:cs="Times New Roman"/>
                <w:color w:val="auto"/>
                <w:kern w:val="0"/>
                <w:sz w:val="21"/>
                <w:szCs w:val="21"/>
                <w:vertAlign w:val="subscript"/>
              </w:rPr>
              <w:t>1</w:t>
            </w:r>
            <w:r>
              <w:rPr>
                <w:rFonts w:hint="default" w:ascii="Times New Roman" w:hAnsi="Times New Roman" w:cs="Times New Roman"/>
                <w:color w:val="auto"/>
                <w:kern w:val="0"/>
                <w:sz w:val="21"/>
                <w:szCs w:val="21"/>
              </w:rPr>
              <w:t>−(</w:t>
            </w:r>
            <w:r>
              <w:rPr>
                <w:rFonts w:hint="default" w:ascii="Times New Roman" w:hAnsi="Times New Roman" w:cs="Times New Roman"/>
                <w:i/>
                <w:iCs/>
                <w:color w:val="auto"/>
                <w:kern w:val="0"/>
                <w:sz w:val="21"/>
                <w:szCs w:val="21"/>
              </w:rPr>
              <w:t>TL</w:t>
            </w:r>
            <w:r>
              <w:rPr>
                <w:rFonts w:hint="default" w:ascii="Times New Roman" w:hAnsi="Times New Roman" w:cs="Times New Roman"/>
                <w:color w:val="auto"/>
                <w:kern w:val="0"/>
                <w:sz w:val="21"/>
                <w:szCs w:val="21"/>
              </w:rPr>
              <w:t>+6)                                 （</w:t>
            </w:r>
            <w:r>
              <w:rPr>
                <w:rFonts w:hint="default" w:ascii="Times New Roman" w:hAnsi="Times New Roman" w:cs="Times New Roman"/>
                <w:color w:val="auto"/>
                <w:kern w:val="0"/>
                <w:sz w:val="21"/>
                <w:szCs w:val="21"/>
                <w:lang w:val="en-US" w:eastAsia="zh-CN"/>
              </w:rPr>
              <w:t>B</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val="en-US" w:eastAsia="zh-CN"/>
              </w:rPr>
              <w:t>1</w:t>
            </w:r>
            <w:r>
              <w:rPr>
                <w:rFonts w:hint="default" w:ascii="Times New Roman" w:hAnsi="Times New Roman" w:cs="Times New Roman"/>
                <w:color w:val="auto"/>
                <w:kern w:val="0"/>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式中：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lang w:eastAsia="zh-CN"/>
              </w:rPr>
            </w:pPr>
            <w:r>
              <w:rPr>
                <w:rFonts w:hint="default" w:ascii="Times New Roman" w:hAnsi="Times New Roman" w:cs="Times New Roman"/>
                <w:i/>
                <w:iCs/>
                <w:color w:val="auto"/>
                <w:kern w:val="0"/>
                <w:sz w:val="21"/>
                <w:szCs w:val="21"/>
                <w:lang w:val="fr-FR"/>
              </w:rPr>
              <w:t>L</w:t>
            </w:r>
            <w:r>
              <w:rPr>
                <w:rFonts w:hint="default" w:ascii="Times New Roman" w:hAnsi="Times New Roman" w:cs="Times New Roman"/>
                <w:i/>
                <w:iCs/>
                <w:color w:val="auto"/>
                <w:kern w:val="0"/>
                <w:sz w:val="21"/>
                <w:szCs w:val="21"/>
                <w:vertAlign w:val="subscript"/>
                <w:lang w:val="en-US" w:eastAsia="zh-CN"/>
              </w:rPr>
              <w:t>P1</w:t>
            </w:r>
            <w:r>
              <w:rPr>
                <w:rFonts w:hint="default" w:ascii="Times New Roman" w:hAnsi="Times New Roman" w:cs="Times New Roman"/>
                <w:color w:val="auto"/>
                <w:kern w:val="0"/>
                <w:sz w:val="21"/>
                <w:szCs w:val="21"/>
              </w:rPr>
              <w:t>—靠近开口处（或窗户）室内某倍频带的声压级</w:t>
            </w:r>
            <w:r>
              <w:rPr>
                <w:rFonts w:hint="default" w:ascii="Times New Roman" w:hAnsi="Times New Roman" w:cs="Times New Roman"/>
                <w:color w:val="auto"/>
                <w:kern w:val="0"/>
                <w:sz w:val="21"/>
                <w:szCs w:val="21"/>
                <w:lang w:val="en-US" w:eastAsia="zh-CN"/>
              </w:rPr>
              <w:t>或</w:t>
            </w:r>
            <w:r>
              <w:rPr>
                <w:rFonts w:hint="default" w:ascii="Times New Roman" w:hAnsi="Times New Roman" w:cs="Times New Roman"/>
                <w:color w:val="auto"/>
                <w:kern w:val="0"/>
                <w:sz w:val="21"/>
                <w:szCs w:val="21"/>
                <w:vertAlign w:val="baseline"/>
                <w:lang w:val="en-US" w:eastAsia="zh-CN"/>
              </w:rPr>
              <w:t>A声级</w:t>
            </w:r>
            <w:r>
              <w:rPr>
                <w:rFonts w:hint="default" w:ascii="Times New Roman" w:hAnsi="Times New Roman" w:cs="Times New Roman"/>
                <w:color w:val="auto"/>
                <w:kern w:val="0"/>
                <w:sz w:val="21"/>
                <w:szCs w:val="21"/>
              </w:rPr>
              <w:t>，dB</w:t>
            </w:r>
            <w:r>
              <w:rPr>
                <w:rFonts w:hint="default" w:ascii="Times New Roman" w:hAnsi="Times New Roman" w:cs="Times New Roman"/>
                <w:color w:val="auto"/>
                <w:kern w:val="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cs="Times New Roman"/>
                <w:i/>
                <w:iCs/>
                <w:color w:val="auto"/>
                <w:kern w:val="0"/>
                <w:sz w:val="21"/>
                <w:szCs w:val="21"/>
                <w:lang w:val="fr-FR"/>
              </w:rPr>
              <w:t>L</w:t>
            </w:r>
            <w:r>
              <w:rPr>
                <w:rFonts w:hint="default" w:ascii="Times New Roman" w:hAnsi="Times New Roman" w:cs="Times New Roman"/>
                <w:i/>
                <w:iCs/>
                <w:color w:val="auto"/>
                <w:kern w:val="0"/>
                <w:sz w:val="21"/>
                <w:szCs w:val="21"/>
                <w:vertAlign w:val="subscript"/>
                <w:lang w:val="en-US" w:eastAsia="zh-CN"/>
              </w:rPr>
              <w:t>P2</w:t>
            </w:r>
            <w:r>
              <w:rPr>
                <w:rFonts w:hint="default" w:ascii="Times New Roman" w:hAnsi="Times New Roman" w:cs="Times New Roman"/>
                <w:color w:val="auto"/>
                <w:kern w:val="0"/>
                <w:sz w:val="21"/>
                <w:szCs w:val="21"/>
              </w:rPr>
              <w:t>—靠近开口处（或窗户）室外某倍频带的声压级</w:t>
            </w:r>
            <w:r>
              <w:rPr>
                <w:rFonts w:hint="default" w:ascii="Times New Roman" w:hAnsi="Times New Roman" w:cs="Times New Roman"/>
                <w:color w:val="auto"/>
                <w:kern w:val="0"/>
                <w:sz w:val="21"/>
                <w:szCs w:val="21"/>
                <w:lang w:val="en-US" w:eastAsia="zh-CN"/>
              </w:rPr>
              <w:t>或</w:t>
            </w:r>
            <w:r>
              <w:rPr>
                <w:rFonts w:hint="default" w:ascii="Times New Roman" w:hAnsi="Times New Roman" w:cs="Times New Roman"/>
                <w:color w:val="auto"/>
                <w:kern w:val="0"/>
                <w:sz w:val="21"/>
                <w:szCs w:val="21"/>
                <w:vertAlign w:val="baseline"/>
                <w:lang w:val="en-US" w:eastAsia="zh-CN"/>
              </w:rPr>
              <w:t>A声级</w:t>
            </w:r>
            <w:r>
              <w:rPr>
                <w:rFonts w:hint="default" w:ascii="Times New Roman" w:hAnsi="Times New Roman" w:cs="Times New Roman"/>
                <w:color w:val="auto"/>
                <w:kern w:val="0"/>
                <w:sz w:val="21"/>
                <w:szCs w:val="21"/>
              </w:rPr>
              <w:t>，dB</w:t>
            </w:r>
            <w:r>
              <w:rPr>
                <w:rFonts w:hint="default" w:ascii="Times New Roman" w:hAnsi="Times New Roman" w:cs="Times New Roman"/>
                <w:color w:val="auto"/>
                <w:kern w:val="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TL</w:t>
            </w:r>
            <w:r>
              <w:rPr>
                <w:rFonts w:hint="default" w:ascii="Times New Roman" w:hAnsi="Times New Roman" w:cs="Times New Roman"/>
                <w:color w:val="auto"/>
                <w:kern w:val="0"/>
                <w:sz w:val="21"/>
                <w:szCs w:val="21"/>
              </w:rPr>
              <w:t>—隔墙（或窗户）倍频带</w:t>
            </w:r>
            <w:r>
              <w:rPr>
                <w:rFonts w:hint="default" w:ascii="Times New Roman" w:hAnsi="Times New Roman" w:cs="Times New Roman"/>
                <w:color w:val="auto"/>
                <w:kern w:val="0"/>
                <w:sz w:val="21"/>
                <w:szCs w:val="21"/>
                <w:lang w:val="en-US" w:eastAsia="zh-CN"/>
              </w:rPr>
              <w:t>或</w:t>
            </w:r>
            <w:r>
              <w:rPr>
                <w:rFonts w:hint="default" w:ascii="Times New Roman" w:hAnsi="Times New Roman" w:cs="Times New Roman"/>
                <w:color w:val="auto"/>
                <w:kern w:val="0"/>
                <w:sz w:val="21"/>
                <w:szCs w:val="21"/>
                <w:vertAlign w:val="baseline"/>
                <w:lang w:val="en-US" w:eastAsia="zh-CN"/>
              </w:rPr>
              <w:t>A声级</w:t>
            </w:r>
            <w:r>
              <w:rPr>
                <w:rFonts w:hint="default" w:ascii="Times New Roman" w:hAnsi="Times New Roman" w:cs="Times New Roman"/>
                <w:color w:val="auto"/>
                <w:kern w:val="0"/>
                <w:sz w:val="21"/>
                <w:szCs w:val="21"/>
              </w:rPr>
              <w:t>的隔声量，dB。</w:t>
            </w:r>
          </w:p>
          <w:p>
            <w:pPr>
              <w:adjustRightInd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drawing>
                <wp:inline distT="0" distB="0" distL="114300" distR="114300">
                  <wp:extent cx="2386965" cy="1482090"/>
                  <wp:effectExtent l="0" t="0" r="13335" b="381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7"/>
                          <a:stretch>
                            <a:fillRect/>
                          </a:stretch>
                        </pic:blipFill>
                        <pic:spPr>
                          <a:xfrm>
                            <a:off x="0" y="0"/>
                            <a:ext cx="2386965" cy="14820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也可按公式（</w:t>
            </w:r>
            <w:r>
              <w:rPr>
                <w:rFonts w:hint="default" w:ascii="Times New Roman" w:hAnsi="Times New Roman" w:cs="Times New Roman"/>
                <w:color w:val="auto"/>
                <w:sz w:val="21"/>
                <w:szCs w:val="21"/>
                <w:lang w:val="en-US" w:eastAsia="zh-CN"/>
              </w:rPr>
              <w:t>B</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）计算某一室内声源靠近围护结构处产生的倍频带声压级</w:t>
            </w:r>
            <w:r>
              <w:rPr>
                <w:rFonts w:hint="default" w:ascii="Times New Roman" w:hAnsi="Times New Roman" w:cs="Times New Roman"/>
                <w:color w:val="auto"/>
                <w:kern w:val="0"/>
                <w:sz w:val="21"/>
                <w:szCs w:val="21"/>
                <w:lang w:val="en-US" w:eastAsia="zh-CN"/>
              </w:rPr>
              <w:t>或</w:t>
            </w:r>
            <w:r>
              <w:rPr>
                <w:rFonts w:hint="default" w:ascii="Times New Roman" w:hAnsi="Times New Roman" w:cs="Times New Roman"/>
                <w:color w:val="auto"/>
                <w:kern w:val="0"/>
                <w:sz w:val="21"/>
                <w:szCs w:val="21"/>
                <w:vertAlign w:val="baseline"/>
                <w:lang w:val="en-US" w:eastAsia="zh-CN"/>
              </w:rPr>
              <w:t>A声级</w:t>
            </w:r>
            <w:r>
              <w:rPr>
                <w:rFonts w:hint="default" w:ascii="Times New Roman" w:hAnsi="Times New Roman" w:cs="Times New Roman"/>
                <w:color w:val="auto"/>
                <w:sz w:val="21"/>
                <w:szCs w:val="21"/>
              </w:rPr>
              <w:t>：</w:t>
            </w:r>
          </w:p>
          <w:p>
            <w:pPr>
              <w:autoSpaceDE w:val="0"/>
              <w:autoSpaceDN w:val="0"/>
              <w:adjustRightInd w:val="0"/>
              <w:snapToGrid w:val="0"/>
              <w:spacing w:line="360" w:lineRule="auto"/>
              <w:ind w:firstLine="1470" w:firstLineChars="700"/>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w:t>
            </w:r>
            <w:r>
              <w:rPr>
                <w:rFonts w:hint="default" w:ascii="Times New Roman" w:hAnsi="Times New Roman" w:cs="Times New Roman"/>
                <w:color w:val="auto"/>
                <w:kern w:val="0"/>
                <w:sz w:val="21"/>
                <w:szCs w:val="21"/>
                <w:vertAlign w:val="subscript"/>
              </w:rPr>
              <w:t>1</w:t>
            </w:r>
            <w:r>
              <w:rPr>
                <w:rFonts w:hint="default" w:ascii="Times New Roman" w:hAnsi="Times New Roman" w:cs="Times New Roman"/>
                <w:color w:val="auto"/>
                <w:kern w:val="0"/>
                <w:sz w:val="21"/>
                <w:szCs w:val="21"/>
              </w:rPr>
              <w:t>=</w:t>
            </w:r>
            <w:r>
              <w:rPr>
                <w:rFonts w:hint="default" w:ascii="Times New Roman" w:hAnsi="Times New Roman" w:cs="Times New Roman"/>
                <w:i/>
                <w:iCs/>
                <w:color w:val="auto"/>
                <w:kern w:val="0"/>
                <w:sz w:val="21"/>
                <w:szCs w:val="21"/>
              </w:rPr>
              <w:t xml:space="preserve"> L</w:t>
            </w:r>
            <w:r>
              <w:rPr>
                <w:rFonts w:hint="default" w:ascii="Times New Roman" w:hAnsi="Times New Roman" w:cs="Times New Roman"/>
                <w:color w:val="auto"/>
                <w:kern w:val="0"/>
                <w:sz w:val="21"/>
                <w:szCs w:val="21"/>
                <w:vertAlign w:val="subscript"/>
              </w:rPr>
              <w:t>W</w:t>
            </w:r>
            <w:r>
              <w:rPr>
                <w:rFonts w:hint="default" w:ascii="Times New Roman" w:hAnsi="Times New Roman" w:cs="Times New Roman"/>
                <w:color w:val="auto"/>
                <w:kern w:val="0"/>
                <w:sz w:val="21"/>
                <w:szCs w:val="21"/>
              </w:rPr>
              <w:t xml:space="preserve"> +10lg（</w:t>
            </w:r>
            <w:r>
              <w:rPr>
                <w:rFonts w:hint="default" w:ascii="Times New Roman" w:hAnsi="Times New Roman" w:cs="Times New Roman"/>
                <w:i/>
                <w:iCs/>
                <w:color w:val="auto"/>
                <w:kern w:val="0"/>
                <w:sz w:val="21"/>
                <w:szCs w:val="21"/>
              </w:rPr>
              <w:t>Q/</w:t>
            </w:r>
            <w:r>
              <w:rPr>
                <w:rFonts w:hint="default" w:ascii="Times New Roman" w:hAnsi="Times New Roman" w:cs="Times New Roman"/>
                <w:color w:val="auto"/>
                <w:kern w:val="0"/>
                <w:sz w:val="21"/>
                <w:szCs w:val="21"/>
              </w:rPr>
              <w:t>4π</w:t>
            </w:r>
            <w:r>
              <w:rPr>
                <w:rFonts w:hint="default" w:ascii="Times New Roman" w:hAnsi="Times New Roman" w:cs="Times New Roman"/>
                <w:i/>
                <w:iCs/>
                <w:color w:val="auto"/>
                <w:kern w:val="0"/>
                <w:sz w:val="21"/>
                <w:szCs w:val="21"/>
              </w:rPr>
              <w:t>r</w:t>
            </w:r>
            <w:r>
              <w:rPr>
                <w:rFonts w:hint="default" w:ascii="Times New Roman" w:hAnsi="Times New Roman" w:cs="Times New Roman"/>
                <w:i/>
                <w:iCs/>
                <w:color w:val="auto"/>
                <w:kern w:val="0"/>
                <w:sz w:val="21"/>
                <w:szCs w:val="21"/>
                <w:vertAlign w:val="superscript"/>
              </w:rPr>
              <w:t>2</w:t>
            </w:r>
            <w:r>
              <w:rPr>
                <w:rFonts w:hint="default" w:ascii="Times New Roman" w:hAnsi="Times New Roman" w:cs="Times New Roman"/>
                <w:color w:val="auto"/>
                <w:kern w:val="0"/>
                <w:sz w:val="21"/>
                <w:szCs w:val="21"/>
              </w:rPr>
              <w:t>+4/</w:t>
            </w:r>
            <w:r>
              <w:rPr>
                <w:rFonts w:hint="default" w:ascii="Times New Roman" w:hAnsi="Times New Roman" w:cs="Times New Roman"/>
                <w:i/>
                <w:iCs/>
                <w:color w:val="auto"/>
                <w:kern w:val="0"/>
                <w:sz w:val="21"/>
                <w:szCs w:val="21"/>
              </w:rPr>
              <w:t>R</w:t>
            </w:r>
            <w:r>
              <w:rPr>
                <w:rFonts w:hint="default" w:ascii="Times New Roman" w:hAnsi="Times New Roman" w:cs="Times New Roman"/>
                <w:color w:val="auto"/>
                <w:kern w:val="0"/>
                <w:sz w:val="21"/>
                <w:szCs w:val="21"/>
              </w:rPr>
              <w:t>）                   （</w:t>
            </w:r>
            <w:r>
              <w:rPr>
                <w:rFonts w:hint="default" w:ascii="Times New Roman" w:hAnsi="Times New Roman" w:cs="Times New Roman"/>
                <w:color w:val="auto"/>
                <w:sz w:val="21"/>
                <w:szCs w:val="21"/>
                <w:lang w:val="en-US" w:eastAsia="zh-CN"/>
              </w:rPr>
              <w:t>B</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kern w:val="0"/>
                <w:sz w:val="21"/>
                <w:szCs w:val="21"/>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式中：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lang w:eastAsia="zh-CN"/>
              </w:rPr>
            </w:pPr>
            <w:r>
              <w:rPr>
                <w:rFonts w:hint="default" w:ascii="Times New Roman" w:hAnsi="Times New Roman" w:cs="Times New Roman"/>
                <w:i/>
                <w:iCs/>
                <w:color w:val="auto"/>
                <w:kern w:val="0"/>
                <w:sz w:val="21"/>
                <w:szCs w:val="21"/>
                <w:lang w:val="fr-FR"/>
              </w:rPr>
              <w:t>L</w:t>
            </w:r>
            <w:r>
              <w:rPr>
                <w:rFonts w:hint="default" w:ascii="Times New Roman" w:hAnsi="Times New Roman" w:cs="Times New Roman"/>
                <w:i/>
                <w:iCs/>
                <w:color w:val="auto"/>
                <w:kern w:val="0"/>
                <w:sz w:val="21"/>
                <w:szCs w:val="21"/>
                <w:vertAlign w:val="subscript"/>
                <w:lang w:val="en-US" w:eastAsia="zh-CN"/>
              </w:rPr>
              <w:t>P1</w:t>
            </w:r>
            <w:r>
              <w:rPr>
                <w:rFonts w:hint="default" w:ascii="Times New Roman" w:hAnsi="Times New Roman" w:cs="Times New Roman"/>
                <w:color w:val="auto"/>
                <w:kern w:val="0"/>
                <w:sz w:val="21"/>
                <w:szCs w:val="21"/>
              </w:rPr>
              <w:t>—靠近开口处（或窗户）室内某倍频带的声压级</w:t>
            </w:r>
            <w:r>
              <w:rPr>
                <w:rFonts w:hint="default" w:ascii="Times New Roman" w:hAnsi="Times New Roman" w:cs="Times New Roman"/>
                <w:color w:val="auto"/>
                <w:kern w:val="0"/>
                <w:sz w:val="21"/>
                <w:szCs w:val="21"/>
                <w:lang w:val="en-US" w:eastAsia="zh-CN"/>
              </w:rPr>
              <w:t>或</w:t>
            </w:r>
            <w:r>
              <w:rPr>
                <w:rFonts w:hint="default" w:ascii="Times New Roman" w:hAnsi="Times New Roman" w:cs="Times New Roman"/>
                <w:color w:val="auto"/>
                <w:kern w:val="0"/>
                <w:sz w:val="21"/>
                <w:szCs w:val="21"/>
                <w:vertAlign w:val="baseline"/>
                <w:lang w:val="en-US" w:eastAsia="zh-CN"/>
              </w:rPr>
              <w:t>A声级</w:t>
            </w:r>
            <w:r>
              <w:rPr>
                <w:rFonts w:hint="default" w:ascii="Times New Roman" w:hAnsi="Times New Roman" w:cs="Times New Roman"/>
                <w:color w:val="auto"/>
                <w:kern w:val="0"/>
                <w:sz w:val="21"/>
                <w:szCs w:val="21"/>
              </w:rPr>
              <w:t>，dB</w:t>
            </w:r>
            <w:r>
              <w:rPr>
                <w:rFonts w:hint="default" w:ascii="Times New Roman" w:hAnsi="Times New Roman" w:cs="Times New Roman"/>
                <w:color w:val="auto"/>
                <w:kern w:val="0"/>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eastAsia="宋体" w:cs="Times New Roman"/>
                <w:i/>
                <w:iCs/>
                <w:color w:val="auto"/>
                <w:kern w:val="0"/>
                <w:sz w:val="21"/>
                <w:szCs w:val="21"/>
                <w:lang w:eastAsia="zh-CN"/>
              </w:rPr>
            </w:pPr>
            <w:r>
              <w:rPr>
                <w:rFonts w:hint="default" w:ascii="Times New Roman" w:hAnsi="Times New Roman" w:cs="Times New Roman"/>
                <w:i/>
                <w:iCs/>
                <w:color w:val="auto"/>
                <w:kern w:val="0"/>
                <w:sz w:val="21"/>
                <w:szCs w:val="21"/>
              </w:rPr>
              <w:t>L</w:t>
            </w:r>
            <w:r>
              <w:rPr>
                <w:rFonts w:hint="default" w:ascii="Times New Roman" w:hAnsi="Times New Roman" w:cs="Times New Roman"/>
                <w:color w:val="auto"/>
                <w:kern w:val="0"/>
                <w:sz w:val="21"/>
                <w:szCs w:val="21"/>
                <w:vertAlign w:val="subscript"/>
              </w:rPr>
              <w:t>W</w:t>
            </w:r>
            <w:r>
              <w:rPr>
                <w:rFonts w:hint="default" w:ascii="Times New Roman" w:hAnsi="Times New Roman" w:cs="Times New Roman"/>
                <w:color w:val="auto"/>
                <w:kern w:val="0"/>
                <w:sz w:val="21"/>
                <w:szCs w:val="21"/>
              </w:rPr>
              <w:t xml:space="preserve"> —点声源声功率级（A计权或倍频带），dB</w:t>
            </w:r>
            <w:r>
              <w:rPr>
                <w:rFonts w:hint="default" w:ascii="Times New Roman" w:hAnsi="Times New Roman" w:cs="Times New Roman"/>
                <w:color w:val="auto"/>
                <w:kern w:val="0"/>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Q</w:t>
            </w:r>
            <w:r>
              <w:rPr>
                <w:rFonts w:hint="default" w:ascii="Times New Roman" w:hAnsi="Times New Roman" w:cs="Times New Roman"/>
                <w:color w:val="auto"/>
                <w:kern w:val="0"/>
                <w:sz w:val="21"/>
                <w:szCs w:val="21"/>
              </w:rPr>
              <w:t>—指向性因数；通常对无指向性声源，当声源放在房间中心时，</w:t>
            </w:r>
            <w:r>
              <w:rPr>
                <w:rFonts w:hint="default" w:ascii="Times New Roman" w:hAnsi="Times New Roman" w:cs="Times New Roman"/>
                <w:i/>
                <w:iCs/>
                <w:color w:val="auto"/>
                <w:kern w:val="0"/>
                <w:sz w:val="21"/>
                <w:szCs w:val="21"/>
              </w:rPr>
              <w:t>Q</w:t>
            </w:r>
            <w:r>
              <w:rPr>
                <w:rFonts w:hint="default" w:ascii="Times New Roman" w:hAnsi="Times New Roman" w:cs="Times New Roman"/>
                <w:color w:val="auto"/>
                <w:kern w:val="0"/>
                <w:sz w:val="21"/>
                <w:szCs w:val="21"/>
              </w:rPr>
              <w:t>=1；当放在一面墙的中心时，</w:t>
            </w:r>
            <w:r>
              <w:rPr>
                <w:rFonts w:hint="default" w:ascii="Times New Roman" w:hAnsi="Times New Roman" w:cs="Times New Roman"/>
                <w:i/>
                <w:iCs/>
                <w:color w:val="auto"/>
                <w:kern w:val="0"/>
                <w:sz w:val="21"/>
                <w:szCs w:val="21"/>
              </w:rPr>
              <w:t>Q</w:t>
            </w:r>
            <w:r>
              <w:rPr>
                <w:rFonts w:hint="default" w:ascii="Times New Roman" w:hAnsi="Times New Roman" w:cs="Times New Roman"/>
                <w:color w:val="auto"/>
                <w:kern w:val="0"/>
                <w:sz w:val="21"/>
                <w:szCs w:val="21"/>
              </w:rPr>
              <w:t>=2；当放在两面墙夹角处时，</w:t>
            </w:r>
            <w:r>
              <w:rPr>
                <w:rFonts w:hint="default" w:ascii="Times New Roman" w:hAnsi="Times New Roman" w:cs="Times New Roman"/>
                <w:i/>
                <w:iCs/>
                <w:color w:val="auto"/>
                <w:kern w:val="0"/>
                <w:sz w:val="21"/>
                <w:szCs w:val="21"/>
              </w:rPr>
              <w:t>Q</w:t>
            </w:r>
            <w:r>
              <w:rPr>
                <w:rFonts w:hint="default" w:ascii="Times New Roman" w:hAnsi="Times New Roman" w:cs="Times New Roman"/>
                <w:color w:val="auto"/>
                <w:kern w:val="0"/>
                <w:sz w:val="21"/>
                <w:szCs w:val="21"/>
              </w:rPr>
              <w:t>=4；当放在三面墙夹角处时，</w:t>
            </w:r>
            <w:r>
              <w:rPr>
                <w:rFonts w:hint="default" w:ascii="Times New Roman" w:hAnsi="Times New Roman" w:cs="Times New Roman"/>
                <w:i/>
                <w:iCs/>
                <w:color w:val="auto"/>
                <w:kern w:val="0"/>
                <w:sz w:val="21"/>
                <w:szCs w:val="21"/>
              </w:rPr>
              <w:t>Q</w:t>
            </w:r>
            <w:r>
              <w:rPr>
                <w:rFonts w:hint="default" w:ascii="Times New Roman" w:hAnsi="Times New Roman" w:cs="Times New Roman"/>
                <w:color w:val="auto"/>
                <w:kern w:val="0"/>
                <w:sz w:val="21"/>
                <w:szCs w:val="21"/>
              </w:rPr>
              <w:t xml:space="preserve">=8。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R</w:t>
            </w:r>
            <w:r>
              <w:rPr>
                <w:rFonts w:hint="default" w:ascii="Times New Roman" w:hAnsi="Times New Roman" w:cs="Times New Roman"/>
                <w:color w:val="auto"/>
                <w:kern w:val="0"/>
                <w:sz w:val="21"/>
                <w:szCs w:val="21"/>
              </w:rPr>
              <w:t>—房间常数；</w:t>
            </w:r>
            <w:r>
              <w:rPr>
                <w:rFonts w:hint="default" w:ascii="Times New Roman" w:hAnsi="Times New Roman" w:cs="Times New Roman"/>
                <w:i/>
                <w:iCs/>
                <w:color w:val="auto"/>
                <w:kern w:val="0"/>
                <w:sz w:val="21"/>
                <w:szCs w:val="21"/>
              </w:rPr>
              <w:t>R</w:t>
            </w:r>
            <w:r>
              <w:rPr>
                <w:rFonts w:hint="default" w:ascii="Times New Roman" w:hAnsi="Times New Roman" w:cs="Times New Roman"/>
                <w:color w:val="auto"/>
                <w:kern w:val="0"/>
                <w:sz w:val="21"/>
                <w:szCs w:val="21"/>
              </w:rPr>
              <w:t>=</w:t>
            </w:r>
            <w:r>
              <w:rPr>
                <w:rFonts w:hint="default" w:ascii="Times New Roman" w:hAnsi="Times New Roman" w:cs="Times New Roman"/>
                <w:i/>
                <w:iCs/>
                <w:color w:val="auto"/>
                <w:kern w:val="0"/>
                <w:sz w:val="21"/>
                <w:szCs w:val="21"/>
              </w:rPr>
              <w:t>S</w:t>
            </w:r>
            <w:r>
              <w:rPr>
                <w:rFonts w:hint="default" w:ascii="Times New Roman" w:hAnsi="Times New Roman" w:cs="Times New Roman"/>
                <w:color w:val="auto"/>
                <w:kern w:val="0"/>
                <w:sz w:val="21"/>
                <w:szCs w:val="21"/>
              </w:rPr>
              <w:t>α/(1−α)，</w:t>
            </w:r>
            <w:r>
              <w:rPr>
                <w:rFonts w:hint="default" w:ascii="Times New Roman" w:hAnsi="Times New Roman" w:cs="Times New Roman"/>
                <w:i/>
                <w:iCs/>
                <w:color w:val="auto"/>
                <w:kern w:val="0"/>
                <w:sz w:val="21"/>
                <w:szCs w:val="21"/>
              </w:rPr>
              <w:t>S</w:t>
            </w:r>
            <w:r>
              <w:rPr>
                <w:rFonts w:hint="default" w:ascii="Times New Roman" w:hAnsi="Times New Roman" w:cs="Times New Roman"/>
                <w:color w:val="auto"/>
                <w:kern w:val="0"/>
                <w:sz w:val="21"/>
                <w:szCs w:val="21"/>
              </w:rPr>
              <w:t>为房间内表面面积，m</w:t>
            </w:r>
            <w:r>
              <w:rPr>
                <w:rFonts w:hint="default" w:ascii="Times New Roman" w:hAnsi="Times New Roman" w:cs="Times New Roman"/>
                <w:color w:val="auto"/>
                <w:kern w:val="0"/>
                <w:sz w:val="21"/>
                <w:szCs w:val="21"/>
                <w:vertAlign w:val="superscript"/>
              </w:rPr>
              <w:t>2</w:t>
            </w:r>
            <w:r>
              <w:rPr>
                <w:rFonts w:hint="default" w:ascii="Times New Roman" w:hAnsi="Times New Roman" w:cs="Times New Roman"/>
                <w:color w:val="auto"/>
                <w:kern w:val="0"/>
                <w:sz w:val="21"/>
                <w:szCs w:val="21"/>
              </w:rPr>
              <w:t>；α为平均吸声系数</w:t>
            </w: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lang w:val="en-US" w:eastAsia="zh-CN"/>
              </w:rPr>
              <w:t>r</w:t>
            </w:r>
            <w:r>
              <w:rPr>
                <w:rFonts w:hint="default" w:ascii="Times New Roman" w:hAnsi="Times New Roman" w:cs="Times New Roman"/>
                <w:color w:val="auto"/>
                <w:kern w:val="0"/>
                <w:sz w:val="21"/>
                <w:szCs w:val="21"/>
              </w:rPr>
              <w:t xml:space="preserve">—声源到靠近围护结构某点处的距离，m。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然后按公式（</w:t>
            </w:r>
            <w:r>
              <w:rPr>
                <w:rFonts w:hint="default" w:ascii="Times New Roman" w:hAnsi="Times New Roman" w:cs="Times New Roman"/>
                <w:color w:val="auto"/>
                <w:kern w:val="0"/>
                <w:sz w:val="21"/>
                <w:szCs w:val="21"/>
                <w:lang w:val="en-US" w:eastAsia="zh-CN"/>
              </w:rPr>
              <w:t>B.3</w:t>
            </w:r>
            <w:r>
              <w:rPr>
                <w:rFonts w:hint="default" w:ascii="Times New Roman" w:hAnsi="Times New Roman" w:cs="Times New Roman"/>
                <w:color w:val="auto"/>
                <w:kern w:val="0"/>
                <w:sz w:val="21"/>
                <w:szCs w:val="21"/>
              </w:rPr>
              <w:t>）计算出所有室内声源在围护结构处产生的</w:t>
            </w:r>
            <w:r>
              <w:rPr>
                <w:rFonts w:hint="default" w:ascii="Times New Roman" w:hAnsi="Times New Roman" w:cs="Times New Roman"/>
                <w:i/>
                <w:iCs/>
                <w:color w:val="auto"/>
                <w:kern w:val="0"/>
                <w:sz w:val="21"/>
                <w:szCs w:val="21"/>
              </w:rPr>
              <w:t>i</w:t>
            </w:r>
            <w:r>
              <w:rPr>
                <w:rFonts w:hint="default" w:ascii="Times New Roman" w:hAnsi="Times New Roman" w:cs="Times New Roman"/>
                <w:color w:val="auto"/>
                <w:kern w:val="0"/>
                <w:sz w:val="21"/>
                <w:szCs w:val="21"/>
              </w:rPr>
              <w:t>倍频带叠加声压级：</w:t>
            </w:r>
          </w:p>
          <w:p>
            <w:pPr>
              <w:autoSpaceDE w:val="0"/>
              <w:autoSpaceDN w:val="0"/>
              <w:adjustRightInd w:val="0"/>
              <w:snapToGrid w:val="0"/>
              <w:spacing w:line="360" w:lineRule="auto"/>
              <w:ind w:firstLine="420" w:firstLineChars="200"/>
              <w:jc w:val="center"/>
              <w:rPr>
                <w:rFonts w:hint="default" w:ascii="Times New Roman" w:hAnsi="Times New Roman" w:cs="Times New Roman"/>
                <w:color w:val="auto"/>
                <w:kern w:val="0"/>
                <w:sz w:val="21"/>
                <w:szCs w:val="21"/>
              </w:rPr>
            </w:pPr>
            <w:r>
              <w:rPr>
                <w:color w:val="auto"/>
              </w:rPr>
              <w:drawing>
                <wp:inline distT="0" distB="0" distL="114300" distR="114300">
                  <wp:extent cx="3270885" cy="393065"/>
                  <wp:effectExtent l="0" t="0" r="5715" b="698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8"/>
                          <a:srcRect b="8902"/>
                          <a:stretch>
                            <a:fillRect/>
                          </a:stretch>
                        </pic:blipFill>
                        <pic:spPr>
                          <a:xfrm>
                            <a:off x="0" y="0"/>
                            <a:ext cx="3270885" cy="3930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式中：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p1i</w:t>
            </w:r>
            <w:r>
              <w:rPr>
                <w:rFonts w:hint="default" w:ascii="Times New Roman" w:hAnsi="Times New Roman" w:cs="Times New Roman"/>
                <w:iCs/>
                <w:color w:val="auto"/>
                <w:kern w:val="0"/>
                <w:sz w:val="21"/>
                <w:szCs w:val="21"/>
              </w:rPr>
              <w:t>（T）</w:t>
            </w:r>
            <w:r>
              <w:rPr>
                <w:rFonts w:hint="default" w:ascii="Times New Roman" w:hAnsi="Times New Roman" w:cs="Times New Roman"/>
                <w:color w:val="auto"/>
                <w:kern w:val="0"/>
                <w:sz w:val="21"/>
                <w:szCs w:val="21"/>
              </w:rPr>
              <w:t>—靠近围护结构处室内N个声源</w:t>
            </w:r>
            <w:r>
              <w:rPr>
                <w:rFonts w:hint="default" w:ascii="Times New Roman" w:hAnsi="Times New Roman" w:cs="Times New Roman"/>
                <w:i/>
                <w:iCs/>
                <w:color w:val="auto"/>
                <w:kern w:val="0"/>
                <w:sz w:val="21"/>
                <w:szCs w:val="21"/>
              </w:rPr>
              <w:t>i</w:t>
            </w:r>
            <w:r>
              <w:rPr>
                <w:rFonts w:hint="default" w:ascii="Times New Roman" w:hAnsi="Times New Roman" w:cs="Times New Roman"/>
                <w:color w:val="auto"/>
                <w:kern w:val="0"/>
                <w:sz w:val="21"/>
                <w:szCs w:val="21"/>
              </w:rPr>
              <w:t xml:space="preserve">倍频带的叠加声压级，dB；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iCs/>
                <w:color w:val="auto"/>
                <w:kern w:val="0"/>
                <w:sz w:val="21"/>
                <w:szCs w:val="21"/>
              </w:rPr>
            </w:pP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p1i</w:t>
            </w:r>
            <w:r>
              <w:rPr>
                <w:rFonts w:hint="default" w:ascii="Times New Roman" w:hAnsi="Times New Roman" w:cs="Times New Roman"/>
                <w:iCs/>
                <w:color w:val="auto"/>
                <w:kern w:val="0"/>
                <w:sz w:val="21"/>
                <w:szCs w:val="21"/>
                <w:vertAlign w:val="subscript"/>
              </w:rPr>
              <w:t>j</w:t>
            </w:r>
            <w:r>
              <w:rPr>
                <w:rFonts w:hint="default" w:ascii="Times New Roman" w:hAnsi="Times New Roman" w:cs="Times New Roman"/>
                <w:color w:val="auto"/>
                <w:kern w:val="0"/>
                <w:sz w:val="21"/>
                <w:szCs w:val="21"/>
              </w:rPr>
              <w:t>—室内</w:t>
            </w:r>
            <w:r>
              <w:rPr>
                <w:rFonts w:hint="default" w:ascii="Times New Roman" w:hAnsi="Times New Roman" w:cs="Times New Roman"/>
                <w:i/>
                <w:iCs/>
                <w:color w:val="auto"/>
                <w:kern w:val="0"/>
                <w:sz w:val="21"/>
                <w:szCs w:val="21"/>
              </w:rPr>
              <w:t>j</w:t>
            </w:r>
            <w:r>
              <w:rPr>
                <w:rFonts w:hint="default" w:ascii="Times New Roman" w:hAnsi="Times New Roman" w:cs="Times New Roman"/>
                <w:color w:val="auto"/>
                <w:kern w:val="0"/>
                <w:sz w:val="21"/>
                <w:szCs w:val="21"/>
              </w:rPr>
              <w:t>声源</w:t>
            </w:r>
            <w:r>
              <w:rPr>
                <w:rFonts w:hint="default" w:ascii="Times New Roman" w:hAnsi="Times New Roman" w:cs="Times New Roman"/>
                <w:i/>
                <w:iCs/>
                <w:color w:val="auto"/>
                <w:kern w:val="0"/>
                <w:sz w:val="21"/>
                <w:szCs w:val="21"/>
              </w:rPr>
              <w:t>i</w:t>
            </w:r>
            <w:r>
              <w:rPr>
                <w:rFonts w:hint="default" w:ascii="Times New Roman" w:hAnsi="Times New Roman" w:cs="Times New Roman"/>
                <w:color w:val="auto"/>
                <w:kern w:val="0"/>
                <w:sz w:val="21"/>
                <w:szCs w:val="21"/>
              </w:rPr>
              <w:t xml:space="preserve">倍频带的声压级，dB；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N—室内声源总数。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在室内近似为扩散声场时，按公式（</w:t>
            </w:r>
            <w:r>
              <w:rPr>
                <w:rFonts w:hint="default" w:ascii="Times New Roman" w:hAnsi="Times New Roman" w:cs="Times New Roman"/>
                <w:color w:val="auto"/>
                <w:kern w:val="0"/>
                <w:sz w:val="21"/>
                <w:szCs w:val="21"/>
                <w:lang w:val="en-US" w:eastAsia="zh-CN"/>
              </w:rPr>
              <w:t>B.4</w:t>
            </w:r>
            <w:r>
              <w:rPr>
                <w:rFonts w:hint="default" w:ascii="Times New Roman" w:hAnsi="Times New Roman" w:cs="Times New Roman"/>
                <w:color w:val="auto"/>
                <w:kern w:val="0"/>
                <w:sz w:val="21"/>
                <w:szCs w:val="21"/>
              </w:rPr>
              <w:t xml:space="preserve">）计算出靠近室外围护结构处的声压级： </w:t>
            </w:r>
          </w:p>
          <w:p>
            <w:pPr>
              <w:autoSpaceDE w:val="0"/>
              <w:autoSpaceDN w:val="0"/>
              <w:adjustRightInd w:val="0"/>
              <w:snapToGrid w:val="0"/>
              <w:spacing w:line="360" w:lineRule="auto"/>
              <w:ind w:firstLine="1260" w:firstLineChars="600"/>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p2i</w:t>
            </w:r>
            <w:r>
              <w:rPr>
                <w:rFonts w:hint="default" w:ascii="Times New Roman" w:hAnsi="Times New Roman" w:cs="Times New Roman"/>
                <w:iCs/>
                <w:color w:val="auto"/>
                <w:kern w:val="0"/>
                <w:sz w:val="21"/>
                <w:szCs w:val="21"/>
              </w:rPr>
              <w:t>（T）</w:t>
            </w:r>
            <w:r>
              <w:rPr>
                <w:rFonts w:hint="default" w:ascii="Times New Roman" w:hAnsi="Times New Roman" w:cs="Times New Roman"/>
                <w:color w:val="auto"/>
                <w:kern w:val="0"/>
                <w:sz w:val="21"/>
                <w:szCs w:val="21"/>
              </w:rPr>
              <w:t>=</w:t>
            </w:r>
            <w:r>
              <w:rPr>
                <w:rFonts w:hint="default" w:ascii="Times New Roman" w:hAnsi="Times New Roman" w:cs="Times New Roman"/>
                <w:i/>
                <w:iCs/>
                <w:color w:val="auto"/>
                <w:kern w:val="0"/>
                <w:sz w:val="21"/>
                <w:szCs w:val="21"/>
              </w:rPr>
              <w:t xml:space="preserve"> L</w:t>
            </w:r>
            <w:r>
              <w:rPr>
                <w:rFonts w:hint="default" w:ascii="Times New Roman" w:hAnsi="Times New Roman" w:cs="Times New Roman"/>
                <w:i/>
                <w:iCs/>
                <w:color w:val="auto"/>
                <w:kern w:val="0"/>
                <w:sz w:val="21"/>
                <w:szCs w:val="21"/>
                <w:vertAlign w:val="subscript"/>
              </w:rPr>
              <w:t>p1i</w:t>
            </w:r>
            <w:r>
              <w:rPr>
                <w:rFonts w:hint="default" w:ascii="Times New Roman" w:hAnsi="Times New Roman" w:cs="Times New Roman"/>
                <w:iCs/>
                <w:color w:val="auto"/>
                <w:kern w:val="0"/>
                <w:sz w:val="21"/>
                <w:szCs w:val="21"/>
              </w:rPr>
              <w:t>（T）</w:t>
            </w:r>
            <w:r>
              <w:rPr>
                <w:rFonts w:hint="default" w:ascii="Times New Roman" w:hAnsi="Times New Roman" w:cs="Times New Roman"/>
                <w:color w:val="auto"/>
                <w:kern w:val="0"/>
                <w:sz w:val="21"/>
                <w:szCs w:val="21"/>
              </w:rPr>
              <w:t>−（</w:t>
            </w:r>
            <w:r>
              <w:rPr>
                <w:rFonts w:hint="default" w:ascii="Times New Roman" w:hAnsi="Times New Roman" w:cs="Times New Roman"/>
                <w:i/>
                <w:iCs/>
                <w:color w:val="auto"/>
                <w:kern w:val="0"/>
                <w:sz w:val="21"/>
                <w:szCs w:val="21"/>
              </w:rPr>
              <w:t>Tli</w:t>
            </w:r>
            <w:r>
              <w:rPr>
                <w:rFonts w:hint="default" w:ascii="Times New Roman" w:hAnsi="Times New Roman" w:cs="Times New Roman"/>
                <w:color w:val="auto"/>
                <w:kern w:val="0"/>
                <w:sz w:val="21"/>
                <w:szCs w:val="21"/>
              </w:rPr>
              <w:t>+6）                  （</w:t>
            </w:r>
            <w:r>
              <w:rPr>
                <w:rFonts w:hint="default" w:ascii="Times New Roman" w:hAnsi="Times New Roman" w:cs="Times New Roman"/>
                <w:color w:val="auto"/>
                <w:kern w:val="0"/>
                <w:sz w:val="21"/>
                <w:szCs w:val="21"/>
                <w:lang w:val="en-US" w:eastAsia="zh-CN"/>
              </w:rPr>
              <w:t>B.4</w:t>
            </w:r>
            <w:r>
              <w:rPr>
                <w:rFonts w:hint="default" w:ascii="Times New Roman" w:hAnsi="Times New Roman" w:cs="Times New Roman"/>
                <w:color w:val="auto"/>
                <w:kern w:val="0"/>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式中：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p2i</w:t>
            </w:r>
            <w:r>
              <w:rPr>
                <w:rFonts w:hint="default" w:ascii="Times New Roman" w:hAnsi="Times New Roman" w:cs="Times New Roman"/>
                <w:iCs/>
                <w:color w:val="auto"/>
                <w:kern w:val="0"/>
                <w:sz w:val="21"/>
                <w:szCs w:val="21"/>
              </w:rPr>
              <w:t>（T）</w:t>
            </w:r>
            <w:r>
              <w:rPr>
                <w:rFonts w:hint="default" w:ascii="Times New Roman" w:hAnsi="Times New Roman" w:cs="Times New Roman"/>
                <w:color w:val="auto"/>
                <w:kern w:val="0"/>
                <w:sz w:val="21"/>
                <w:szCs w:val="21"/>
              </w:rPr>
              <w:t>—靠近围护结构处室外N个声源</w:t>
            </w:r>
            <w:r>
              <w:rPr>
                <w:rFonts w:hint="default" w:ascii="Times New Roman" w:hAnsi="Times New Roman" w:cs="Times New Roman"/>
                <w:i/>
                <w:iCs/>
                <w:color w:val="auto"/>
                <w:kern w:val="0"/>
                <w:sz w:val="21"/>
                <w:szCs w:val="21"/>
              </w:rPr>
              <w:t>i</w:t>
            </w:r>
            <w:r>
              <w:rPr>
                <w:rFonts w:hint="default" w:ascii="Times New Roman" w:hAnsi="Times New Roman" w:cs="Times New Roman"/>
                <w:color w:val="auto"/>
                <w:kern w:val="0"/>
                <w:sz w:val="21"/>
                <w:szCs w:val="21"/>
              </w:rPr>
              <w:t xml:space="preserve">倍频带的叠加声压级，dB；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eastAsia="宋体" w:cs="Times New Roman"/>
                <w:i/>
                <w:iCs/>
                <w:color w:val="auto"/>
                <w:kern w:val="0"/>
                <w:sz w:val="21"/>
                <w:szCs w:val="21"/>
                <w:lang w:eastAsia="zh-CN"/>
              </w:rPr>
            </w:pP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p1i</w:t>
            </w:r>
            <w:r>
              <w:rPr>
                <w:rFonts w:hint="default" w:ascii="Times New Roman" w:hAnsi="Times New Roman" w:cs="Times New Roman"/>
                <w:iCs/>
                <w:color w:val="auto"/>
                <w:kern w:val="0"/>
                <w:sz w:val="21"/>
                <w:szCs w:val="21"/>
              </w:rPr>
              <w:t>（T）</w:t>
            </w:r>
            <w:r>
              <w:rPr>
                <w:rFonts w:hint="default" w:ascii="Times New Roman" w:hAnsi="Times New Roman" w:cs="Times New Roman"/>
                <w:color w:val="auto"/>
                <w:kern w:val="0"/>
                <w:sz w:val="21"/>
                <w:szCs w:val="21"/>
              </w:rPr>
              <w:t>—靠近围护结构处室</w:t>
            </w:r>
            <w:r>
              <w:rPr>
                <w:rFonts w:hint="default" w:ascii="Times New Roman" w:hAnsi="Times New Roman" w:cs="Times New Roman"/>
                <w:color w:val="auto"/>
                <w:kern w:val="0"/>
                <w:sz w:val="21"/>
                <w:szCs w:val="21"/>
                <w:lang w:val="en-US" w:eastAsia="zh-CN"/>
              </w:rPr>
              <w:t>内</w:t>
            </w:r>
            <w:r>
              <w:rPr>
                <w:rFonts w:hint="default" w:ascii="Times New Roman" w:hAnsi="Times New Roman" w:cs="Times New Roman"/>
                <w:color w:val="auto"/>
                <w:kern w:val="0"/>
                <w:sz w:val="21"/>
                <w:szCs w:val="21"/>
              </w:rPr>
              <w:t>N个声源</w:t>
            </w:r>
            <w:r>
              <w:rPr>
                <w:rFonts w:hint="default" w:ascii="Times New Roman" w:hAnsi="Times New Roman" w:cs="Times New Roman"/>
                <w:i/>
                <w:iCs/>
                <w:color w:val="auto"/>
                <w:kern w:val="0"/>
                <w:sz w:val="21"/>
                <w:szCs w:val="21"/>
              </w:rPr>
              <w:t>i</w:t>
            </w:r>
            <w:r>
              <w:rPr>
                <w:rFonts w:hint="default" w:ascii="Times New Roman" w:hAnsi="Times New Roman" w:cs="Times New Roman"/>
                <w:color w:val="auto"/>
                <w:kern w:val="0"/>
                <w:sz w:val="21"/>
                <w:szCs w:val="21"/>
              </w:rPr>
              <w:t>倍频带的叠加声压级，dB</w:t>
            </w:r>
            <w:r>
              <w:rPr>
                <w:rFonts w:hint="default" w:ascii="Times New Roman" w:hAnsi="Times New Roman" w:cs="Times New Roman"/>
                <w:color w:val="auto"/>
                <w:kern w:val="0"/>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Tli</w:t>
            </w:r>
            <w:r>
              <w:rPr>
                <w:rFonts w:hint="default" w:ascii="Times New Roman" w:hAnsi="Times New Roman" w:cs="Times New Roman"/>
                <w:color w:val="auto"/>
                <w:kern w:val="0"/>
                <w:sz w:val="21"/>
                <w:szCs w:val="21"/>
              </w:rPr>
              <w:t>—围护结构</w:t>
            </w:r>
            <w:r>
              <w:rPr>
                <w:rFonts w:hint="default" w:ascii="Times New Roman" w:hAnsi="Times New Roman" w:cs="Times New Roman"/>
                <w:i/>
                <w:iCs/>
                <w:color w:val="auto"/>
                <w:kern w:val="0"/>
                <w:sz w:val="21"/>
                <w:szCs w:val="21"/>
              </w:rPr>
              <w:t>i</w:t>
            </w:r>
            <w:r>
              <w:rPr>
                <w:rFonts w:hint="default" w:ascii="Times New Roman" w:hAnsi="Times New Roman" w:cs="Times New Roman"/>
                <w:color w:val="auto"/>
                <w:kern w:val="0"/>
                <w:sz w:val="21"/>
                <w:szCs w:val="21"/>
              </w:rPr>
              <w:t xml:space="preserve">倍频带的隔声量，dB。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然后按公式（</w:t>
            </w:r>
            <w:r>
              <w:rPr>
                <w:rFonts w:hint="default" w:ascii="Times New Roman" w:hAnsi="Times New Roman" w:cs="Times New Roman"/>
                <w:color w:val="auto"/>
                <w:kern w:val="0"/>
                <w:sz w:val="21"/>
                <w:szCs w:val="21"/>
                <w:lang w:val="en-US" w:eastAsia="zh-CN"/>
              </w:rPr>
              <w:t>B</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val="en-US" w:eastAsia="zh-CN"/>
              </w:rPr>
              <w:t>5</w:t>
            </w:r>
            <w:r>
              <w:rPr>
                <w:rFonts w:hint="default" w:ascii="Times New Roman" w:hAnsi="Times New Roman" w:cs="Times New Roman"/>
                <w:color w:val="auto"/>
                <w:kern w:val="0"/>
                <w:sz w:val="21"/>
                <w:szCs w:val="21"/>
              </w:rPr>
              <w:t xml:space="preserve">）将室外声源的声压级和透过面积换算成等效的室外声源，计算出中心位置位于透声面积（S）处的等效声源的倍频带声功率级。 </w:t>
            </w:r>
          </w:p>
          <w:p>
            <w:pPr>
              <w:autoSpaceDE w:val="0"/>
              <w:autoSpaceDN w:val="0"/>
              <w:adjustRightInd w:val="0"/>
              <w:snapToGrid w:val="0"/>
              <w:spacing w:line="360" w:lineRule="auto"/>
              <w:ind w:firstLine="1155" w:firstLineChars="550"/>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L</w:t>
            </w:r>
            <w:r>
              <w:rPr>
                <w:rFonts w:hint="default" w:ascii="Times New Roman" w:hAnsi="Times New Roman" w:cs="Times New Roman"/>
                <w:color w:val="auto"/>
                <w:kern w:val="0"/>
                <w:sz w:val="21"/>
                <w:szCs w:val="21"/>
                <w:vertAlign w:val="subscript"/>
              </w:rPr>
              <w:t>W</w:t>
            </w:r>
            <w:r>
              <w:rPr>
                <w:rFonts w:hint="default" w:ascii="Times New Roman" w:hAnsi="Times New Roman" w:cs="Times New Roman"/>
                <w:color w:val="auto"/>
                <w:kern w:val="0"/>
                <w:sz w:val="21"/>
                <w:szCs w:val="21"/>
              </w:rPr>
              <w:t>=</w:t>
            </w:r>
            <w:r>
              <w:rPr>
                <w:rFonts w:hint="default" w:ascii="Times New Roman" w:hAnsi="Times New Roman" w:cs="Times New Roman"/>
                <w:i/>
                <w:iCs/>
                <w:color w:val="auto"/>
                <w:kern w:val="0"/>
                <w:sz w:val="21"/>
                <w:szCs w:val="21"/>
              </w:rPr>
              <w:t xml:space="preserve"> L</w:t>
            </w:r>
            <w:r>
              <w:rPr>
                <w:rFonts w:hint="default" w:ascii="Times New Roman" w:hAnsi="Times New Roman" w:cs="Times New Roman"/>
                <w:i/>
                <w:iCs/>
                <w:color w:val="auto"/>
                <w:kern w:val="0"/>
                <w:sz w:val="21"/>
                <w:szCs w:val="21"/>
                <w:vertAlign w:val="subscript"/>
              </w:rPr>
              <w:t>p2</w:t>
            </w:r>
            <w:r>
              <w:rPr>
                <w:rFonts w:hint="default" w:ascii="Times New Roman" w:hAnsi="Times New Roman" w:cs="Times New Roman"/>
                <w:iCs/>
                <w:color w:val="auto"/>
                <w:kern w:val="0"/>
                <w:sz w:val="21"/>
                <w:szCs w:val="21"/>
              </w:rPr>
              <w:t>（T）</w:t>
            </w:r>
            <w:r>
              <w:rPr>
                <w:rFonts w:hint="default" w:ascii="Times New Roman" w:hAnsi="Times New Roman" w:cs="Times New Roman"/>
                <w:color w:val="auto"/>
                <w:kern w:val="0"/>
                <w:sz w:val="21"/>
                <w:szCs w:val="21"/>
              </w:rPr>
              <w:t>+10lgS                             （</w:t>
            </w:r>
            <w:r>
              <w:rPr>
                <w:rFonts w:hint="default" w:ascii="Times New Roman" w:hAnsi="Times New Roman" w:cs="Times New Roman"/>
                <w:color w:val="auto"/>
                <w:kern w:val="0"/>
                <w:sz w:val="21"/>
                <w:szCs w:val="21"/>
                <w:lang w:val="en-US" w:eastAsia="zh-CN"/>
              </w:rPr>
              <w:t>B</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val="en-US" w:eastAsia="zh-CN"/>
              </w:rPr>
              <w:t>5</w:t>
            </w:r>
            <w:r>
              <w:rPr>
                <w:rFonts w:hint="default" w:ascii="Times New Roman" w:hAnsi="Times New Roman" w:cs="Times New Roman"/>
                <w:color w:val="auto"/>
                <w:kern w:val="0"/>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式中：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i/>
                <w:iCs/>
                <w:color w:val="auto"/>
                <w:kern w:val="0"/>
                <w:sz w:val="21"/>
                <w:szCs w:val="21"/>
              </w:rPr>
              <w:t>L</w:t>
            </w:r>
            <w:r>
              <w:rPr>
                <w:rFonts w:hint="default" w:ascii="Times New Roman" w:hAnsi="Times New Roman" w:cs="Times New Roman"/>
                <w:color w:val="auto"/>
                <w:kern w:val="0"/>
                <w:sz w:val="21"/>
                <w:szCs w:val="21"/>
                <w:vertAlign w:val="subscript"/>
              </w:rPr>
              <w:t>W</w:t>
            </w:r>
            <w:r>
              <w:rPr>
                <w:rFonts w:hint="default" w:ascii="Times New Roman" w:hAnsi="Times New Roman" w:cs="Times New Roman"/>
                <w:color w:val="auto"/>
                <w:kern w:val="0"/>
                <w:sz w:val="21"/>
                <w:szCs w:val="21"/>
              </w:rPr>
              <w:t xml:space="preserve">—中心位置位于透声面积（S）处的等效声源的倍频带声功率，dB；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eastAsia="宋体" w:cs="Times New Roman"/>
                <w:i/>
                <w:iCs/>
                <w:color w:val="auto"/>
                <w:kern w:val="0"/>
                <w:sz w:val="21"/>
                <w:szCs w:val="21"/>
                <w:lang w:eastAsia="zh-CN"/>
              </w:rPr>
            </w:pPr>
            <w:r>
              <w:rPr>
                <w:rFonts w:hint="default" w:ascii="Times New Roman" w:hAnsi="Times New Roman" w:cs="Times New Roman"/>
                <w:i/>
                <w:iCs/>
                <w:color w:val="auto"/>
                <w:kern w:val="0"/>
                <w:sz w:val="21"/>
                <w:szCs w:val="21"/>
              </w:rPr>
              <w:t>L</w:t>
            </w:r>
            <w:r>
              <w:rPr>
                <w:rFonts w:hint="default" w:ascii="Times New Roman" w:hAnsi="Times New Roman" w:cs="Times New Roman"/>
                <w:i/>
                <w:iCs/>
                <w:color w:val="auto"/>
                <w:kern w:val="0"/>
                <w:sz w:val="21"/>
                <w:szCs w:val="21"/>
                <w:vertAlign w:val="subscript"/>
              </w:rPr>
              <w:t>p2</w:t>
            </w:r>
            <w:r>
              <w:rPr>
                <w:rFonts w:hint="default" w:ascii="Times New Roman" w:hAnsi="Times New Roman" w:cs="Times New Roman"/>
                <w:iCs/>
                <w:color w:val="auto"/>
                <w:kern w:val="0"/>
                <w:sz w:val="21"/>
                <w:szCs w:val="21"/>
              </w:rPr>
              <w:t>（T）</w:t>
            </w:r>
            <w:r>
              <w:rPr>
                <w:rFonts w:hint="default" w:ascii="Times New Roman" w:hAnsi="Times New Roman" w:cs="Times New Roman"/>
                <w:color w:val="auto"/>
                <w:kern w:val="0"/>
                <w:sz w:val="21"/>
                <w:szCs w:val="21"/>
              </w:rPr>
              <w:t>—靠近围护结构处室</w:t>
            </w:r>
            <w:r>
              <w:rPr>
                <w:rFonts w:hint="default" w:ascii="Times New Roman" w:hAnsi="Times New Roman" w:cs="Times New Roman"/>
                <w:color w:val="auto"/>
                <w:kern w:val="0"/>
                <w:sz w:val="21"/>
                <w:szCs w:val="21"/>
                <w:lang w:val="en-US" w:eastAsia="zh-CN"/>
              </w:rPr>
              <w:t>外</w:t>
            </w:r>
            <w:r>
              <w:rPr>
                <w:rFonts w:hint="default" w:ascii="Times New Roman" w:hAnsi="Times New Roman" w:cs="Times New Roman"/>
                <w:color w:val="auto"/>
                <w:kern w:val="0"/>
                <w:sz w:val="21"/>
                <w:szCs w:val="21"/>
              </w:rPr>
              <w:t>声源</w:t>
            </w:r>
            <w:r>
              <w:rPr>
                <w:rFonts w:hint="default" w:ascii="Times New Roman" w:hAnsi="Times New Roman" w:cs="Times New Roman"/>
                <w:color w:val="auto"/>
                <w:kern w:val="0"/>
                <w:sz w:val="21"/>
                <w:szCs w:val="21"/>
                <w:lang w:val="en-US" w:eastAsia="zh-CN"/>
              </w:rPr>
              <w:t>的</w:t>
            </w:r>
            <w:r>
              <w:rPr>
                <w:rFonts w:hint="default" w:ascii="Times New Roman" w:hAnsi="Times New Roman" w:cs="Times New Roman"/>
                <w:color w:val="auto"/>
                <w:kern w:val="0"/>
                <w:sz w:val="21"/>
                <w:szCs w:val="21"/>
              </w:rPr>
              <w:t>声压级，dB</w:t>
            </w:r>
            <w:r>
              <w:rPr>
                <w:rFonts w:hint="default" w:ascii="Times New Roman" w:hAnsi="Times New Roman" w:cs="Times New Roman"/>
                <w:color w:val="auto"/>
                <w:kern w:val="0"/>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S—</w:t>
            </w:r>
            <w:r>
              <w:rPr>
                <w:rFonts w:hint="default" w:ascii="Times New Roman" w:hAnsi="Times New Roman" w:cs="Times New Roman"/>
                <w:color w:val="auto"/>
                <w:kern w:val="0"/>
                <w:sz w:val="21"/>
                <w:szCs w:val="21"/>
                <w:lang w:val="en-US" w:eastAsia="zh-CN"/>
              </w:rPr>
              <w:t>透声面积</w:t>
            </w: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val="en-US" w:eastAsia="zh-CN"/>
              </w:rPr>
              <w:t>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default" w:ascii="Times New Roman" w:hAnsi="Times New Roman" w:cs="Times New Roman"/>
                <w:color w:val="auto"/>
                <w:spacing w:val="0"/>
                <w:kern w:val="0"/>
                <w:sz w:val="21"/>
                <w:szCs w:val="21"/>
              </w:rPr>
            </w:pPr>
            <w:r>
              <w:rPr>
                <w:rFonts w:hint="default" w:ascii="Times New Roman" w:hAnsi="Times New Roman" w:cs="Times New Roman"/>
                <w:color w:val="auto"/>
                <w:spacing w:val="0"/>
                <w:kern w:val="0"/>
                <w:sz w:val="21"/>
                <w:szCs w:val="21"/>
              </w:rPr>
              <w:t>然后按室外声源预测方法计算预测点处的A声级。</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（3）靠近声源处的预测点噪声预测模式</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bCs/>
                <w:color w:val="auto"/>
                <w:spacing w:val="0"/>
                <w:sz w:val="21"/>
                <w:szCs w:val="21"/>
              </w:rPr>
            </w:pPr>
            <w:r>
              <w:rPr>
                <w:rFonts w:hint="default" w:ascii="Times New Roman" w:hAnsi="Times New Roman" w:cs="Times New Roman"/>
                <w:snapToGrid w:val="0"/>
                <w:color w:val="auto"/>
                <w:spacing w:val="0"/>
                <w:kern w:val="0"/>
                <w:sz w:val="21"/>
                <w:szCs w:val="21"/>
              </w:rPr>
              <w:t>如预测点在靠近声源处，但不能满足点声源条件时，需按线声源或面声源模式计算。</w:t>
            </w:r>
          </w:p>
          <w:p>
            <w:pPr>
              <w:spacing w:line="360" w:lineRule="auto"/>
              <w:ind w:firstLine="420" w:firstLineChars="200"/>
              <w:rPr>
                <w:rFonts w:hint="default" w:ascii="Times New Roman" w:hAnsi="Times New Roman" w:cs="Times New Roman"/>
                <w:bCs/>
                <w:color w:val="auto"/>
                <w:szCs w:val="21"/>
              </w:rPr>
            </w:pPr>
            <w:r>
              <w:rPr>
                <w:color w:val="auto"/>
                <w:spacing w:val="0"/>
                <w:sz w:val="21"/>
                <w:szCs w:val="21"/>
              </w:rPr>
              <w:t>根据此次本工程主要噪声设备经采取相应治理措施后的噪声值，利用以上预测模式和参数计算得出本工程主要噪声设备对厂界的噪声预测值</w:t>
            </w:r>
            <w:r>
              <w:rPr>
                <w:rFonts w:hint="eastAsia"/>
                <w:color w:val="auto"/>
                <w:spacing w:val="0"/>
                <w:sz w:val="21"/>
                <w:szCs w:val="21"/>
                <w:lang w:eastAsia="zh-CN"/>
              </w:rPr>
              <w:t>（</w:t>
            </w:r>
            <w:r>
              <w:rPr>
                <w:rFonts w:hint="eastAsia"/>
                <w:color w:val="auto"/>
                <w:spacing w:val="0"/>
                <w:sz w:val="21"/>
                <w:szCs w:val="21"/>
                <w:lang w:val="en-US" w:eastAsia="zh-CN"/>
              </w:rPr>
              <w:t>厂界200m范围内无敏感目标，不需对敏感目标进行噪声预测</w:t>
            </w:r>
            <w:r>
              <w:rPr>
                <w:rFonts w:hint="eastAsia"/>
                <w:color w:val="auto"/>
                <w:spacing w:val="0"/>
                <w:sz w:val="21"/>
                <w:szCs w:val="21"/>
                <w:lang w:eastAsia="zh-CN"/>
              </w:rPr>
              <w:t>），</w:t>
            </w:r>
            <w:r>
              <w:rPr>
                <w:rFonts w:hint="default" w:ascii="Times New Roman" w:hAnsi="Times New Roman" w:cs="Times New Roman"/>
                <w:bCs/>
                <w:color w:val="auto"/>
                <w:szCs w:val="21"/>
              </w:rPr>
              <w:t>预测结果见下表。</w:t>
            </w:r>
          </w:p>
          <w:p>
            <w:pPr>
              <w:pStyle w:val="60"/>
              <w:tabs>
                <w:tab w:val="left" w:pos="1410"/>
              </w:tabs>
              <w:spacing w:beforeLines="0" w:line="300" w:lineRule="auto"/>
              <w:rPr>
                <w:rFonts w:hint="default" w:ascii="Times New Roman" w:hAnsi="Times New Roman" w:cs="Times New Roman"/>
                <w:color w:val="auto"/>
                <w:szCs w:val="21"/>
              </w:rPr>
            </w:pPr>
            <w:r>
              <w:rPr>
                <w:rFonts w:hint="default" w:ascii="Times New Roman" w:hAnsi="Times New Roman" w:cs="Times New Roman"/>
                <w:color w:val="auto"/>
                <w:szCs w:val="21"/>
              </w:rPr>
              <w:t>表2</w:t>
            </w:r>
            <w:r>
              <w:rPr>
                <w:rFonts w:hint="eastAsia" w:cs="Times New Roman"/>
                <w:color w:val="auto"/>
                <w:szCs w:val="21"/>
                <w:lang w:val="en-US" w:eastAsia="zh-CN"/>
              </w:rPr>
              <w:t>0</w:t>
            </w:r>
            <w:r>
              <w:rPr>
                <w:rFonts w:hint="default" w:ascii="Times New Roman" w:hAnsi="Times New Roman" w:cs="Times New Roman"/>
                <w:color w:val="auto"/>
                <w:szCs w:val="21"/>
              </w:rPr>
              <w:t xml:space="preserve">  项目各噪声点噪声叠加预测结果单位  单位：dB(A)</w:t>
            </w:r>
          </w:p>
          <w:tbl>
            <w:tblPr>
              <w:tblStyle w:val="26"/>
              <w:tblW w:w="791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27"/>
              <w:gridCol w:w="1289"/>
              <w:gridCol w:w="1047"/>
              <w:gridCol w:w="1228"/>
              <w:gridCol w:w="1208"/>
              <w:gridCol w:w="1208"/>
              <w:gridCol w:w="120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jc w:val="center"/>
              </w:trPr>
              <w:tc>
                <w:tcPr>
                  <w:tcW w:w="727" w:type="dxa"/>
                  <w:vMerge w:val="restart"/>
                  <w:tcBorders>
                    <w:tl2br w:val="nil"/>
                    <w:tr2bl w:val="nil"/>
                  </w:tcBorders>
                  <w:vAlign w:val="center"/>
                </w:tcPr>
                <w:p>
                  <w:pPr>
                    <w:adjustRightInd w:val="0"/>
                    <w:snapToGrid w:val="0"/>
                    <w:jc w:val="center"/>
                    <w:rPr>
                      <w:rFonts w:hint="default" w:ascii="Times New Roman" w:hAnsi="Times New Roman" w:cs="Times New Roman"/>
                      <w:b/>
                      <w:bCs/>
                      <w:color w:val="auto"/>
                      <w:spacing w:val="6"/>
                      <w:szCs w:val="21"/>
                    </w:rPr>
                  </w:pPr>
                  <w:r>
                    <w:rPr>
                      <w:rFonts w:hint="default" w:ascii="Times New Roman" w:hAnsi="Times New Roman" w:cs="Times New Roman"/>
                      <w:b/>
                      <w:bCs/>
                      <w:color w:val="auto"/>
                      <w:spacing w:val="6"/>
                      <w:szCs w:val="21"/>
                    </w:rPr>
                    <w:t>序号</w:t>
                  </w:r>
                </w:p>
              </w:tc>
              <w:tc>
                <w:tcPr>
                  <w:tcW w:w="1289" w:type="dxa"/>
                  <w:vMerge w:val="restart"/>
                  <w:tcBorders>
                    <w:tl2br w:val="nil"/>
                    <w:tr2bl w:val="nil"/>
                  </w:tcBorders>
                  <w:vAlign w:val="center"/>
                </w:tcPr>
                <w:p>
                  <w:pPr>
                    <w:adjustRightInd w:val="0"/>
                    <w:snapToGrid w:val="0"/>
                    <w:jc w:val="center"/>
                    <w:rPr>
                      <w:rFonts w:hint="default" w:ascii="Times New Roman" w:hAnsi="Times New Roman" w:cs="Times New Roman"/>
                      <w:b/>
                      <w:bCs/>
                      <w:color w:val="auto"/>
                      <w:spacing w:val="6"/>
                      <w:szCs w:val="21"/>
                    </w:rPr>
                  </w:pPr>
                  <w:r>
                    <w:rPr>
                      <w:rFonts w:hint="default" w:ascii="Times New Roman" w:hAnsi="Times New Roman" w:cs="Times New Roman"/>
                      <w:b/>
                      <w:bCs/>
                      <w:color w:val="auto"/>
                      <w:spacing w:val="6"/>
                      <w:szCs w:val="21"/>
                    </w:rPr>
                    <w:t>预测点位</w:t>
                  </w:r>
                </w:p>
              </w:tc>
              <w:tc>
                <w:tcPr>
                  <w:tcW w:w="2275" w:type="dxa"/>
                  <w:gridSpan w:val="2"/>
                  <w:tcBorders>
                    <w:tl2br w:val="nil"/>
                    <w:tr2bl w:val="nil"/>
                  </w:tcBorders>
                  <w:vAlign w:val="center"/>
                </w:tcPr>
                <w:p>
                  <w:pPr>
                    <w:adjustRightInd w:val="0"/>
                    <w:snapToGrid w:val="0"/>
                    <w:jc w:val="center"/>
                    <w:rPr>
                      <w:rFonts w:hint="default" w:ascii="Times New Roman" w:hAnsi="Times New Roman" w:cs="Times New Roman"/>
                      <w:b/>
                      <w:bCs/>
                      <w:color w:val="auto"/>
                      <w:spacing w:val="6"/>
                      <w:szCs w:val="21"/>
                    </w:rPr>
                  </w:pPr>
                  <w:r>
                    <w:rPr>
                      <w:rFonts w:hint="default" w:ascii="Times New Roman" w:hAnsi="Times New Roman" w:cs="Times New Roman"/>
                      <w:b/>
                      <w:bCs/>
                      <w:color w:val="auto"/>
                      <w:spacing w:val="6"/>
                      <w:szCs w:val="21"/>
                    </w:rPr>
                    <w:t>预测值</w:t>
                  </w:r>
                </w:p>
              </w:tc>
              <w:tc>
                <w:tcPr>
                  <w:tcW w:w="2416" w:type="dxa"/>
                  <w:gridSpan w:val="2"/>
                  <w:tcBorders>
                    <w:tl2br w:val="nil"/>
                    <w:tr2bl w:val="nil"/>
                  </w:tcBorders>
                  <w:vAlign w:val="center"/>
                </w:tcPr>
                <w:p>
                  <w:pPr>
                    <w:adjustRightInd w:val="0"/>
                    <w:snapToGrid w:val="0"/>
                    <w:jc w:val="center"/>
                    <w:rPr>
                      <w:rFonts w:hint="default" w:ascii="Times New Roman" w:hAnsi="Times New Roman" w:cs="Times New Roman"/>
                      <w:b/>
                      <w:bCs/>
                      <w:color w:val="auto"/>
                      <w:spacing w:val="6"/>
                      <w:szCs w:val="21"/>
                    </w:rPr>
                  </w:pPr>
                  <w:r>
                    <w:rPr>
                      <w:rFonts w:hint="default" w:ascii="Times New Roman" w:hAnsi="Times New Roman" w:cs="Times New Roman"/>
                      <w:b/>
                      <w:bCs/>
                      <w:color w:val="auto"/>
                      <w:spacing w:val="6"/>
                      <w:szCs w:val="21"/>
                    </w:rPr>
                    <w:t>标准值</w:t>
                  </w:r>
                </w:p>
              </w:tc>
              <w:tc>
                <w:tcPr>
                  <w:tcW w:w="1209" w:type="dxa"/>
                  <w:vMerge w:val="restart"/>
                  <w:tcBorders>
                    <w:tl2br w:val="nil"/>
                    <w:tr2bl w:val="nil"/>
                  </w:tcBorders>
                  <w:vAlign w:val="center"/>
                </w:tcPr>
                <w:p>
                  <w:pPr>
                    <w:adjustRightInd w:val="0"/>
                    <w:snapToGrid w:val="0"/>
                    <w:jc w:val="center"/>
                    <w:rPr>
                      <w:rFonts w:hint="default" w:ascii="Times New Roman" w:hAnsi="Times New Roman" w:cs="Times New Roman"/>
                      <w:b/>
                      <w:bCs/>
                      <w:color w:val="auto"/>
                      <w:spacing w:val="6"/>
                      <w:szCs w:val="21"/>
                    </w:rPr>
                  </w:pPr>
                  <w:r>
                    <w:rPr>
                      <w:rFonts w:hint="default" w:ascii="Times New Roman" w:hAnsi="Times New Roman" w:cs="Times New Roman"/>
                      <w:b/>
                      <w:bCs/>
                      <w:color w:val="auto"/>
                      <w:spacing w:val="6"/>
                      <w:szCs w:val="21"/>
                    </w:rPr>
                    <w:t>超标值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jc w:val="center"/>
              </w:trPr>
              <w:tc>
                <w:tcPr>
                  <w:tcW w:w="727" w:type="dxa"/>
                  <w:vMerge w:val="continue"/>
                  <w:tcBorders>
                    <w:tl2br w:val="nil"/>
                    <w:tr2bl w:val="nil"/>
                  </w:tcBorders>
                  <w:vAlign w:val="center"/>
                </w:tcPr>
                <w:p>
                  <w:pPr>
                    <w:adjustRightInd w:val="0"/>
                    <w:snapToGrid w:val="0"/>
                    <w:jc w:val="center"/>
                    <w:rPr>
                      <w:rFonts w:hint="default" w:ascii="Times New Roman" w:hAnsi="Times New Roman" w:cs="Times New Roman"/>
                      <w:b/>
                      <w:bCs/>
                      <w:color w:val="auto"/>
                      <w:spacing w:val="6"/>
                      <w:szCs w:val="21"/>
                    </w:rPr>
                  </w:pPr>
                </w:p>
              </w:tc>
              <w:tc>
                <w:tcPr>
                  <w:tcW w:w="1289" w:type="dxa"/>
                  <w:vMerge w:val="continue"/>
                  <w:tcBorders>
                    <w:tl2br w:val="nil"/>
                    <w:tr2bl w:val="nil"/>
                  </w:tcBorders>
                  <w:vAlign w:val="center"/>
                </w:tcPr>
                <w:p>
                  <w:pPr>
                    <w:adjustRightInd w:val="0"/>
                    <w:snapToGrid w:val="0"/>
                    <w:jc w:val="center"/>
                    <w:rPr>
                      <w:rFonts w:hint="default" w:ascii="Times New Roman" w:hAnsi="Times New Roman" w:cs="Times New Roman"/>
                      <w:b/>
                      <w:bCs/>
                      <w:color w:val="auto"/>
                      <w:spacing w:val="6"/>
                      <w:szCs w:val="21"/>
                    </w:rPr>
                  </w:pPr>
                </w:p>
              </w:tc>
              <w:tc>
                <w:tcPr>
                  <w:tcW w:w="1047" w:type="dxa"/>
                  <w:tcBorders>
                    <w:tl2br w:val="nil"/>
                    <w:tr2bl w:val="nil"/>
                  </w:tcBorders>
                  <w:vAlign w:val="center"/>
                </w:tcPr>
                <w:p>
                  <w:pPr>
                    <w:adjustRightInd w:val="0"/>
                    <w:snapToGrid w:val="0"/>
                    <w:jc w:val="center"/>
                    <w:rPr>
                      <w:rFonts w:hint="default" w:ascii="Times New Roman" w:hAnsi="Times New Roman" w:cs="Times New Roman"/>
                      <w:b/>
                      <w:bCs/>
                      <w:color w:val="auto"/>
                      <w:spacing w:val="6"/>
                      <w:szCs w:val="21"/>
                    </w:rPr>
                  </w:pPr>
                  <w:r>
                    <w:rPr>
                      <w:rFonts w:hint="default" w:ascii="Times New Roman" w:hAnsi="Times New Roman" w:cs="Times New Roman"/>
                      <w:b/>
                      <w:bCs/>
                      <w:color w:val="auto"/>
                      <w:spacing w:val="6"/>
                      <w:szCs w:val="21"/>
                    </w:rPr>
                    <w:t>昼间</w:t>
                  </w:r>
                </w:p>
              </w:tc>
              <w:tc>
                <w:tcPr>
                  <w:tcW w:w="1228" w:type="dxa"/>
                  <w:tcBorders>
                    <w:tl2br w:val="nil"/>
                    <w:tr2bl w:val="nil"/>
                  </w:tcBorders>
                  <w:vAlign w:val="center"/>
                </w:tcPr>
                <w:p>
                  <w:pPr>
                    <w:adjustRightInd w:val="0"/>
                    <w:snapToGrid w:val="0"/>
                    <w:jc w:val="center"/>
                    <w:rPr>
                      <w:rFonts w:hint="default" w:ascii="Times New Roman" w:hAnsi="Times New Roman" w:cs="Times New Roman"/>
                      <w:b/>
                      <w:bCs/>
                      <w:color w:val="auto"/>
                      <w:spacing w:val="6"/>
                      <w:szCs w:val="21"/>
                    </w:rPr>
                  </w:pPr>
                  <w:r>
                    <w:rPr>
                      <w:rFonts w:hint="default" w:ascii="Times New Roman" w:hAnsi="Times New Roman" w:cs="Times New Roman"/>
                      <w:b/>
                      <w:bCs/>
                      <w:color w:val="auto"/>
                      <w:spacing w:val="6"/>
                      <w:szCs w:val="21"/>
                    </w:rPr>
                    <w:t>夜间</w:t>
                  </w:r>
                </w:p>
              </w:tc>
              <w:tc>
                <w:tcPr>
                  <w:tcW w:w="1208" w:type="dxa"/>
                  <w:tcBorders>
                    <w:tl2br w:val="nil"/>
                    <w:tr2bl w:val="nil"/>
                  </w:tcBorders>
                  <w:vAlign w:val="center"/>
                </w:tcPr>
                <w:p>
                  <w:pPr>
                    <w:adjustRightInd w:val="0"/>
                    <w:snapToGrid w:val="0"/>
                    <w:jc w:val="center"/>
                    <w:rPr>
                      <w:rFonts w:hint="default" w:ascii="Times New Roman" w:hAnsi="Times New Roman" w:cs="Times New Roman"/>
                      <w:b/>
                      <w:bCs/>
                      <w:color w:val="auto"/>
                      <w:spacing w:val="6"/>
                      <w:szCs w:val="21"/>
                    </w:rPr>
                  </w:pPr>
                  <w:r>
                    <w:rPr>
                      <w:rFonts w:hint="default" w:ascii="Times New Roman" w:hAnsi="Times New Roman" w:cs="Times New Roman"/>
                      <w:b/>
                      <w:bCs/>
                      <w:color w:val="auto"/>
                      <w:spacing w:val="6"/>
                      <w:szCs w:val="21"/>
                    </w:rPr>
                    <w:t>昼间</w:t>
                  </w:r>
                </w:p>
              </w:tc>
              <w:tc>
                <w:tcPr>
                  <w:tcW w:w="1208" w:type="dxa"/>
                  <w:tcBorders>
                    <w:tl2br w:val="nil"/>
                    <w:tr2bl w:val="nil"/>
                  </w:tcBorders>
                  <w:vAlign w:val="center"/>
                </w:tcPr>
                <w:p>
                  <w:pPr>
                    <w:adjustRightInd w:val="0"/>
                    <w:snapToGrid w:val="0"/>
                    <w:jc w:val="center"/>
                    <w:rPr>
                      <w:rFonts w:hint="default" w:ascii="Times New Roman" w:hAnsi="Times New Roman" w:cs="Times New Roman"/>
                      <w:b/>
                      <w:bCs/>
                      <w:color w:val="auto"/>
                      <w:spacing w:val="6"/>
                      <w:szCs w:val="21"/>
                    </w:rPr>
                  </w:pPr>
                  <w:r>
                    <w:rPr>
                      <w:rFonts w:hint="default" w:ascii="Times New Roman" w:hAnsi="Times New Roman" w:cs="Times New Roman"/>
                      <w:b/>
                      <w:bCs/>
                      <w:color w:val="auto"/>
                      <w:spacing w:val="6"/>
                      <w:szCs w:val="21"/>
                    </w:rPr>
                    <w:t>夜间</w:t>
                  </w:r>
                </w:p>
              </w:tc>
              <w:tc>
                <w:tcPr>
                  <w:tcW w:w="1209" w:type="dxa"/>
                  <w:vMerge w:val="continue"/>
                  <w:tcBorders>
                    <w:tl2br w:val="nil"/>
                    <w:tr2bl w:val="nil"/>
                  </w:tcBorders>
                  <w:vAlign w:val="center"/>
                </w:tcPr>
                <w:p>
                  <w:pPr>
                    <w:adjustRightInd w:val="0"/>
                    <w:snapToGrid w:val="0"/>
                    <w:jc w:val="center"/>
                    <w:rPr>
                      <w:rFonts w:hint="default" w:ascii="Times New Roman" w:hAnsi="Times New Roman" w:cs="Times New Roman"/>
                      <w:b/>
                      <w:bCs/>
                      <w:color w:val="auto"/>
                      <w:spacing w:val="6"/>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jc w:val="center"/>
              </w:trPr>
              <w:tc>
                <w:tcPr>
                  <w:tcW w:w="727" w:type="dxa"/>
                  <w:tcBorders>
                    <w:tl2br w:val="nil"/>
                    <w:tr2bl w:val="nil"/>
                  </w:tcBorders>
                  <w:vAlign w:val="center"/>
                </w:tcPr>
                <w:p>
                  <w:pPr>
                    <w:adjustRightInd w:val="0"/>
                    <w:snapToGrid w:val="0"/>
                    <w:jc w:val="center"/>
                    <w:rPr>
                      <w:rFonts w:hint="default" w:ascii="Times New Roman" w:hAnsi="Times New Roman" w:cs="Times New Roman"/>
                      <w:bCs/>
                      <w:color w:val="auto"/>
                      <w:spacing w:val="6"/>
                      <w:szCs w:val="21"/>
                    </w:rPr>
                  </w:pPr>
                  <w:r>
                    <w:rPr>
                      <w:rFonts w:hint="default" w:ascii="Times New Roman" w:hAnsi="Times New Roman" w:cs="Times New Roman"/>
                      <w:color w:val="auto"/>
                      <w:spacing w:val="6"/>
                      <w:szCs w:val="21"/>
                    </w:rPr>
                    <w:t>1</w:t>
                  </w:r>
                </w:p>
              </w:tc>
              <w:tc>
                <w:tcPr>
                  <w:tcW w:w="1289"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西厂界</w:t>
                  </w:r>
                </w:p>
              </w:tc>
              <w:tc>
                <w:tcPr>
                  <w:tcW w:w="104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r>
                    <w:rPr>
                      <w:rFonts w:hint="eastAsia" w:cs="Times New Roman"/>
                      <w:color w:val="auto"/>
                      <w:szCs w:val="21"/>
                      <w:lang w:val="en-US" w:eastAsia="zh-CN"/>
                    </w:rPr>
                    <w:t>6</w:t>
                  </w:r>
                  <w:r>
                    <w:rPr>
                      <w:rFonts w:hint="default" w:ascii="Times New Roman" w:hAnsi="Times New Roman" w:cs="Times New Roman"/>
                      <w:color w:val="auto"/>
                      <w:szCs w:val="21"/>
                    </w:rPr>
                    <w:t>.86</w:t>
                  </w:r>
                </w:p>
              </w:tc>
              <w:tc>
                <w:tcPr>
                  <w:tcW w:w="122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208" w:type="dxa"/>
                  <w:tcBorders>
                    <w:tl2br w:val="nil"/>
                    <w:tr2bl w:val="nil"/>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120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209" w:type="dxa"/>
                  <w:tcBorders>
                    <w:tl2br w:val="nil"/>
                    <w:tr2bl w:val="nil"/>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jc w:val="center"/>
              </w:trPr>
              <w:tc>
                <w:tcPr>
                  <w:tcW w:w="727" w:type="dxa"/>
                  <w:tcBorders>
                    <w:tl2br w:val="nil"/>
                    <w:tr2bl w:val="nil"/>
                  </w:tcBorders>
                  <w:vAlign w:val="center"/>
                </w:tcPr>
                <w:p>
                  <w:pPr>
                    <w:adjustRightInd w:val="0"/>
                    <w:snapToGrid w:val="0"/>
                    <w:jc w:val="center"/>
                    <w:rPr>
                      <w:rFonts w:hint="default" w:ascii="Times New Roman" w:hAnsi="Times New Roman" w:cs="Times New Roman"/>
                      <w:bCs/>
                      <w:color w:val="auto"/>
                      <w:spacing w:val="6"/>
                      <w:szCs w:val="21"/>
                    </w:rPr>
                  </w:pPr>
                  <w:r>
                    <w:rPr>
                      <w:rFonts w:hint="default" w:ascii="Times New Roman" w:hAnsi="Times New Roman" w:cs="Times New Roman"/>
                      <w:color w:val="auto"/>
                      <w:spacing w:val="6"/>
                      <w:szCs w:val="21"/>
                    </w:rPr>
                    <w:t>2</w:t>
                  </w:r>
                </w:p>
              </w:tc>
              <w:tc>
                <w:tcPr>
                  <w:tcW w:w="1289"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北厂界</w:t>
                  </w:r>
                </w:p>
              </w:tc>
              <w:tc>
                <w:tcPr>
                  <w:tcW w:w="1047" w:type="dxa"/>
                  <w:tcBorders>
                    <w:tl2br w:val="nil"/>
                    <w:tr2bl w:val="nil"/>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5</w:t>
                  </w:r>
                  <w:r>
                    <w:rPr>
                      <w:rFonts w:hint="eastAsia" w:cs="Times New Roman"/>
                      <w:color w:val="auto"/>
                      <w:szCs w:val="21"/>
                      <w:lang w:val="en-US" w:eastAsia="zh-CN"/>
                    </w:rPr>
                    <w:t>7</w:t>
                  </w:r>
                  <w:r>
                    <w:rPr>
                      <w:rFonts w:hint="default" w:ascii="Times New Roman" w:hAnsi="Times New Roman" w:cs="Times New Roman"/>
                      <w:color w:val="auto"/>
                      <w:szCs w:val="21"/>
                    </w:rPr>
                    <w:t>.</w:t>
                  </w:r>
                  <w:r>
                    <w:rPr>
                      <w:rFonts w:hint="eastAsia" w:cs="Times New Roman"/>
                      <w:color w:val="auto"/>
                      <w:szCs w:val="21"/>
                      <w:lang w:val="en-US" w:eastAsia="zh-CN"/>
                    </w:rPr>
                    <w:t>59</w:t>
                  </w:r>
                </w:p>
              </w:tc>
              <w:tc>
                <w:tcPr>
                  <w:tcW w:w="122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208" w:type="dxa"/>
                  <w:tcBorders>
                    <w:tl2br w:val="nil"/>
                    <w:tr2bl w:val="nil"/>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120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209" w:type="dxa"/>
                  <w:tcBorders>
                    <w:tl2br w:val="nil"/>
                    <w:tr2bl w:val="nil"/>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jc w:val="center"/>
              </w:trPr>
              <w:tc>
                <w:tcPr>
                  <w:tcW w:w="727" w:type="dxa"/>
                  <w:tcBorders>
                    <w:tl2br w:val="nil"/>
                    <w:tr2bl w:val="nil"/>
                  </w:tcBorders>
                  <w:vAlign w:val="center"/>
                </w:tcPr>
                <w:p>
                  <w:pPr>
                    <w:adjustRightInd w:val="0"/>
                    <w:snapToGrid w:val="0"/>
                    <w:jc w:val="center"/>
                    <w:rPr>
                      <w:rFonts w:hint="default" w:ascii="Times New Roman" w:hAnsi="Times New Roman" w:cs="Times New Roman"/>
                      <w:bCs/>
                      <w:color w:val="auto"/>
                      <w:spacing w:val="6"/>
                      <w:szCs w:val="21"/>
                    </w:rPr>
                  </w:pPr>
                  <w:r>
                    <w:rPr>
                      <w:rFonts w:hint="default" w:ascii="Times New Roman" w:hAnsi="Times New Roman" w:cs="Times New Roman"/>
                      <w:color w:val="auto"/>
                      <w:spacing w:val="6"/>
                      <w:szCs w:val="21"/>
                    </w:rPr>
                    <w:t>3</w:t>
                  </w:r>
                </w:p>
              </w:tc>
              <w:tc>
                <w:tcPr>
                  <w:tcW w:w="1289"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东厂界</w:t>
                  </w:r>
                </w:p>
              </w:tc>
              <w:tc>
                <w:tcPr>
                  <w:tcW w:w="104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r>
                    <w:rPr>
                      <w:rFonts w:hint="eastAsia" w:cs="Times New Roman"/>
                      <w:color w:val="auto"/>
                      <w:szCs w:val="21"/>
                      <w:lang w:val="en-US" w:eastAsia="zh-CN"/>
                    </w:rPr>
                    <w:t>8</w:t>
                  </w:r>
                  <w:r>
                    <w:rPr>
                      <w:rFonts w:hint="default" w:ascii="Times New Roman" w:hAnsi="Times New Roman" w:cs="Times New Roman"/>
                      <w:color w:val="auto"/>
                      <w:szCs w:val="21"/>
                    </w:rPr>
                    <w:t>.</w:t>
                  </w:r>
                  <w:r>
                    <w:rPr>
                      <w:rFonts w:hint="eastAsia" w:cs="Times New Roman"/>
                      <w:color w:val="auto"/>
                      <w:szCs w:val="21"/>
                      <w:lang w:val="en-US" w:eastAsia="zh-CN"/>
                    </w:rPr>
                    <w:t>5</w:t>
                  </w:r>
                  <w:r>
                    <w:rPr>
                      <w:rFonts w:hint="default" w:ascii="Times New Roman" w:hAnsi="Times New Roman" w:cs="Times New Roman"/>
                      <w:color w:val="auto"/>
                      <w:szCs w:val="21"/>
                    </w:rPr>
                    <w:t>6</w:t>
                  </w:r>
                </w:p>
              </w:tc>
              <w:tc>
                <w:tcPr>
                  <w:tcW w:w="122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208" w:type="dxa"/>
                  <w:tcBorders>
                    <w:tl2br w:val="nil"/>
                    <w:tr2bl w:val="nil"/>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1208"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209" w:type="dxa"/>
                  <w:tcBorders>
                    <w:tl2br w:val="nil"/>
                    <w:tr2bl w:val="nil"/>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jc w:val="center"/>
              </w:trPr>
              <w:tc>
                <w:tcPr>
                  <w:tcW w:w="727" w:type="dxa"/>
                  <w:tcBorders>
                    <w:tl2br w:val="nil"/>
                    <w:tr2bl w:val="nil"/>
                  </w:tcBorders>
                  <w:vAlign w:val="center"/>
                </w:tcPr>
                <w:p>
                  <w:pPr>
                    <w:adjustRightInd w:val="0"/>
                    <w:snapToGrid w:val="0"/>
                    <w:jc w:val="center"/>
                    <w:rPr>
                      <w:rFonts w:hint="default" w:ascii="Times New Roman" w:hAnsi="Times New Roman" w:cs="Times New Roman"/>
                      <w:bCs/>
                      <w:color w:val="auto"/>
                      <w:spacing w:val="6"/>
                      <w:szCs w:val="21"/>
                    </w:rPr>
                  </w:pPr>
                  <w:r>
                    <w:rPr>
                      <w:rFonts w:hint="default" w:ascii="Times New Roman" w:hAnsi="Times New Roman" w:cs="Times New Roman"/>
                      <w:color w:val="auto"/>
                      <w:spacing w:val="6"/>
                      <w:szCs w:val="21"/>
                    </w:rPr>
                    <w:t>4</w:t>
                  </w:r>
                </w:p>
              </w:tc>
              <w:tc>
                <w:tcPr>
                  <w:tcW w:w="1289"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南厂界</w:t>
                  </w:r>
                </w:p>
              </w:tc>
              <w:tc>
                <w:tcPr>
                  <w:tcW w:w="1047" w:type="dxa"/>
                  <w:tcBorders>
                    <w:tl2br w:val="nil"/>
                    <w:tr2bl w:val="nil"/>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5</w:t>
                  </w:r>
                  <w:r>
                    <w:rPr>
                      <w:rFonts w:hint="eastAsia" w:cs="Times New Roman"/>
                      <w:color w:val="auto"/>
                      <w:szCs w:val="21"/>
                      <w:lang w:val="en-US" w:eastAsia="zh-CN"/>
                    </w:rPr>
                    <w:t>2</w:t>
                  </w:r>
                  <w:r>
                    <w:rPr>
                      <w:rFonts w:hint="default" w:ascii="Times New Roman" w:hAnsi="Times New Roman" w:cs="Times New Roman"/>
                      <w:color w:val="auto"/>
                      <w:szCs w:val="21"/>
                    </w:rPr>
                    <w:t>.</w:t>
                  </w:r>
                  <w:r>
                    <w:rPr>
                      <w:rFonts w:hint="eastAsia" w:cs="Times New Roman"/>
                      <w:color w:val="auto"/>
                      <w:szCs w:val="21"/>
                      <w:lang w:val="en-US" w:eastAsia="zh-CN"/>
                    </w:rPr>
                    <w:t>38</w:t>
                  </w:r>
                </w:p>
              </w:tc>
              <w:tc>
                <w:tcPr>
                  <w:tcW w:w="1228" w:type="dxa"/>
                  <w:tcBorders>
                    <w:tl2br w:val="nil"/>
                    <w:tr2bl w:val="nil"/>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208" w:type="dxa"/>
                  <w:tcBorders>
                    <w:tl2br w:val="nil"/>
                    <w:tr2bl w:val="nil"/>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1208" w:type="dxa"/>
                  <w:tcBorders>
                    <w:tl2br w:val="nil"/>
                    <w:tr2bl w:val="nil"/>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209" w:type="dxa"/>
                  <w:tcBorders>
                    <w:tl2br w:val="nil"/>
                    <w:tr2bl w:val="nil"/>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r>
          </w:tbl>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color w:val="auto"/>
                <w:szCs w:val="21"/>
              </w:rPr>
              <w:t>根据预测厂界噪声满足《工业企业厂界环境噪声排放标准》（GB12</w:t>
            </w:r>
            <w:r>
              <w:rPr>
                <w:rFonts w:hint="default" w:ascii="Times New Roman" w:hAnsi="Times New Roman" w:cs="Times New Roman"/>
                <w:bCs/>
                <w:szCs w:val="21"/>
              </w:rPr>
              <w:t>348-2008）中2类标准要求：昼间60</w:t>
            </w:r>
            <w:r>
              <w:rPr>
                <w:rFonts w:hint="default" w:ascii="Times New Roman" w:hAnsi="Times New Roman" w:cs="Times New Roman"/>
                <w:szCs w:val="21"/>
              </w:rPr>
              <w:t xml:space="preserve"> </w:t>
            </w:r>
            <w:r>
              <w:rPr>
                <w:rFonts w:hint="default" w:ascii="Times New Roman" w:hAnsi="Times New Roman" w:cs="Times New Roman"/>
                <w:bCs/>
                <w:szCs w:val="21"/>
              </w:rPr>
              <w:t>dB（A）。</w:t>
            </w:r>
          </w:p>
          <w:p>
            <w:pPr>
              <w:pStyle w:val="60"/>
              <w:tabs>
                <w:tab w:val="left" w:pos="1410"/>
              </w:tabs>
              <w:spacing w:beforeLines="0" w:line="300" w:lineRule="auto"/>
              <w:rPr>
                <w:rFonts w:hint="default" w:ascii="Times New Roman" w:hAnsi="Times New Roman" w:cs="Times New Roman"/>
                <w:szCs w:val="21"/>
              </w:rPr>
            </w:pPr>
            <w:r>
              <w:rPr>
                <w:rFonts w:hint="default" w:ascii="Times New Roman" w:hAnsi="Times New Roman" w:cs="Times New Roman"/>
                <w:szCs w:val="21"/>
              </w:rPr>
              <w:t>表2</w:t>
            </w:r>
            <w:r>
              <w:rPr>
                <w:rFonts w:hint="eastAsia" w:cs="Times New Roman"/>
                <w:szCs w:val="21"/>
                <w:lang w:val="en-US" w:eastAsia="zh-CN"/>
              </w:rPr>
              <w:t xml:space="preserve">1 </w:t>
            </w:r>
            <w:r>
              <w:rPr>
                <w:rFonts w:hint="default" w:ascii="Times New Roman" w:hAnsi="Times New Roman" w:cs="Times New Roman"/>
                <w:szCs w:val="21"/>
              </w:rPr>
              <w:t xml:space="preserve"> 本项目监测项目统计表</w:t>
            </w:r>
          </w:p>
          <w:tbl>
            <w:tblPr>
              <w:tblStyle w:val="26"/>
              <w:tblW w:w="79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681"/>
              <w:gridCol w:w="1829"/>
              <w:gridCol w:w="3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3" w:type="dxa"/>
                  <w:tcBorders>
                    <w:tl2br w:val="nil"/>
                    <w:tr2bl w:val="nil"/>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环境要素</w:t>
                  </w:r>
                </w:p>
              </w:tc>
              <w:tc>
                <w:tcPr>
                  <w:tcW w:w="1681" w:type="dxa"/>
                  <w:tcBorders>
                    <w:tl2br w:val="nil"/>
                    <w:tr2bl w:val="nil"/>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监测位置</w:t>
                  </w:r>
                </w:p>
              </w:tc>
              <w:tc>
                <w:tcPr>
                  <w:tcW w:w="1829" w:type="dxa"/>
                  <w:tcBorders>
                    <w:tl2br w:val="nil"/>
                    <w:tr2bl w:val="nil"/>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监测项目</w:t>
                  </w:r>
                </w:p>
              </w:tc>
              <w:tc>
                <w:tcPr>
                  <w:tcW w:w="3220" w:type="dxa"/>
                  <w:tcBorders>
                    <w:tl2br w:val="nil"/>
                    <w:tr2bl w:val="nil"/>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3"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噪声</w:t>
                  </w:r>
                </w:p>
              </w:tc>
              <w:tc>
                <w:tcPr>
                  <w:tcW w:w="1681"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厂界</w:t>
                  </w:r>
                </w:p>
              </w:tc>
              <w:tc>
                <w:tcPr>
                  <w:tcW w:w="182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Leq(A)</w:t>
                  </w:r>
                </w:p>
              </w:tc>
              <w:tc>
                <w:tcPr>
                  <w:tcW w:w="322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每年一次，每次连续监测2天，每天昼夜各测一次</w:t>
                  </w:r>
                </w:p>
              </w:tc>
            </w:tr>
          </w:tbl>
          <w:p>
            <w:pPr>
              <w:adjustRightInd w:val="0"/>
              <w:snapToGrid w:val="0"/>
              <w:spacing w:line="360" w:lineRule="auto"/>
              <w:ind w:firstLine="422" w:firstLineChars="200"/>
              <w:rPr>
                <w:rFonts w:hint="default" w:ascii="Times New Roman" w:hAnsi="Times New Roman" w:cs="Times New Roman"/>
                <w:b/>
                <w:szCs w:val="21"/>
              </w:rPr>
            </w:pPr>
            <w:r>
              <w:rPr>
                <w:rFonts w:hint="default" w:ascii="Times New Roman" w:hAnsi="Times New Roman" w:cs="Times New Roman"/>
                <w:b/>
                <w:szCs w:val="21"/>
              </w:rPr>
              <w:t>4.固废</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固体废弃物按照《中华人民共和国固体废物污染环境防治法》中的规定处理处置。综上，各类固体废物均得到有效处置，达到资源化、减量化、无害化的目的，因此本项目营运期对周围环境影响较小。</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根据《固体废物鉴别标准 通则》（GB 34330-2017），本项目固废主要包括生活垃圾、废包装材料、布袋除尘器收集的粉尘及产生的废布袋。</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（1）生活垃圾产生量按平均每人0.5kg/d计，本项目劳动定员</w:t>
            </w:r>
            <w:r>
              <w:rPr>
                <w:rFonts w:hint="eastAsia" w:cs="Times New Roman"/>
                <w:szCs w:val="21"/>
                <w:lang w:val="en-US" w:eastAsia="zh-CN"/>
              </w:rPr>
              <w:t>16</w:t>
            </w:r>
            <w:r>
              <w:rPr>
                <w:rFonts w:hint="default" w:ascii="Times New Roman" w:hAnsi="Times New Roman" w:cs="Times New Roman"/>
                <w:szCs w:val="21"/>
              </w:rPr>
              <w:t>人，生活垃圾共产生</w:t>
            </w:r>
            <w:r>
              <w:rPr>
                <w:rFonts w:hint="eastAsia" w:cs="Times New Roman"/>
                <w:szCs w:val="21"/>
                <w:lang w:val="en-US" w:eastAsia="zh-CN"/>
              </w:rPr>
              <w:t>2.4</w:t>
            </w:r>
            <w:r>
              <w:rPr>
                <w:rFonts w:hint="default" w:ascii="Times New Roman" w:hAnsi="Times New Roman" w:cs="Times New Roman"/>
                <w:szCs w:val="21"/>
              </w:rPr>
              <w:t>t/a，由环卫部门定期清理外运。</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（2）原料废包装材料，产生量约0.1t/a，收集后外售；</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（3）布袋除尘器收集的粉尘，产生量约为0.</w:t>
            </w:r>
            <w:r>
              <w:rPr>
                <w:rFonts w:hint="eastAsia" w:cs="Times New Roman"/>
                <w:color w:val="auto"/>
                <w:szCs w:val="21"/>
                <w:lang w:val="en-US" w:eastAsia="zh-CN"/>
              </w:rPr>
              <w:t>446</w:t>
            </w:r>
            <w:r>
              <w:rPr>
                <w:rFonts w:hint="default" w:ascii="Times New Roman" w:hAnsi="Times New Roman" w:cs="Times New Roman"/>
                <w:color w:val="auto"/>
                <w:szCs w:val="21"/>
              </w:rPr>
              <w:t>t/a，收集</w:t>
            </w:r>
            <w:r>
              <w:rPr>
                <w:rFonts w:hint="default" w:ascii="Times New Roman" w:hAnsi="Times New Roman" w:cs="Times New Roman"/>
                <w:color w:val="auto"/>
                <w:szCs w:val="21"/>
                <w:lang w:val="en-US" w:eastAsia="zh-CN"/>
              </w:rPr>
              <w:t>后外售周边农户作为家禽饲料</w:t>
            </w:r>
            <w:r>
              <w:rPr>
                <w:rFonts w:hint="default" w:ascii="Times New Roman" w:hAnsi="Times New Roman" w:cs="Times New Roman"/>
                <w:color w:val="auto"/>
                <w:szCs w:val="21"/>
              </w:rPr>
              <w:t>；</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4</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布袋除尘器产生的废布袋，产生量约0.1t/a，由厂家回收利用。</w:t>
            </w:r>
          </w:p>
          <w:p>
            <w:pPr>
              <w:spacing w:line="360" w:lineRule="auto"/>
              <w:ind w:firstLine="420" w:firstLineChars="200"/>
              <w:rPr>
                <w:rFonts w:hint="default" w:ascii="Times New Roman" w:hAnsi="Times New Roman" w:cs="Times New Roman"/>
                <w:color w:val="auto"/>
                <w:sz w:val="24"/>
              </w:rPr>
            </w:pPr>
            <w:r>
              <w:rPr>
                <w:rFonts w:hint="default" w:ascii="Times New Roman" w:hAnsi="Times New Roman" w:cs="Times New Roman"/>
                <w:color w:val="auto"/>
                <w:szCs w:val="21"/>
              </w:rPr>
              <w:t>固体废弃物按照《中华人民共和国固体废物污染环境防治法》中的规定处理处置。综上，各类固体废物均得到有效处置，达到资源化、减量化、无害化的目的，因此本项目营运期对周围环境影响较小。</w:t>
            </w:r>
          </w:p>
          <w:p>
            <w:pPr>
              <w:pStyle w:val="13"/>
              <w:numPr>
                <w:ilvl w:val="0"/>
                <w:numId w:val="0"/>
              </w:numPr>
              <w:spacing w:line="360" w:lineRule="auto"/>
              <w:ind w:firstLine="422" w:firstLineChars="200"/>
              <w:rPr>
                <w:rFonts w:hint="default" w:ascii="Times New Roman" w:hAnsi="Times New Roman" w:cs="Times New Roman"/>
                <w:szCs w:val="21"/>
              </w:rPr>
            </w:pPr>
            <w:r>
              <w:rPr>
                <w:rFonts w:hint="default" w:ascii="Times New Roman" w:hAnsi="Times New Roman" w:cs="Times New Roman"/>
                <w:b/>
                <w:bCs/>
                <w:szCs w:val="21"/>
              </w:rPr>
              <w:t>5.土壤、地下水</w:t>
            </w:r>
          </w:p>
          <w:p>
            <w:pPr>
              <w:spacing w:line="360" w:lineRule="auto"/>
              <w:ind w:firstLine="420"/>
              <w:rPr>
                <w:rFonts w:hint="default" w:ascii="Times New Roman" w:hAnsi="Times New Roman" w:cs="Times New Roman"/>
                <w:szCs w:val="21"/>
              </w:rPr>
            </w:pPr>
            <w:r>
              <w:rPr>
                <w:rFonts w:hint="default" w:ascii="Times New Roman" w:hAnsi="Times New Roman" w:cs="Times New Roman"/>
                <w:szCs w:val="21"/>
              </w:rPr>
              <w:t>项目地下水、土壤主要污染区为生产区、</w:t>
            </w:r>
            <w:r>
              <w:rPr>
                <w:rFonts w:hint="eastAsia" w:cs="Times New Roman"/>
                <w:szCs w:val="21"/>
                <w:lang w:val="en-US" w:eastAsia="zh-CN"/>
              </w:rPr>
              <w:t>仓库</w:t>
            </w:r>
            <w:r>
              <w:rPr>
                <w:rFonts w:hint="default" w:ascii="Times New Roman" w:hAnsi="Times New Roman" w:cs="Times New Roman"/>
                <w:szCs w:val="21"/>
              </w:rPr>
              <w:t>，地下水、土壤污染防控措施及跟踪监测见下表。</w:t>
            </w:r>
          </w:p>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表2</w:t>
            </w:r>
            <w:r>
              <w:rPr>
                <w:rFonts w:hint="eastAsia" w:cs="Times New Roman"/>
                <w:b/>
                <w:bCs/>
                <w:szCs w:val="21"/>
                <w:lang w:val="en-US" w:eastAsia="zh-CN"/>
              </w:rPr>
              <w:t>2</w:t>
            </w:r>
            <w:r>
              <w:rPr>
                <w:rFonts w:hint="default" w:ascii="Times New Roman" w:hAnsi="Times New Roman" w:cs="Times New Roman"/>
                <w:b/>
                <w:bCs/>
                <w:szCs w:val="21"/>
              </w:rPr>
              <w:t xml:space="preserve">  地下水、土壤污染产生防控措施及跟踪监测表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003"/>
              <w:gridCol w:w="720"/>
              <w:gridCol w:w="1845"/>
              <w:gridCol w:w="1125"/>
              <w:gridCol w:w="1185"/>
              <w:gridCol w:w="1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vMerge w:val="restart"/>
                  <w:tcBorders>
                    <w:tl2br w:val="nil"/>
                    <w:tr2bl w:val="nil"/>
                  </w:tcBorders>
                  <w:vAlign w:val="center"/>
                </w:tcPr>
                <w:p>
                  <w:pPr>
                    <w:adjustRightInd w:val="0"/>
                    <w:snapToGrid w:val="0"/>
                    <w:spacing w:line="260" w:lineRule="exact"/>
                    <w:jc w:val="center"/>
                    <w:rPr>
                      <w:rFonts w:hint="default" w:ascii="Times New Roman" w:hAnsi="Times New Roman" w:cs="Times New Roman"/>
                      <w:b/>
                      <w:bCs/>
                      <w:szCs w:val="21"/>
                    </w:rPr>
                  </w:pPr>
                  <w:r>
                    <w:rPr>
                      <w:rFonts w:hint="default" w:ascii="Times New Roman" w:hAnsi="Times New Roman" w:cs="Times New Roman"/>
                      <w:b/>
                      <w:bCs/>
                      <w:szCs w:val="21"/>
                    </w:rPr>
                    <w:t>污染源</w:t>
                  </w:r>
                </w:p>
              </w:tc>
              <w:tc>
                <w:tcPr>
                  <w:tcW w:w="1003" w:type="dxa"/>
                  <w:vMerge w:val="restart"/>
                  <w:tcBorders>
                    <w:tl2br w:val="nil"/>
                    <w:tr2bl w:val="nil"/>
                  </w:tcBorders>
                  <w:vAlign w:val="center"/>
                </w:tcPr>
                <w:p>
                  <w:pPr>
                    <w:adjustRightInd w:val="0"/>
                    <w:snapToGrid w:val="0"/>
                    <w:spacing w:line="260" w:lineRule="exact"/>
                    <w:jc w:val="center"/>
                    <w:rPr>
                      <w:rFonts w:hint="default" w:ascii="Times New Roman" w:hAnsi="Times New Roman" w:cs="Times New Roman"/>
                      <w:b/>
                      <w:bCs/>
                      <w:szCs w:val="21"/>
                    </w:rPr>
                  </w:pPr>
                  <w:r>
                    <w:rPr>
                      <w:rFonts w:hint="default" w:ascii="Times New Roman" w:hAnsi="Times New Roman" w:cs="Times New Roman"/>
                      <w:b/>
                      <w:bCs/>
                      <w:szCs w:val="21"/>
                    </w:rPr>
                    <w:t>污染物类型</w:t>
                  </w:r>
                </w:p>
              </w:tc>
              <w:tc>
                <w:tcPr>
                  <w:tcW w:w="720" w:type="dxa"/>
                  <w:vMerge w:val="restart"/>
                  <w:tcBorders>
                    <w:tl2br w:val="nil"/>
                    <w:tr2bl w:val="nil"/>
                  </w:tcBorders>
                  <w:vAlign w:val="center"/>
                </w:tcPr>
                <w:p>
                  <w:pPr>
                    <w:adjustRightInd w:val="0"/>
                    <w:snapToGrid w:val="0"/>
                    <w:spacing w:line="260" w:lineRule="exact"/>
                    <w:jc w:val="center"/>
                    <w:rPr>
                      <w:rFonts w:hint="default" w:ascii="Times New Roman" w:hAnsi="Times New Roman" w:cs="Times New Roman"/>
                      <w:b/>
                      <w:bCs/>
                      <w:szCs w:val="21"/>
                    </w:rPr>
                  </w:pPr>
                  <w:r>
                    <w:rPr>
                      <w:rFonts w:hint="default" w:ascii="Times New Roman" w:hAnsi="Times New Roman" w:cs="Times New Roman"/>
                      <w:b/>
                      <w:bCs/>
                      <w:szCs w:val="21"/>
                    </w:rPr>
                    <w:t>污染途径</w:t>
                  </w:r>
                </w:p>
              </w:tc>
              <w:tc>
                <w:tcPr>
                  <w:tcW w:w="1845" w:type="dxa"/>
                  <w:vMerge w:val="restart"/>
                  <w:tcBorders>
                    <w:tl2br w:val="nil"/>
                    <w:tr2bl w:val="nil"/>
                  </w:tcBorders>
                  <w:vAlign w:val="center"/>
                </w:tcPr>
                <w:p>
                  <w:pPr>
                    <w:adjustRightInd w:val="0"/>
                    <w:snapToGrid w:val="0"/>
                    <w:spacing w:line="260" w:lineRule="exact"/>
                    <w:jc w:val="center"/>
                    <w:rPr>
                      <w:rFonts w:hint="default" w:ascii="Times New Roman" w:hAnsi="Times New Roman" w:cs="Times New Roman"/>
                      <w:b/>
                      <w:bCs/>
                      <w:szCs w:val="21"/>
                    </w:rPr>
                  </w:pPr>
                  <w:r>
                    <w:rPr>
                      <w:rFonts w:hint="default" w:ascii="Times New Roman" w:hAnsi="Times New Roman" w:cs="Times New Roman"/>
                      <w:b/>
                      <w:bCs/>
                      <w:szCs w:val="21"/>
                    </w:rPr>
                    <w:t>分区防空措施</w:t>
                  </w:r>
                </w:p>
              </w:tc>
              <w:tc>
                <w:tcPr>
                  <w:tcW w:w="3505" w:type="dxa"/>
                  <w:gridSpan w:val="3"/>
                  <w:tcBorders>
                    <w:tl2br w:val="nil"/>
                    <w:tr2bl w:val="nil"/>
                  </w:tcBorders>
                  <w:vAlign w:val="center"/>
                </w:tcPr>
                <w:p>
                  <w:pPr>
                    <w:adjustRightInd w:val="0"/>
                    <w:snapToGrid w:val="0"/>
                    <w:spacing w:line="260" w:lineRule="exact"/>
                    <w:jc w:val="center"/>
                    <w:rPr>
                      <w:rFonts w:hint="default" w:ascii="Times New Roman" w:hAnsi="Times New Roman" w:cs="Times New Roman"/>
                      <w:b/>
                      <w:bCs/>
                      <w:szCs w:val="21"/>
                    </w:rPr>
                  </w:pPr>
                  <w:r>
                    <w:rPr>
                      <w:rFonts w:hint="default" w:ascii="Times New Roman" w:hAnsi="Times New Roman" w:cs="Times New Roman"/>
                      <w:b/>
                      <w:bCs/>
                      <w:szCs w:val="21"/>
                    </w:rPr>
                    <w:t>跟踪监测要求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vMerge w:val="continue"/>
                  <w:tcBorders>
                    <w:tl2br w:val="nil"/>
                    <w:tr2bl w:val="nil"/>
                  </w:tcBorders>
                  <w:vAlign w:val="center"/>
                </w:tcPr>
                <w:p>
                  <w:pPr>
                    <w:adjustRightInd w:val="0"/>
                    <w:snapToGrid w:val="0"/>
                    <w:spacing w:line="260" w:lineRule="exact"/>
                    <w:jc w:val="center"/>
                    <w:rPr>
                      <w:rFonts w:hint="default" w:ascii="Times New Roman" w:hAnsi="Times New Roman" w:cs="Times New Roman"/>
                      <w:b/>
                      <w:bCs/>
                      <w:szCs w:val="21"/>
                    </w:rPr>
                  </w:pPr>
                </w:p>
              </w:tc>
              <w:tc>
                <w:tcPr>
                  <w:tcW w:w="1003" w:type="dxa"/>
                  <w:vMerge w:val="continue"/>
                  <w:tcBorders>
                    <w:tl2br w:val="nil"/>
                    <w:tr2bl w:val="nil"/>
                  </w:tcBorders>
                  <w:vAlign w:val="center"/>
                </w:tcPr>
                <w:p>
                  <w:pPr>
                    <w:adjustRightInd w:val="0"/>
                    <w:snapToGrid w:val="0"/>
                    <w:spacing w:line="260" w:lineRule="exact"/>
                    <w:jc w:val="center"/>
                    <w:rPr>
                      <w:rFonts w:hint="default" w:ascii="Times New Roman" w:hAnsi="Times New Roman" w:cs="Times New Roman"/>
                      <w:b/>
                      <w:bCs/>
                      <w:szCs w:val="21"/>
                    </w:rPr>
                  </w:pPr>
                </w:p>
              </w:tc>
              <w:tc>
                <w:tcPr>
                  <w:tcW w:w="720" w:type="dxa"/>
                  <w:vMerge w:val="continue"/>
                  <w:tcBorders>
                    <w:tl2br w:val="nil"/>
                    <w:tr2bl w:val="nil"/>
                  </w:tcBorders>
                  <w:vAlign w:val="center"/>
                </w:tcPr>
                <w:p>
                  <w:pPr>
                    <w:adjustRightInd w:val="0"/>
                    <w:snapToGrid w:val="0"/>
                    <w:spacing w:line="260" w:lineRule="exact"/>
                    <w:jc w:val="center"/>
                    <w:rPr>
                      <w:rFonts w:hint="default" w:ascii="Times New Roman" w:hAnsi="Times New Roman" w:cs="Times New Roman"/>
                      <w:b/>
                      <w:bCs/>
                      <w:szCs w:val="21"/>
                    </w:rPr>
                  </w:pPr>
                </w:p>
              </w:tc>
              <w:tc>
                <w:tcPr>
                  <w:tcW w:w="1845" w:type="dxa"/>
                  <w:vMerge w:val="continue"/>
                  <w:tcBorders>
                    <w:tl2br w:val="nil"/>
                    <w:tr2bl w:val="nil"/>
                  </w:tcBorders>
                  <w:vAlign w:val="center"/>
                </w:tcPr>
                <w:p>
                  <w:pPr>
                    <w:adjustRightInd w:val="0"/>
                    <w:snapToGrid w:val="0"/>
                    <w:spacing w:line="260" w:lineRule="exact"/>
                    <w:jc w:val="center"/>
                    <w:rPr>
                      <w:rFonts w:hint="default" w:ascii="Times New Roman" w:hAnsi="Times New Roman" w:cs="Times New Roman"/>
                      <w:b/>
                      <w:bCs/>
                      <w:szCs w:val="21"/>
                    </w:rPr>
                  </w:pPr>
                </w:p>
              </w:tc>
              <w:tc>
                <w:tcPr>
                  <w:tcW w:w="1125" w:type="dxa"/>
                  <w:tcBorders>
                    <w:tl2br w:val="nil"/>
                    <w:tr2bl w:val="nil"/>
                  </w:tcBorders>
                  <w:vAlign w:val="center"/>
                </w:tcPr>
                <w:p>
                  <w:pPr>
                    <w:adjustRightInd w:val="0"/>
                    <w:snapToGrid w:val="0"/>
                    <w:spacing w:line="260" w:lineRule="exact"/>
                    <w:jc w:val="center"/>
                    <w:rPr>
                      <w:rFonts w:hint="default" w:ascii="Times New Roman" w:hAnsi="Times New Roman" w:cs="Times New Roman"/>
                      <w:b/>
                      <w:bCs/>
                      <w:szCs w:val="21"/>
                    </w:rPr>
                  </w:pPr>
                  <w:r>
                    <w:rPr>
                      <w:rFonts w:hint="default" w:ascii="Times New Roman" w:hAnsi="Times New Roman" w:cs="Times New Roman"/>
                      <w:b/>
                      <w:bCs/>
                      <w:szCs w:val="21"/>
                    </w:rPr>
                    <w:t>监测点位</w:t>
                  </w:r>
                </w:p>
              </w:tc>
              <w:tc>
                <w:tcPr>
                  <w:tcW w:w="1185" w:type="dxa"/>
                  <w:tcBorders>
                    <w:tl2br w:val="nil"/>
                    <w:tr2bl w:val="nil"/>
                  </w:tcBorders>
                  <w:vAlign w:val="center"/>
                </w:tcPr>
                <w:p>
                  <w:pPr>
                    <w:adjustRightInd w:val="0"/>
                    <w:snapToGrid w:val="0"/>
                    <w:spacing w:line="260" w:lineRule="exact"/>
                    <w:jc w:val="center"/>
                    <w:rPr>
                      <w:rFonts w:hint="default" w:ascii="Times New Roman" w:hAnsi="Times New Roman" w:cs="Times New Roman"/>
                      <w:b/>
                      <w:bCs/>
                      <w:szCs w:val="21"/>
                    </w:rPr>
                  </w:pPr>
                  <w:r>
                    <w:rPr>
                      <w:rFonts w:hint="default" w:ascii="Times New Roman" w:hAnsi="Times New Roman" w:cs="Times New Roman"/>
                      <w:b/>
                      <w:bCs/>
                      <w:szCs w:val="21"/>
                    </w:rPr>
                    <w:t>监测因子</w:t>
                  </w:r>
                </w:p>
              </w:tc>
              <w:tc>
                <w:tcPr>
                  <w:tcW w:w="1195" w:type="dxa"/>
                  <w:tcBorders>
                    <w:tl2br w:val="nil"/>
                    <w:tr2bl w:val="nil"/>
                  </w:tcBorders>
                  <w:vAlign w:val="center"/>
                </w:tcPr>
                <w:p>
                  <w:pPr>
                    <w:adjustRightInd w:val="0"/>
                    <w:snapToGrid w:val="0"/>
                    <w:spacing w:line="260" w:lineRule="exact"/>
                    <w:jc w:val="center"/>
                    <w:rPr>
                      <w:rFonts w:hint="default" w:ascii="Times New Roman" w:hAnsi="Times New Roman" w:cs="Times New Roman"/>
                      <w:b/>
                      <w:bCs/>
                      <w:szCs w:val="21"/>
                    </w:rPr>
                  </w:pPr>
                  <w:r>
                    <w:rPr>
                      <w:rFonts w:hint="default" w:ascii="Times New Roman" w:hAnsi="Times New Roman" w:cs="Times New Roman"/>
                      <w:b/>
                      <w:bCs/>
                      <w:szCs w:val="21"/>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l2br w:val="nil"/>
                    <w:tr2bl w:val="nil"/>
                  </w:tcBorders>
                  <w:vAlign w:val="center"/>
                </w:tcPr>
                <w:p>
                  <w:pPr>
                    <w:adjustRightInd w:val="0"/>
                    <w:snapToGrid w:val="0"/>
                    <w:spacing w:line="260" w:lineRule="exact"/>
                    <w:jc w:val="center"/>
                    <w:rPr>
                      <w:rFonts w:hint="default" w:ascii="Times New Roman" w:hAnsi="Times New Roman" w:cs="Times New Roman"/>
                      <w:szCs w:val="21"/>
                    </w:rPr>
                  </w:pPr>
                  <w:r>
                    <w:rPr>
                      <w:rFonts w:hint="default" w:ascii="Times New Roman" w:hAnsi="Times New Roman" w:cs="Times New Roman"/>
                      <w:szCs w:val="21"/>
                    </w:rPr>
                    <w:t>废气</w:t>
                  </w:r>
                </w:p>
              </w:tc>
              <w:tc>
                <w:tcPr>
                  <w:tcW w:w="1003" w:type="dxa"/>
                  <w:tcBorders>
                    <w:tl2br w:val="nil"/>
                    <w:tr2bl w:val="nil"/>
                  </w:tcBorders>
                  <w:vAlign w:val="center"/>
                </w:tcPr>
                <w:p>
                  <w:pPr>
                    <w:adjustRightInd w:val="0"/>
                    <w:snapToGrid w:val="0"/>
                    <w:spacing w:line="260" w:lineRule="exact"/>
                    <w:jc w:val="center"/>
                    <w:rPr>
                      <w:rFonts w:hint="default" w:ascii="Times New Roman" w:hAnsi="Times New Roman" w:cs="Times New Roman"/>
                      <w:szCs w:val="21"/>
                    </w:rPr>
                  </w:pPr>
                  <w:r>
                    <w:rPr>
                      <w:rFonts w:hint="default" w:ascii="Times New Roman" w:hAnsi="Times New Roman" w:cs="Times New Roman"/>
                      <w:szCs w:val="21"/>
                    </w:rPr>
                    <w:t>颗粒物</w:t>
                  </w:r>
                </w:p>
              </w:tc>
              <w:tc>
                <w:tcPr>
                  <w:tcW w:w="720" w:type="dxa"/>
                  <w:tcBorders>
                    <w:tl2br w:val="nil"/>
                    <w:tr2bl w:val="nil"/>
                  </w:tcBorders>
                  <w:vAlign w:val="center"/>
                </w:tcPr>
                <w:p>
                  <w:pPr>
                    <w:adjustRightInd w:val="0"/>
                    <w:snapToGrid w:val="0"/>
                    <w:spacing w:line="260" w:lineRule="exact"/>
                    <w:jc w:val="center"/>
                    <w:rPr>
                      <w:rFonts w:hint="default" w:ascii="Times New Roman" w:hAnsi="Times New Roman" w:cs="Times New Roman"/>
                      <w:szCs w:val="21"/>
                    </w:rPr>
                  </w:pPr>
                  <w:r>
                    <w:rPr>
                      <w:rFonts w:hint="default" w:ascii="Times New Roman" w:hAnsi="Times New Roman" w:cs="Times New Roman"/>
                      <w:szCs w:val="21"/>
                    </w:rPr>
                    <w:t>大气沉降</w:t>
                  </w:r>
                </w:p>
              </w:tc>
              <w:tc>
                <w:tcPr>
                  <w:tcW w:w="1845" w:type="dxa"/>
                  <w:tcBorders>
                    <w:tl2br w:val="nil"/>
                    <w:tr2bl w:val="nil"/>
                  </w:tcBorders>
                  <w:vAlign w:val="center"/>
                </w:tcPr>
                <w:p>
                  <w:pPr>
                    <w:adjustRightInd w:val="0"/>
                    <w:snapToGrid w:val="0"/>
                    <w:spacing w:line="260" w:lineRule="exact"/>
                    <w:jc w:val="center"/>
                    <w:rPr>
                      <w:rFonts w:hint="default" w:ascii="Times New Roman" w:hAnsi="Times New Roman" w:cs="Times New Roman"/>
                      <w:szCs w:val="21"/>
                    </w:rPr>
                  </w:pPr>
                  <w:r>
                    <w:rPr>
                      <w:rFonts w:hint="default" w:ascii="Times New Roman" w:hAnsi="Times New Roman" w:cs="Times New Roman"/>
                      <w:szCs w:val="21"/>
                    </w:rPr>
                    <w:t>进行分区防控，生产区进行重点防渗，</w:t>
                  </w:r>
                  <w:r>
                    <w:rPr>
                      <w:rFonts w:hint="eastAsia" w:cs="Times New Roman"/>
                      <w:szCs w:val="21"/>
                      <w:lang w:val="en-US" w:eastAsia="zh-CN"/>
                    </w:rPr>
                    <w:t>仓库</w:t>
                  </w:r>
                  <w:r>
                    <w:rPr>
                      <w:rFonts w:hint="default" w:ascii="Times New Roman" w:hAnsi="Times New Roman" w:cs="Times New Roman"/>
                      <w:szCs w:val="21"/>
                    </w:rPr>
                    <w:t>等进行一般防渗，其余地区进行简单防渗。</w:t>
                  </w:r>
                </w:p>
              </w:tc>
              <w:tc>
                <w:tcPr>
                  <w:tcW w:w="3505" w:type="dxa"/>
                  <w:gridSpan w:val="3"/>
                  <w:tcBorders>
                    <w:tl2br w:val="nil"/>
                    <w:tr2bl w:val="nil"/>
                  </w:tcBorders>
                  <w:vAlign w:val="center"/>
                </w:tcPr>
                <w:p>
                  <w:pPr>
                    <w:adjustRightInd w:val="0"/>
                    <w:snapToGrid w:val="0"/>
                    <w:spacing w:line="260" w:lineRule="exact"/>
                    <w:jc w:val="center"/>
                    <w:rPr>
                      <w:rFonts w:hint="default" w:ascii="Times New Roman" w:hAnsi="Times New Roman" w:eastAsia="Calibri" w:cs="Times New Roman"/>
                      <w:szCs w:val="21"/>
                    </w:rPr>
                  </w:pPr>
                  <w:r>
                    <w:rPr>
                      <w:rFonts w:hint="default" w:ascii="Times New Roman" w:hAnsi="Times New Roman" w:eastAsia="Calibri" w:cs="Times New Roman"/>
                      <w:szCs w:val="21"/>
                    </w:rPr>
                    <w:t>根据《环境影响评价技术导则 土壤环境（试行）》（HJ964-2018）项目评价等级判定为Ⅳ建设项目，无需开展跟踪监测；根据《环境影响评价技术导则 地下水环境》（HJ610-2016）项目评价等级判定为Ⅳ建设项目，无需开展跟踪监测。</w:t>
                  </w:r>
                </w:p>
              </w:tc>
            </w:tr>
          </w:tbl>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根据《环境影响评价技术导则 地下水环境》（HJ610-2016）中对分区防渗的相关要求，拟建项目一般防渗区等效黏土防渗层Mb≥1.5m，K≤1×10</w:t>
            </w:r>
            <w:r>
              <w:rPr>
                <w:rFonts w:hint="default" w:ascii="Times New Roman" w:hAnsi="Times New Roman" w:cs="Times New Roman"/>
                <w:szCs w:val="21"/>
                <w:vertAlign w:val="superscript"/>
              </w:rPr>
              <w:t>-7</w:t>
            </w:r>
            <w:r>
              <w:rPr>
                <w:rFonts w:hint="default" w:ascii="Times New Roman" w:hAnsi="Times New Roman" w:cs="Times New Roman"/>
                <w:szCs w:val="21"/>
              </w:rPr>
              <w:t>cm/s，重点防渗区等效黏土防渗层Mb≥6.0m，K≤1×10</w:t>
            </w:r>
            <w:r>
              <w:rPr>
                <w:rFonts w:hint="default" w:ascii="Times New Roman" w:hAnsi="Times New Roman" w:cs="Times New Roman"/>
                <w:szCs w:val="21"/>
                <w:vertAlign w:val="superscript"/>
              </w:rPr>
              <w:t>-7</w:t>
            </w:r>
            <w:r>
              <w:rPr>
                <w:rFonts w:hint="default" w:ascii="Times New Roman" w:hAnsi="Times New Roman" w:cs="Times New Roman"/>
                <w:szCs w:val="21"/>
              </w:rPr>
              <w:t>cm/s。建设单位还应加强各防渗区域的巡检和维护工作，确保防渗不破损，在此基础上拟建项目对地下水、土壤环境影响影响较小。</w:t>
            </w:r>
          </w:p>
          <w:p>
            <w:pPr>
              <w:pStyle w:val="13"/>
              <w:numPr>
                <w:ilvl w:val="0"/>
                <w:numId w:val="0"/>
              </w:numPr>
              <w:spacing w:line="360" w:lineRule="auto"/>
              <w:ind w:firstLine="422" w:firstLineChars="200"/>
              <w:rPr>
                <w:rFonts w:hint="default" w:ascii="Times New Roman" w:hAnsi="Times New Roman" w:cs="Times New Roman"/>
                <w:szCs w:val="21"/>
              </w:rPr>
            </w:pPr>
            <w:r>
              <w:rPr>
                <w:rFonts w:hint="default" w:ascii="Times New Roman" w:hAnsi="Times New Roman" w:cs="Times New Roman"/>
                <w:b/>
                <w:bCs/>
                <w:szCs w:val="21"/>
              </w:rPr>
              <w:t>6.环境风险分析</w:t>
            </w:r>
          </w:p>
          <w:p>
            <w:pPr>
              <w:tabs>
                <w:tab w:val="left" w:pos="1680"/>
              </w:tabs>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环境风险是指突发性事故造成的危害程度和可能性，其特点是危害大、影响范围广、发生概率具有很大的不确定性。环境风险评价的目的是分析和预测本项目存在的潜在危险、有害因素，本项目运行期间可能发生的突发性事件或事故（一般不包括人为破坏及自然灾害），引起有毒有害和易燃易爆等物质泄漏，所造成的人身安全、环境影响及其损害程度，提出合理可行的防范、应急与减缓措施，以使建设项目事故率、损失和环境影响达到可接受水平。</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（1）风险调查</w:t>
            </w:r>
          </w:p>
          <w:p>
            <w:pPr>
              <w:tabs>
                <w:tab w:val="left" w:pos="1680"/>
              </w:tabs>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参照《建设项目环境风险评价技术导则》（HJ169-2018），本项目原辅材料不涉及危险化学品，不涉及有毒有害物质。</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（2）环境风险潜势初判与评价等级划分</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①环境风险潜势初判</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计算所涉及的每种环境风险物质在厂界内的最大存在总量（如存在总量呈动态变化，则按公历年度内某一天最大存在总量计算；在不同厂区的同一种物质，按其在厂界内的最大存在总量计算）与其在附录B中对应的临界量的比值Q：当企业只涉及一种环境危险物质时，计算该物质的总数量与其临界量比值，即为Q；</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当企业存在多种环境危险物质时，则按下式计算物质总量与其临界量比值：</w:t>
            </w:r>
          </w:p>
          <w:p>
            <w:pPr>
              <w:pStyle w:val="2"/>
              <w:ind w:left="0" w:leftChars="0" w:firstLine="0" w:firstLineChars="0"/>
              <w:jc w:val="center"/>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70915" cy="357505"/>
                  <wp:effectExtent l="0" t="0" r="635" b="4445"/>
                  <wp:docPr id="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4"/>
                          <pic:cNvPicPr>
                            <a:picLocks noChangeAspect="1"/>
                          </pic:cNvPicPr>
                        </pic:nvPicPr>
                        <pic:blipFill>
                          <a:blip r:embed="rId19"/>
                          <a:stretch>
                            <a:fillRect/>
                          </a:stretch>
                        </pic:blipFill>
                        <pic:spPr>
                          <a:xfrm>
                            <a:off x="0" y="0"/>
                            <a:ext cx="970915" cy="357505"/>
                          </a:xfrm>
                          <a:prstGeom prst="rect">
                            <a:avLst/>
                          </a:prstGeom>
                          <a:noFill/>
                          <a:ln>
                            <a:noFill/>
                          </a:ln>
                        </pic:spPr>
                      </pic:pic>
                    </a:graphicData>
                  </a:graphic>
                </wp:inline>
              </w:drawing>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式中：q——该物质最大存在量，t；</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Q——该物质临界量 t。</w:t>
            </w:r>
          </w:p>
          <w:p>
            <w:pPr>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表2</w:t>
            </w:r>
            <w:r>
              <w:rPr>
                <w:rFonts w:hint="eastAsia" w:cs="Times New Roman"/>
                <w:b/>
                <w:bCs/>
                <w:szCs w:val="21"/>
                <w:lang w:val="en-US" w:eastAsia="zh-CN"/>
              </w:rPr>
              <w:t>3</w:t>
            </w:r>
            <w:r>
              <w:rPr>
                <w:rFonts w:hint="default" w:ascii="Times New Roman" w:hAnsi="Times New Roman" w:cs="Times New Roman"/>
                <w:b/>
                <w:bCs/>
                <w:szCs w:val="21"/>
              </w:rPr>
              <w:t xml:space="preserve">  Q 值划分</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2239"/>
              <w:gridCol w:w="4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8"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7227" w:type="dxa"/>
                  <w:gridSpan w:val="2"/>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Q值划分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8"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97"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Q&lt;1</w:t>
                  </w:r>
                </w:p>
              </w:tc>
              <w:tc>
                <w:tcPr>
                  <w:tcW w:w="473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环境风险潜势为Ⅰ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18"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97"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Q≧1</w:t>
                  </w:r>
                </w:p>
              </w:tc>
              <w:tc>
                <w:tcPr>
                  <w:tcW w:w="473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1≤Q＜10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18" w:type="dxa"/>
                  <w:vMerge w:val="continue"/>
                  <w:tcBorders>
                    <w:tl2br w:val="nil"/>
                    <w:tr2bl w:val="nil"/>
                  </w:tcBorders>
                  <w:vAlign w:val="center"/>
                </w:tcPr>
                <w:p>
                  <w:pPr>
                    <w:jc w:val="center"/>
                    <w:rPr>
                      <w:rFonts w:hint="default" w:ascii="Times New Roman" w:hAnsi="Times New Roman" w:cs="Times New Roman"/>
                      <w:szCs w:val="21"/>
                    </w:rPr>
                  </w:pPr>
                </w:p>
              </w:tc>
              <w:tc>
                <w:tcPr>
                  <w:tcW w:w="2497" w:type="dxa"/>
                  <w:vMerge w:val="continue"/>
                  <w:tcBorders>
                    <w:tl2br w:val="nil"/>
                    <w:tr2bl w:val="nil"/>
                  </w:tcBorders>
                  <w:vAlign w:val="center"/>
                </w:tcPr>
                <w:p>
                  <w:pPr>
                    <w:jc w:val="center"/>
                    <w:rPr>
                      <w:rFonts w:hint="default" w:ascii="Times New Roman" w:hAnsi="Times New Roman" w:cs="Times New Roman"/>
                      <w:szCs w:val="21"/>
                    </w:rPr>
                  </w:pPr>
                </w:p>
              </w:tc>
              <w:tc>
                <w:tcPr>
                  <w:tcW w:w="473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10≤Q＜100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18" w:type="dxa"/>
                  <w:vMerge w:val="continue"/>
                  <w:tcBorders>
                    <w:tl2br w:val="nil"/>
                    <w:tr2bl w:val="nil"/>
                  </w:tcBorders>
                  <w:vAlign w:val="center"/>
                </w:tcPr>
                <w:p>
                  <w:pPr>
                    <w:jc w:val="center"/>
                    <w:rPr>
                      <w:rFonts w:hint="default" w:ascii="Times New Roman" w:hAnsi="Times New Roman" w:cs="Times New Roman"/>
                      <w:szCs w:val="21"/>
                    </w:rPr>
                  </w:pPr>
                </w:p>
              </w:tc>
              <w:tc>
                <w:tcPr>
                  <w:tcW w:w="2497" w:type="dxa"/>
                  <w:vMerge w:val="continue"/>
                  <w:tcBorders>
                    <w:tl2br w:val="nil"/>
                    <w:tr2bl w:val="nil"/>
                  </w:tcBorders>
                  <w:vAlign w:val="center"/>
                </w:tcPr>
                <w:p>
                  <w:pPr>
                    <w:jc w:val="center"/>
                    <w:rPr>
                      <w:rFonts w:hint="default" w:ascii="Times New Roman" w:hAnsi="Times New Roman" w:cs="Times New Roman"/>
                      <w:szCs w:val="21"/>
                    </w:rPr>
                  </w:pPr>
                </w:p>
              </w:tc>
              <w:tc>
                <w:tcPr>
                  <w:tcW w:w="473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Q≥100</w:t>
                  </w:r>
                </w:p>
              </w:tc>
            </w:tr>
          </w:tbl>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②评价等级划分</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根据《建设项目环境风险评价技术导则》（HJ169-2018）可知，环境风险评价等级划分见下表：</w:t>
            </w:r>
          </w:p>
          <w:p>
            <w:pPr>
              <w:snapToGrid w:val="0"/>
              <w:spacing w:line="360" w:lineRule="auto"/>
              <w:jc w:val="center"/>
              <w:rPr>
                <w:rFonts w:hint="default" w:ascii="Times New Roman" w:hAnsi="Times New Roman" w:cs="Times New Roman"/>
                <w:b/>
                <w:szCs w:val="21"/>
              </w:rPr>
            </w:pPr>
            <w:r>
              <w:rPr>
                <w:rFonts w:hint="default" w:ascii="Times New Roman" w:hAnsi="Times New Roman" w:cs="Times New Roman"/>
                <w:b/>
                <w:szCs w:val="21"/>
              </w:rPr>
              <w:t>表2</w:t>
            </w:r>
            <w:r>
              <w:rPr>
                <w:rFonts w:hint="eastAsia" w:cs="Times New Roman"/>
                <w:b/>
                <w:szCs w:val="21"/>
                <w:lang w:val="en-US" w:eastAsia="zh-CN"/>
              </w:rPr>
              <w:t>4</w:t>
            </w:r>
            <w:r>
              <w:rPr>
                <w:rFonts w:hint="default" w:ascii="Times New Roman" w:hAnsi="Times New Roman" w:cs="Times New Roman"/>
                <w:b/>
                <w:szCs w:val="21"/>
              </w:rPr>
              <w:t xml:space="preserve">  评价工作等级</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583"/>
              <w:gridCol w:w="1583"/>
              <w:gridCol w:w="1583"/>
              <w:gridCol w:w="15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69"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环境风险潜势</w:t>
                  </w:r>
                </w:p>
              </w:tc>
              <w:tc>
                <w:tcPr>
                  <w:tcW w:w="1769"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IV、IV</w:t>
                  </w:r>
                  <w:r>
                    <w:rPr>
                      <w:rFonts w:hint="default" w:ascii="Times New Roman" w:hAnsi="Times New Roman" w:cs="Times New Roman"/>
                      <w:b/>
                      <w:bCs/>
                      <w:szCs w:val="21"/>
                      <w:vertAlign w:val="superscript"/>
                    </w:rPr>
                    <w:t>+</w:t>
                  </w:r>
                </w:p>
              </w:tc>
              <w:tc>
                <w:tcPr>
                  <w:tcW w:w="1769"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III</w:t>
                  </w:r>
                </w:p>
              </w:tc>
              <w:tc>
                <w:tcPr>
                  <w:tcW w:w="1769"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II</w:t>
                  </w:r>
                </w:p>
              </w:tc>
              <w:tc>
                <w:tcPr>
                  <w:tcW w:w="1769"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6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评价工作等级</w:t>
                  </w:r>
                </w:p>
              </w:tc>
              <w:tc>
                <w:tcPr>
                  <w:tcW w:w="176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一</w:t>
                  </w:r>
                </w:p>
              </w:tc>
              <w:tc>
                <w:tcPr>
                  <w:tcW w:w="176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二</w:t>
                  </w:r>
                </w:p>
              </w:tc>
              <w:tc>
                <w:tcPr>
                  <w:tcW w:w="176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三</w:t>
                  </w:r>
                </w:p>
              </w:tc>
              <w:tc>
                <w:tcPr>
                  <w:tcW w:w="176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简单分析</w:t>
                  </w:r>
                  <w:r>
                    <w:rPr>
                      <w:rFonts w:hint="default" w:ascii="Times New Roman" w:hAnsi="Times New Roman" w:cs="Times New Roman"/>
                      <w:szCs w:val="21"/>
                      <w:vertAlign w:val="superscript"/>
                    </w:rPr>
                    <w:t>a</w:t>
                  </w:r>
                </w:p>
              </w:tc>
            </w:tr>
          </w:tbl>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vertAlign w:val="superscript"/>
              </w:rPr>
              <w:t>a</w:t>
            </w:r>
            <w:r>
              <w:rPr>
                <w:rFonts w:hint="default" w:ascii="Times New Roman" w:hAnsi="Times New Roman" w:cs="Times New Roman"/>
                <w:bCs/>
                <w:szCs w:val="21"/>
              </w:rPr>
              <w:t>是相对于详细评价工作内容而言，在描述危险物质、环境影响途径、环境危害后果、风险防范措施等方面给出定性的说明。</w:t>
            </w:r>
          </w:p>
          <w:p>
            <w:pPr>
              <w:tabs>
                <w:tab w:val="left" w:pos="1152"/>
                <w:tab w:val="left" w:pos="1680"/>
              </w:tabs>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本项目</w:t>
            </w:r>
            <w:r>
              <w:rPr>
                <w:rFonts w:hint="eastAsia" w:cs="Times New Roman"/>
                <w:bCs/>
                <w:color w:val="auto"/>
                <w:szCs w:val="21"/>
                <w:lang w:val="en-US" w:eastAsia="zh-CN"/>
              </w:rPr>
              <w:t>不涉及</w:t>
            </w:r>
            <w:r>
              <w:rPr>
                <w:rFonts w:hint="default" w:ascii="Times New Roman" w:hAnsi="Times New Roman" w:cs="Times New Roman"/>
                <w:bCs/>
                <w:color w:val="auto"/>
                <w:szCs w:val="21"/>
              </w:rPr>
              <w:t>危险物质</w:t>
            </w:r>
            <w:r>
              <w:rPr>
                <w:rFonts w:hint="eastAsia" w:cs="Times New Roman"/>
                <w:bCs/>
                <w:color w:val="auto"/>
                <w:szCs w:val="21"/>
                <w:lang w:eastAsia="zh-CN"/>
              </w:rPr>
              <w:t>，</w:t>
            </w:r>
            <w:r>
              <w:rPr>
                <w:rFonts w:hint="default" w:ascii="Times New Roman" w:hAnsi="Times New Roman" w:cs="Times New Roman"/>
                <w:bCs/>
                <w:color w:val="auto"/>
                <w:szCs w:val="21"/>
              </w:rPr>
              <w:t>数量与临界量比值Q = 0＜1，因此环境风险潜势为Ⅰ，可进行简单分析，不需设评价范围。</w:t>
            </w:r>
          </w:p>
          <w:p>
            <w:pPr>
              <w:tabs>
                <w:tab w:val="left" w:pos="1152"/>
                <w:tab w:val="left" w:pos="1680"/>
              </w:tabs>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（3）环境敏感目标概况</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color w:val="auto"/>
                <w:szCs w:val="21"/>
              </w:rPr>
              <w:t>本项目厂界最近的敏感目标为位于项目厂</w:t>
            </w:r>
            <w:r>
              <w:rPr>
                <w:rFonts w:hint="default" w:ascii="Times New Roman" w:hAnsi="Times New Roman" w:cs="Times New Roman"/>
                <w:bCs/>
                <w:szCs w:val="21"/>
              </w:rPr>
              <w:t>界北侧450m的</w:t>
            </w:r>
            <w:r>
              <w:rPr>
                <w:rFonts w:hint="eastAsia" w:cs="Times New Roman"/>
                <w:bCs/>
                <w:szCs w:val="21"/>
                <w:lang w:val="en-US" w:eastAsia="zh-CN"/>
              </w:rPr>
              <w:t>东河</w:t>
            </w:r>
            <w:r>
              <w:rPr>
                <w:rFonts w:hint="default" w:ascii="Times New Roman" w:hAnsi="Times New Roman" w:cs="Times New Roman"/>
                <w:bCs/>
                <w:szCs w:val="21"/>
              </w:rPr>
              <w:t>村、西北侧450m的西河村，厂界四周多为厂区，远离人口密集区。</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（4）环境风险识别</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项目使用的原辅材料中没</w:t>
            </w:r>
            <w:r>
              <w:rPr>
                <w:rFonts w:hint="default" w:ascii="Times New Roman" w:hAnsi="Times New Roman" w:cs="Times New Roman"/>
                <w:szCs w:val="21"/>
              </w:rPr>
              <w:t>有毒有害和易燃易爆等危险物质</w:t>
            </w:r>
            <w:r>
              <w:rPr>
                <w:rFonts w:hint="default" w:ascii="Times New Roman" w:hAnsi="Times New Roman" w:cs="Times New Roman"/>
                <w:bCs/>
                <w:szCs w:val="21"/>
              </w:rPr>
              <w:t>，主要风险为生产系统危险性。根据对环境风险物质的筛选、工艺流程风险的调查分析，确定本项目危险单元主要为：设备故障或操作不当产生触电和机械伤害、生产设备运转不顺产生噪声伤害、明火管理不当或意外事故引发的火灾。</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（5）环境风险分析</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szCs w:val="21"/>
              </w:rPr>
              <w:t>①触</w:t>
            </w:r>
            <w:r>
              <w:rPr>
                <w:rFonts w:hint="default" w:ascii="Times New Roman" w:hAnsi="Times New Roman" w:cs="Times New Roman"/>
                <w:bCs/>
                <w:szCs w:val="21"/>
              </w:rPr>
              <w:t>电</w:t>
            </w:r>
            <w:r>
              <w:rPr>
                <w:rFonts w:hint="default" w:ascii="Times New Roman" w:hAnsi="Times New Roman" w:cs="Times New Roman"/>
                <w:szCs w:val="21"/>
              </w:rPr>
              <w:t>：用电设备繁多，应特别注意，若电气设备发生故障或电器安装不规范，缺少接地</w:t>
            </w:r>
            <w:r>
              <w:rPr>
                <w:rFonts w:hint="default" w:ascii="Times New Roman" w:hAnsi="Times New Roman" w:cs="Times New Roman"/>
                <w:bCs/>
                <w:szCs w:val="21"/>
              </w:rPr>
              <w:t>或接零，或接地接零损坏失效，或操作人员违章操作，会发生触电伤害事故。</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szCs w:val="21"/>
              </w:rPr>
              <w:t>②机</w:t>
            </w:r>
            <w:r>
              <w:rPr>
                <w:rFonts w:hint="default" w:ascii="Times New Roman" w:hAnsi="Times New Roman" w:cs="Times New Roman"/>
                <w:bCs/>
                <w:szCs w:val="21"/>
              </w:rPr>
              <w:t>械伤害：生产装置中有电机转动设备，存有机械伤害危险。生产过程中，设备安全操作规程不完善或设备操作人员没有严格按照操作规程进行操作，则有可能发生安全事故，对操作人员或车间其他人员造成人身伤害。</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szCs w:val="21"/>
              </w:rPr>
              <w:t>③噪</w:t>
            </w:r>
            <w:r>
              <w:rPr>
                <w:rFonts w:hint="default" w:ascii="Times New Roman" w:hAnsi="Times New Roman" w:cs="Times New Roman"/>
                <w:bCs/>
                <w:szCs w:val="21"/>
              </w:rPr>
              <w:t>声伤害：生产装置中的转动机械等设备，有噪声伤害因素。</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szCs w:val="21"/>
              </w:rPr>
              <w:t>④明火</w:t>
            </w:r>
            <w:r>
              <w:rPr>
                <w:rFonts w:hint="default" w:ascii="Times New Roman" w:hAnsi="Times New Roman" w:cs="Times New Roman"/>
                <w:bCs/>
                <w:szCs w:val="21"/>
              </w:rPr>
              <w:t>燃烧：本项目电器设备维护管理和使用不当，明火管理不当，吸烟等，均可能导致火灾事故发生。在火灾过程中，物体燃烧后产生高温和烟雾可以使人体受到伤害，甚至危及人的生命；火灾会毁坏物资，造成经济损失；火灾中释放的烟气将对周围大气环境造成一定的污染。</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5 \* GB3 \* MERGEFORMAT </w:instrText>
            </w:r>
            <w:r>
              <w:rPr>
                <w:rFonts w:hint="default" w:ascii="Times New Roman" w:hAnsi="Times New Roman" w:cs="Times New Roman"/>
                <w:szCs w:val="21"/>
              </w:rPr>
              <w:fldChar w:fldCharType="separate"/>
            </w:r>
            <w:r>
              <w:rPr>
                <w:rFonts w:hint="default" w:ascii="Times New Roman" w:hAnsi="Times New Roman" w:cs="Times New Roman"/>
                <w:szCs w:val="21"/>
              </w:rPr>
              <w:t>⑤</w:t>
            </w:r>
            <w:r>
              <w:rPr>
                <w:rFonts w:hint="default" w:ascii="Times New Roman" w:hAnsi="Times New Roman" w:cs="Times New Roman"/>
                <w:szCs w:val="21"/>
              </w:rPr>
              <w:fldChar w:fldCharType="end"/>
            </w:r>
            <w:r>
              <w:rPr>
                <w:rFonts w:hint="default" w:ascii="Times New Roman" w:hAnsi="Times New Roman" w:cs="Times New Roman"/>
                <w:szCs w:val="21"/>
              </w:rPr>
              <w:t>对环保设施产生故障时产生的环境风险：环保设施发生故障，导致VOCs散逸至外环境，对周边造成环境影响。</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6）环境风险防范措施</w:t>
            </w:r>
          </w:p>
          <w:p>
            <w:pPr>
              <w:tabs>
                <w:tab w:val="left" w:pos="1152"/>
                <w:tab w:val="left" w:pos="1680"/>
              </w:tabs>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事故发生后，一方面对本项目工作人员造成人身伤害及经济损失，另一方面也会影响周围人群及环境。为了从源头上消除环境风险，企业应进一步加强如下措施：</w:t>
            </w:r>
          </w:p>
          <w:p>
            <w:pPr>
              <w:tabs>
                <w:tab w:val="left" w:pos="1152"/>
                <w:tab w:val="left" w:pos="1680"/>
              </w:tabs>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①</w:t>
            </w:r>
            <w:r>
              <w:rPr>
                <w:rFonts w:hint="default" w:ascii="Times New Roman" w:hAnsi="Times New Roman" w:cs="Times New Roman"/>
                <w:color w:val="auto"/>
                <w:szCs w:val="21"/>
              </w:rPr>
              <w:t>消除和控制明火源：在车间内，有醒目的严禁烟火标志，严禁动火吸烟；进入危险区的机动车辆，其排气管应戴防火帽；进入危险区的人员，按规定登记，严禁携带火柴、打火机等；使用气焊、电焊等设备时，采取防护措施，确保安全无误后，方可动火作业。动火过程中，必须遵守安全技术规程。</w:t>
            </w:r>
          </w:p>
          <w:p>
            <w:pPr>
              <w:tabs>
                <w:tab w:val="left" w:pos="1152"/>
                <w:tab w:val="left" w:pos="1680"/>
              </w:tabs>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②</w:t>
            </w:r>
            <w:r>
              <w:rPr>
                <w:rFonts w:hint="default" w:ascii="Times New Roman" w:hAnsi="Times New Roman" w:cs="Times New Roman"/>
                <w:color w:val="auto"/>
                <w:szCs w:val="21"/>
              </w:rPr>
              <w:t>防止电气火花：采取有效措施防止电气线路和电气设施在开关断开、接触不良、短路、漏电时产生火花，防止静电放电火花；采取防雷接地措施，防止雷电放电火花。电器线路定期检修，及时更换老化、电线裸露设备。</w:t>
            </w:r>
          </w:p>
          <w:p>
            <w:pPr>
              <w:tabs>
                <w:tab w:val="left" w:pos="1152"/>
                <w:tab w:val="left" w:pos="1680"/>
              </w:tabs>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③</w:t>
            </w:r>
            <w:r>
              <w:rPr>
                <w:rFonts w:hint="default" w:ascii="Times New Roman" w:hAnsi="Times New Roman" w:cs="Times New Roman"/>
                <w:color w:val="auto"/>
                <w:szCs w:val="21"/>
              </w:rPr>
              <w:t>建立应急救援组织或者配备应急救援人员，配备必要的应急救援器材、设备，对消防措施定期检查，保证消防措施的有效性，并定期组织演练。灭火器材配置有安全帽、安全带、切割机、气焊设备、小型电动工具、一般五金工具、雨衣、雨靴、手电筒等，统一存放在仓库，仓库保管员24小时值班。消防器材主要有干粉灭火器和灭火器、国标消防栓。设置现场疏散指示标志和应急照明灯。周围消防栓应标明地点。</w:t>
            </w:r>
          </w:p>
          <w:p>
            <w:pPr>
              <w:tabs>
                <w:tab w:val="left" w:pos="1152"/>
                <w:tab w:val="left" w:pos="1680"/>
              </w:tabs>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color w:val="auto"/>
                <w:szCs w:val="21"/>
                <w:lang w:val="en-US" w:eastAsia="zh-CN"/>
              </w:rPr>
              <w:t>④</w:t>
            </w:r>
            <w:r>
              <w:rPr>
                <w:rFonts w:hint="default" w:ascii="Times New Roman" w:hAnsi="Times New Roman" w:cs="Times New Roman"/>
                <w:color w:val="auto"/>
                <w:szCs w:val="21"/>
              </w:rPr>
              <w:t>严</w:t>
            </w:r>
            <w:r>
              <w:rPr>
                <w:rFonts w:hint="default" w:ascii="Times New Roman" w:hAnsi="Times New Roman" w:cs="Times New Roman"/>
                <w:bCs/>
                <w:color w:val="auto"/>
                <w:szCs w:val="21"/>
              </w:rPr>
              <w:t>禁烟火，车间内禁止吸烟，加强管理，严格操作规范，制定一系列的防火规章制度；厂内车间应在进口处的明显位置设有项目的严禁烟火的标志。</w:t>
            </w:r>
          </w:p>
          <w:p>
            <w:pPr>
              <w:tabs>
                <w:tab w:val="left" w:pos="1152"/>
                <w:tab w:val="left" w:pos="1680"/>
              </w:tabs>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color w:val="auto"/>
                <w:szCs w:val="21"/>
                <w:lang w:val="en-US" w:eastAsia="zh-CN"/>
              </w:rPr>
              <w:t>⑤</w:t>
            </w:r>
            <w:r>
              <w:rPr>
                <w:rFonts w:hint="default" w:ascii="Times New Roman" w:hAnsi="Times New Roman" w:cs="Times New Roman"/>
                <w:color w:val="auto"/>
                <w:szCs w:val="21"/>
              </w:rPr>
              <w:t>车间</w:t>
            </w:r>
            <w:r>
              <w:rPr>
                <w:rFonts w:hint="default" w:ascii="Times New Roman" w:hAnsi="Times New Roman" w:cs="Times New Roman"/>
                <w:bCs/>
                <w:color w:val="auto"/>
                <w:szCs w:val="21"/>
              </w:rPr>
              <w:t>内必须有自然通风设施及强制通风设施，保证车间内空气流通。作业场所所有安全通道、门窗向外开启，通道和出入口保持通畅。</w:t>
            </w:r>
          </w:p>
          <w:p>
            <w:pPr>
              <w:tabs>
                <w:tab w:val="left" w:pos="1152"/>
                <w:tab w:val="left" w:pos="1680"/>
              </w:tabs>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color w:val="auto"/>
                <w:szCs w:val="21"/>
                <w:lang w:val="en-US" w:eastAsia="zh-CN"/>
              </w:rPr>
              <w:t>⑥</w:t>
            </w:r>
            <w:r>
              <w:rPr>
                <w:rFonts w:hint="default" w:ascii="Times New Roman" w:hAnsi="Times New Roman" w:cs="Times New Roman"/>
                <w:color w:val="auto"/>
                <w:szCs w:val="21"/>
              </w:rPr>
              <w:t>建立</w:t>
            </w:r>
            <w:r>
              <w:rPr>
                <w:rFonts w:hint="default" w:ascii="Times New Roman" w:hAnsi="Times New Roman" w:cs="Times New Roman"/>
                <w:bCs/>
                <w:color w:val="auto"/>
                <w:szCs w:val="21"/>
              </w:rPr>
              <w:t>健全的规章制度，非直接操作人员不得擅自进入车间，严禁烟火，进出车间都要有严格的手续，以免发生意外。</w:t>
            </w:r>
          </w:p>
          <w:p>
            <w:pPr>
              <w:tabs>
                <w:tab w:val="left" w:pos="1152"/>
                <w:tab w:val="left" w:pos="1680"/>
              </w:tabs>
              <w:spacing w:line="360" w:lineRule="auto"/>
              <w:ind w:firstLine="420" w:firstLineChars="200"/>
              <w:rPr>
                <w:rFonts w:hint="default" w:ascii="Times New Roman" w:hAnsi="Times New Roman" w:cs="Times New Roman"/>
                <w:bCs/>
                <w:color w:val="auto"/>
                <w:szCs w:val="21"/>
              </w:rPr>
            </w:pPr>
            <w:r>
              <w:rPr>
                <w:rFonts w:hint="default" w:ascii="Times New Roman" w:hAnsi="Times New Roman" w:cs="Times New Roman"/>
                <w:color w:val="auto"/>
                <w:szCs w:val="21"/>
                <w:lang w:val="en-US" w:eastAsia="zh-CN"/>
              </w:rPr>
              <w:t>⑦</w:t>
            </w:r>
            <w:r>
              <w:rPr>
                <w:rFonts w:hint="default" w:ascii="Times New Roman" w:hAnsi="Times New Roman" w:cs="Times New Roman"/>
                <w:color w:val="auto"/>
                <w:szCs w:val="21"/>
              </w:rPr>
              <w:t>提高</w:t>
            </w:r>
            <w:r>
              <w:rPr>
                <w:rFonts w:hint="default" w:ascii="Times New Roman" w:hAnsi="Times New Roman" w:cs="Times New Roman"/>
                <w:bCs/>
                <w:color w:val="auto"/>
                <w:szCs w:val="21"/>
              </w:rPr>
              <w:t>认识、完善制度、严格检查。设置安全环保机构，负责全公司的环保安全工作，制定各项安全生产管理制度、严格的生产操作规则和完善的事故应急计划及相应的应急处理手段和设施，同时加强安全教育，以提高职工的安全意识和安全防范能力。</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（6）分析结论</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根据《建设项目环境风险评价技术导则》（HJ169-2018）中辨识、分析，本项目无环境风险物质，环境风险潜势为Ⅰ。企业在生产过程中须加强防范措施并完善风险应急预案，切实防范火灾、爆炸等环境风险事故的发生，企业在严格按照风险防范措施处理情况下，本项目的环境风险是可控的。</w:t>
            </w:r>
          </w:p>
          <w:p>
            <w:pPr>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表2</w:t>
            </w:r>
            <w:r>
              <w:rPr>
                <w:rFonts w:hint="eastAsia" w:cs="Times New Roman"/>
                <w:b/>
                <w:bCs/>
                <w:szCs w:val="21"/>
                <w:lang w:val="en-US" w:eastAsia="zh-CN"/>
              </w:rPr>
              <w:t>5</w:t>
            </w:r>
            <w:r>
              <w:rPr>
                <w:rFonts w:hint="default" w:ascii="Times New Roman" w:hAnsi="Times New Roman" w:cs="Times New Roman"/>
                <w:b/>
                <w:bCs/>
                <w:szCs w:val="21"/>
              </w:rPr>
              <w:t xml:space="preserve">  环境风险简单分析内容表</w:t>
            </w:r>
          </w:p>
          <w:tbl>
            <w:tblPr>
              <w:tblStyle w:val="26"/>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296"/>
              <w:gridCol w:w="1498"/>
              <w:gridCol w:w="1230"/>
              <w:gridCol w:w="874"/>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81"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建设项目名称</w:t>
                  </w:r>
                </w:p>
              </w:tc>
              <w:tc>
                <w:tcPr>
                  <w:tcW w:w="6034" w:type="dxa"/>
                  <w:gridSpan w:val="5"/>
                  <w:tcBorders>
                    <w:tl2br w:val="nil"/>
                    <w:tr2bl w:val="nil"/>
                  </w:tcBorders>
                  <w:vAlign w:val="center"/>
                </w:tcPr>
                <w:p>
                  <w:pPr>
                    <w:rPr>
                      <w:rFonts w:hint="default" w:ascii="Times New Roman" w:hAnsi="Times New Roman" w:eastAsia="宋体" w:cs="Times New Roman"/>
                      <w:szCs w:val="21"/>
                      <w:lang w:eastAsia="zh-CN"/>
                    </w:rPr>
                  </w:pPr>
                  <w:r>
                    <w:rPr>
                      <w:rFonts w:hint="default" w:ascii="Times New Roman" w:hAnsi="Times New Roman" w:cs="Times New Roman"/>
                      <w:lang w:eastAsia="zh-CN"/>
                    </w:rPr>
                    <w:t>山东浩斐生物科技有限公司SOD食品项目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81"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建设地点</w:t>
                  </w:r>
                </w:p>
              </w:tc>
              <w:tc>
                <w:tcPr>
                  <w:tcW w:w="1296"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（山东）省</w:t>
                  </w:r>
                </w:p>
              </w:tc>
              <w:tc>
                <w:tcPr>
                  <w:tcW w:w="1498"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（淄博）市</w:t>
                  </w:r>
                </w:p>
              </w:tc>
              <w:tc>
                <w:tcPr>
                  <w:tcW w:w="1230"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（临淄）区</w:t>
                  </w:r>
                </w:p>
              </w:tc>
              <w:tc>
                <w:tcPr>
                  <w:tcW w:w="874"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（/）县</w:t>
                  </w:r>
                </w:p>
              </w:tc>
              <w:tc>
                <w:tcPr>
                  <w:tcW w:w="1136"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（/）园区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81"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地理坐标</w:t>
                  </w:r>
                </w:p>
              </w:tc>
              <w:tc>
                <w:tcPr>
                  <w:tcW w:w="1296"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经度</w:t>
                  </w:r>
                </w:p>
              </w:tc>
              <w:tc>
                <w:tcPr>
                  <w:tcW w:w="1498"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118.299</w:t>
                  </w:r>
                  <w:r>
                    <w:rPr>
                      <w:rFonts w:hint="default" w:ascii="Times New Roman" w:hAnsi="Times New Roman" w:cs="Times New Roman"/>
                      <w:szCs w:val="21"/>
                      <w:lang w:val="en-US" w:eastAsia="zh-CN"/>
                    </w:rPr>
                    <w:t>604</w:t>
                  </w:r>
                  <w:r>
                    <w:rPr>
                      <w:rFonts w:hint="default" w:ascii="Times New Roman" w:hAnsi="Times New Roman" w:cs="Times New Roman"/>
                      <w:szCs w:val="21"/>
                    </w:rPr>
                    <w:t>°</w:t>
                  </w:r>
                </w:p>
              </w:tc>
              <w:tc>
                <w:tcPr>
                  <w:tcW w:w="1230"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纬度</w:t>
                  </w:r>
                </w:p>
              </w:tc>
              <w:tc>
                <w:tcPr>
                  <w:tcW w:w="2010" w:type="dxa"/>
                  <w:gridSpan w:val="2"/>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36.858</w:t>
                  </w:r>
                  <w:r>
                    <w:rPr>
                      <w:rFonts w:hint="default" w:ascii="Times New Roman" w:hAnsi="Times New Roman" w:cs="Times New Roman"/>
                      <w:szCs w:val="21"/>
                      <w:lang w:val="en-US" w:eastAsia="zh-CN"/>
                    </w:rPr>
                    <w:t>623</w:t>
                  </w:r>
                  <w:r>
                    <w:rPr>
                      <w:rFonts w:hint="default"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81"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主要危险物质及分布</w:t>
                  </w:r>
                </w:p>
              </w:tc>
              <w:tc>
                <w:tcPr>
                  <w:tcW w:w="6034" w:type="dxa"/>
                  <w:gridSpan w:val="5"/>
                  <w:tcBorders>
                    <w:tl2br w:val="nil"/>
                    <w:tr2bl w:val="nil"/>
                  </w:tcBorders>
                  <w:vAlign w:val="center"/>
                </w:tcPr>
                <w:p>
                  <w:pPr>
                    <w:rPr>
                      <w:rFonts w:hint="default" w:ascii="Times New Roman" w:hAnsi="Times New Roman" w:cs="Times New Roman"/>
                      <w:szCs w:val="21"/>
                    </w:rPr>
                  </w:pPr>
                  <w:r>
                    <w:rPr>
                      <w:rFonts w:hint="eastAsia" w:cs="Times New Roman"/>
                      <w:szCs w:val="21"/>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81"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环境影响途径及危害后果</w:t>
                  </w:r>
                </w:p>
                <w:p>
                  <w:pPr>
                    <w:rPr>
                      <w:rFonts w:hint="default" w:ascii="Times New Roman" w:hAnsi="Times New Roman" w:cs="Times New Roman"/>
                      <w:szCs w:val="21"/>
                    </w:rPr>
                  </w:pPr>
                  <w:r>
                    <w:rPr>
                      <w:rFonts w:hint="default" w:ascii="Times New Roman" w:hAnsi="Times New Roman" w:cs="Times New Roman"/>
                      <w:szCs w:val="21"/>
                    </w:rPr>
                    <w:t>（大气、地表水、地下水等）</w:t>
                  </w:r>
                </w:p>
              </w:tc>
              <w:tc>
                <w:tcPr>
                  <w:tcW w:w="6034" w:type="dxa"/>
                  <w:gridSpan w:val="5"/>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确定本项目风险主要为设备故障或操作不当产生触电和机械伤害、生产设备运转不顺产生噪声伤害、明火管理不当或意外事故引发的火灾引发火灾、爆炸，在燃烧过程产生的伴生/次生污染物对周围大气、地下水、土壤环境的影响。其影响途径主要为大气扩散、土壤下渗等。</w:t>
                  </w:r>
                </w:p>
                <w:p>
                  <w:pPr>
                    <w:rPr>
                      <w:rFonts w:hint="default" w:ascii="Times New Roman" w:hAnsi="Times New Roman" w:cs="Times New Roman"/>
                      <w:szCs w:val="21"/>
                    </w:rPr>
                  </w:pPr>
                  <w:r>
                    <w:rPr>
                      <w:rFonts w:hint="default" w:ascii="Times New Roman" w:hAnsi="Times New Roman" w:cs="Times New Roman"/>
                      <w:szCs w:val="21"/>
                    </w:rPr>
                    <w:t>1、环境空气影响</w:t>
                  </w:r>
                </w:p>
                <w:p>
                  <w:pPr>
                    <w:rPr>
                      <w:rFonts w:hint="default" w:ascii="Times New Roman" w:hAnsi="Times New Roman" w:cs="Times New Roman"/>
                      <w:szCs w:val="21"/>
                    </w:rPr>
                  </w:pPr>
                  <w:r>
                    <w:rPr>
                      <w:rFonts w:hint="default" w:ascii="Times New Roman" w:hAnsi="Times New Roman" w:cs="Times New Roman"/>
                      <w:szCs w:val="21"/>
                    </w:rPr>
                    <w:t>火灾燃烧过程中所产生的大气污染物主要有CO、碳氢化合物、炭黑离子和飞灰等，若不及时采取合理措施处置，则会影响环境空气质量，并且烟尘中存在大量粒径小于10μm的颗粒，容易通过呼吸系统或皮肤进入人体，对人体构成伤害。</w:t>
                  </w:r>
                </w:p>
                <w:p>
                  <w:pPr>
                    <w:rPr>
                      <w:rFonts w:hint="default" w:ascii="Times New Roman" w:hAnsi="Times New Roman" w:cs="Times New Roman"/>
                      <w:szCs w:val="21"/>
                    </w:rPr>
                  </w:pPr>
                  <w:r>
                    <w:rPr>
                      <w:rFonts w:hint="default" w:ascii="Times New Roman" w:hAnsi="Times New Roman" w:cs="Times New Roman"/>
                      <w:szCs w:val="21"/>
                    </w:rPr>
                    <w:t>2、地下水、土壤环境影响</w:t>
                  </w:r>
                </w:p>
                <w:p>
                  <w:pPr>
                    <w:rPr>
                      <w:rFonts w:hint="default" w:ascii="Times New Roman" w:hAnsi="Times New Roman" w:cs="Times New Roman"/>
                      <w:szCs w:val="21"/>
                    </w:rPr>
                  </w:pPr>
                  <w:r>
                    <w:rPr>
                      <w:rFonts w:hint="default" w:ascii="Times New Roman" w:hAnsi="Times New Roman" w:cs="Times New Roman"/>
                      <w:szCs w:val="21"/>
                    </w:rPr>
                    <w:t>在使用泡沫粉末灭灾的过程中，油类物质和燃烧产生的有害物质会随消防水散落在厂区内，进入土壤环境，甚至下渗到地下水环境中，这些有害物质往往在自然环境中较难降解，又有一定的毒性，将对地下水、土壤环境造成长期的危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81" w:type="dxa"/>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风险防范措施要求</w:t>
                  </w:r>
                </w:p>
              </w:tc>
              <w:tc>
                <w:tcPr>
                  <w:tcW w:w="6034" w:type="dxa"/>
                  <w:gridSpan w:val="5"/>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(1)消除和控制明火源：在车间内，有醒目的严禁烟火标志，严禁动火吸烟；进入危险区的机动车辆，其排气管应戴防火帽；进入危险区的人员，按规定登记，严禁携带火柴、打火机等；使用气焊、电焊等进行按照维修时，采取防护措施，确保安全无误后，方可动火作业。动火过程中，必须遵守安全技术规程。</w:t>
                  </w:r>
                </w:p>
                <w:p>
                  <w:pPr>
                    <w:rPr>
                      <w:rFonts w:hint="default" w:ascii="Times New Roman" w:hAnsi="Times New Roman" w:cs="Times New Roman"/>
                      <w:szCs w:val="21"/>
                    </w:rPr>
                  </w:pPr>
                  <w:r>
                    <w:rPr>
                      <w:rFonts w:hint="default" w:ascii="Times New Roman" w:hAnsi="Times New Roman" w:cs="Times New Roman"/>
                      <w:szCs w:val="21"/>
                    </w:rPr>
                    <w:t>(2)防止电气火花：采取有效措施防止电气线路和电气设施在开关断开、接触不良、短路、漏电时产生火花，防止静电放电火花；采取防雷接地措施，防止雷电放电火花。电器线路定期检修，及时更换老化、电线裸露设备。</w:t>
                  </w:r>
                </w:p>
                <w:p>
                  <w:pPr>
                    <w:rPr>
                      <w:rFonts w:hint="default" w:ascii="Times New Roman" w:hAnsi="Times New Roman" w:cs="Times New Roman"/>
                      <w:szCs w:val="21"/>
                    </w:rPr>
                  </w:pPr>
                  <w:r>
                    <w:rPr>
                      <w:rFonts w:hint="default" w:ascii="Times New Roman" w:hAnsi="Times New Roman" w:cs="Times New Roman"/>
                      <w:szCs w:val="21"/>
                    </w:rPr>
                    <w:t>(3)建立应急救援组织或者配备应急救援人员，配备必要的应急救援器材、设备，对消防措施定期检查，保证消防措施的有效性，并定期组织演练。消防器材主要有干粉灭火器和灭火器、国标消防栓。设置现场疏散指示标志和应急照明灯。周围消防栓应标明地点。</w:t>
                  </w:r>
                </w:p>
                <w:p>
                  <w:pPr>
                    <w:rPr>
                      <w:rFonts w:hint="default" w:ascii="Times New Roman" w:hAnsi="Times New Roman" w:cs="Times New Roman"/>
                      <w:szCs w:val="21"/>
                    </w:rPr>
                  </w:pPr>
                  <w:r>
                    <w:rPr>
                      <w:rFonts w:hint="default" w:ascii="Times New Roman" w:hAnsi="Times New Roman" w:cs="Times New Roman"/>
                      <w:szCs w:val="21"/>
                    </w:rPr>
                    <w:t>(4)雨水口设置截断设施，防止事故废水排出厂外。</w:t>
                  </w:r>
                </w:p>
                <w:p>
                  <w:pPr>
                    <w:rPr>
                      <w:rFonts w:hint="default" w:ascii="Times New Roman" w:hAnsi="Times New Roman" w:cs="Times New Roman"/>
                      <w:szCs w:val="21"/>
                    </w:rPr>
                  </w:pPr>
                  <w:r>
                    <w:rPr>
                      <w:rFonts w:hint="default" w:ascii="Times New Roman" w:hAnsi="Times New Roman" w:cs="Times New Roman"/>
                      <w:szCs w:val="21"/>
                    </w:rPr>
                    <w:t>(5)在开展环境风险评估与应急资源调查的基础上，编制环境风险应急预案，并定期演练。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15" w:type="dxa"/>
                  <w:gridSpan w:val="6"/>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填表说明（列出项目相关信息及评价说明）：</w:t>
                  </w:r>
                </w:p>
                <w:p>
                  <w:pPr>
                    <w:ind w:firstLine="420" w:firstLineChars="200"/>
                    <w:rPr>
                      <w:rFonts w:hint="default" w:ascii="Times New Roman" w:hAnsi="Times New Roman" w:cs="Times New Roman"/>
                      <w:szCs w:val="21"/>
                    </w:rPr>
                  </w:pPr>
                  <w:r>
                    <w:rPr>
                      <w:rFonts w:hint="default" w:ascii="Times New Roman" w:hAnsi="Times New Roman" w:cs="Times New Roman"/>
                      <w:szCs w:val="21"/>
                    </w:rPr>
                    <w:t>根据《建设项目环境风险评价技术导则》(HJ169-2018) ，本项目生产、使用、储存过程中</w:t>
                  </w:r>
                  <w:r>
                    <w:rPr>
                      <w:rFonts w:hint="eastAsia" w:cs="Times New Roman"/>
                      <w:szCs w:val="21"/>
                      <w:lang w:val="en-US" w:eastAsia="zh-CN"/>
                    </w:rPr>
                    <w:t>不</w:t>
                  </w:r>
                  <w:r>
                    <w:rPr>
                      <w:rFonts w:hint="default" w:ascii="Times New Roman" w:hAnsi="Times New Roman" w:cs="Times New Roman"/>
                      <w:szCs w:val="21"/>
                    </w:rPr>
                    <w:t>涉及危险物质，根据公式计算，本项目Q = 0＜1，因此环境风险潜势为Ⅰ，可进行简单分析，不需设评价范围。</w:t>
                  </w:r>
                </w:p>
              </w:tc>
            </w:tr>
          </w:tbl>
          <w:p>
            <w:pPr>
              <w:widowControl/>
              <w:spacing w:line="360" w:lineRule="auto"/>
              <w:jc w:val="left"/>
              <w:rPr>
                <w:rFonts w:hint="default" w:ascii="Times New Roman" w:hAnsi="Times New Roman" w:cs="Times New Roman"/>
                <w:bCs/>
                <w:spacing w:val="-10"/>
                <w:szCs w:val="21"/>
              </w:rPr>
            </w:pPr>
          </w:p>
          <w:p>
            <w:pPr>
              <w:widowControl/>
              <w:spacing w:line="360" w:lineRule="auto"/>
              <w:jc w:val="left"/>
              <w:rPr>
                <w:rFonts w:hint="default" w:ascii="Times New Roman" w:hAnsi="Times New Roman" w:cs="Times New Roman"/>
                <w:bCs/>
                <w:spacing w:val="-10"/>
                <w:szCs w:val="21"/>
              </w:rPr>
            </w:pPr>
          </w:p>
        </w:tc>
      </w:tr>
    </w:tbl>
    <w:p>
      <w:pPr>
        <w:pStyle w:val="23"/>
        <w:jc w:val="both"/>
        <w:outlineLvl w:val="0"/>
        <w:rPr>
          <w:rFonts w:hint="default" w:ascii="Times New Roman" w:hAnsi="Times New Roman" w:eastAsia="黑体" w:cs="Times New Roman"/>
          <w:snapToGrid w:val="0"/>
          <w:sz w:val="30"/>
          <w:szCs w:val="30"/>
        </w:rPr>
        <w:sectPr>
          <w:pgSz w:w="11907" w:h="16840"/>
          <w:pgMar w:top="1701" w:right="1531" w:bottom="2127" w:left="1531" w:header="851" w:footer="851" w:gutter="0"/>
          <w:cols w:space="720" w:num="1"/>
          <w:docGrid w:linePitch="312" w:charSpace="0"/>
        </w:sectPr>
      </w:pPr>
    </w:p>
    <w:p>
      <w:pPr>
        <w:pStyle w:val="23"/>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五、</w:t>
      </w:r>
      <w:bookmarkStart w:id="2" w:name="_Hlk54167917"/>
      <w:r>
        <w:rPr>
          <w:rFonts w:hint="default" w:ascii="Times New Roman" w:hAnsi="Times New Roman" w:eastAsia="黑体" w:cs="Times New Roman"/>
          <w:snapToGrid w:val="0"/>
          <w:sz w:val="30"/>
          <w:szCs w:val="30"/>
        </w:rPr>
        <w:t>环境保护措施监督检查清单</w:t>
      </w:r>
      <w:bookmarkEnd w:id="2"/>
    </w:p>
    <w:tbl>
      <w:tblPr>
        <w:tblStyle w:val="26"/>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16"/>
        <w:gridCol w:w="1200"/>
        <w:gridCol w:w="1524"/>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96" w:type="dxa"/>
            <w:tcBorders>
              <w:tl2br w:val="nil"/>
              <w:tr2bl w:val="nil"/>
            </w:tcBorders>
            <w:vAlign w:val="center"/>
          </w:tcPr>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要素</w:t>
            </w:r>
          </w:p>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内容</w:t>
            </w:r>
          </w:p>
        </w:tc>
        <w:tc>
          <w:tcPr>
            <w:tcW w:w="1716" w:type="dxa"/>
            <w:tcBorders>
              <w:tl2br w:val="nil"/>
              <w:tr2bl w:val="nil"/>
            </w:tcBorders>
            <w:vAlign w:val="center"/>
          </w:tcPr>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排放口(编号、</w:t>
            </w:r>
          </w:p>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名称)/污染源</w:t>
            </w:r>
          </w:p>
        </w:tc>
        <w:tc>
          <w:tcPr>
            <w:tcW w:w="1200" w:type="dxa"/>
            <w:tcBorders>
              <w:tl2br w:val="nil"/>
              <w:tr2bl w:val="nil"/>
            </w:tcBorders>
            <w:vAlign w:val="center"/>
          </w:tcPr>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污染物项目</w:t>
            </w:r>
          </w:p>
        </w:tc>
        <w:tc>
          <w:tcPr>
            <w:tcW w:w="1524" w:type="dxa"/>
            <w:tcBorders>
              <w:tl2br w:val="nil"/>
              <w:tr2bl w:val="nil"/>
            </w:tcBorders>
            <w:vAlign w:val="center"/>
          </w:tcPr>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环境保护措施</w:t>
            </w:r>
          </w:p>
        </w:tc>
        <w:tc>
          <w:tcPr>
            <w:tcW w:w="2864" w:type="dxa"/>
            <w:tcBorders>
              <w:tl2br w:val="nil"/>
              <w:tr2bl w:val="nil"/>
            </w:tcBorders>
            <w:vAlign w:val="center"/>
          </w:tcPr>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1496" w:type="dxa"/>
            <w:vMerge w:val="restart"/>
            <w:tcBorders>
              <w:tl2br w:val="nil"/>
              <w:tr2bl w:val="nil"/>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大气环境</w:t>
            </w:r>
          </w:p>
        </w:tc>
        <w:tc>
          <w:tcPr>
            <w:tcW w:w="1716" w:type="dxa"/>
            <w:tcBorders>
              <w:tl2br w:val="nil"/>
              <w:tr2bl w:val="nil"/>
            </w:tcBorders>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default" w:ascii="Times New Roman" w:hAnsi="Times New Roman" w:cs="Times New Roman"/>
                <w:szCs w:val="21"/>
              </w:rPr>
              <w:t>废气排气筒DA00</w:t>
            </w:r>
            <w:r>
              <w:rPr>
                <w:rFonts w:hint="eastAsia" w:cs="Times New Roman"/>
                <w:szCs w:val="21"/>
                <w:lang w:val="en-US" w:eastAsia="zh-CN"/>
              </w:rPr>
              <w:t>1</w:t>
            </w:r>
          </w:p>
        </w:tc>
        <w:tc>
          <w:tcPr>
            <w:tcW w:w="1200" w:type="dxa"/>
            <w:tcBorders>
              <w:tl2br w:val="nil"/>
              <w:tr2bl w:val="nil"/>
            </w:tcBorders>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cs="Times New Roman"/>
                <w:szCs w:val="21"/>
              </w:rPr>
              <w:t>颗粒物</w:t>
            </w:r>
          </w:p>
        </w:tc>
        <w:tc>
          <w:tcPr>
            <w:tcW w:w="1524" w:type="dxa"/>
            <w:tcBorders>
              <w:tl2br w:val="nil"/>
              <w:tr2bl w:val="nil"/>
            </w:tcBorders>
            <w:vAlign w:val="center"/>
          </w:tcPr>
          <w:p>
            <w:pPr>
              <w:adjustRightInd w:val="0"/>
              <w:snapToGrid w:val="0"/>
              <w:jc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cs="Times New Roman"/>
                <w:kern w:val="0"/>
                <w:szCs w:val="21"/>
                <w:lang w:bidi="ar"/>
              </w:rPr>
              <w:t>布袋除尘器+15m高排气筒</w:t>
            </w:r>
          </w:p>
        </w:tc>
        <w:tc>
          <w:tcPr>
            <w:tcW w:w="2864" w:type="dxa"/>
            <w:tcBorders>
              <w:tl2br w:val="nil"/>
              <w:tr2bl w:val="nil"/>
            </w:tcBorders>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cs="Times New Roman"/>
                <w:szCs w:val="21"/>
              </w:rPr>
              <w:t>《区域性大气污染物综合排放标准》（DB37/2376-2019）表1中“重点控制区”的排放浓度限值（颗粒物：10mg/m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496" w:type="dxa"/>
            <w:vMerge w:val="continue"/>
            <w:tcBorders>
              <w:tl2br w:val="nil"/>
              <w:tr2bl w:val="nil"/>
            </w:tcBorders>
            <w:vAlign w:val="center"/>
          </w:tcPr>
          <w:p>
            <w:pPr>
              <w:adjustRightInd w:val="0"/>
              <w:snapToGrid w:val="0"/>
              <w:jc w:val="center"/>
              <w:rPr>
                <w:rFonts w:hint="default" w:ascii="Times New Roman" w:hAnsi="Times New Roman" w:cs="Times New Roman"/>
                <w:szCs w:val="21"/>
              </w:rPr>
            </w:pPr>
          </w:p>
        </w:tc>
        <w:tc>
          <w:tcPr>
            <w:tcW w:w="1716" w:type="dxa"/>
            <w:tcBorders>
              <w:tl2br w:val="nil"/>
              <w:tr2bl w:val="nil"/>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无组织</w:t>
            </w:r>
          </w:p>
        </w:tc>
        <w:tc>
          <w:tcPr>
            <w:tcW w:w="1200" w:type="dxa"/>
            <w:tcBorders>
              <w:tl2br w:val="nil"/>
              <w:tr2bl w:val="nil"/>
            </w:tcBorders>
            <w:vAlign w:val="center"/>
          </w:tcPr>
          <w:p>
            <w:pPr>
              <w:tabs>
                <w:tab w:val="left" w:pos="1332"/>
              </w:tabs>
              <w:jc w:val="center"/>
              <w:rPr>
                <w:rFonts w:hint="default" w:ascii="Times New Roman" w:hAnsi="Times New Roman" w:cs="Times New Roman"/>
                <w:szCs w:val="21"/>
              </w:rPr>
            </w:pPr>
            <w:r>
              <w:rPr>
                <w:rFonts w:hint="default" w:ascii="Times New Roman" w:hAnsi="Times New Roman" w:cs="Times New Roman"/>
                <w:szCs w:val="21"/>
              </w:rPr>
              <w:t>颗粒物</w:t>
            </w:r>
          </w:p>
        </w:tc>
        <w:tc>
          <w:tcPr>
            <w:tcW w:w="1524" w:type="dxa"/>
            <w:tcBorders>
              <w:tl2br w:val="nil"/>
              <w:tr2bl w:val="nil"/>
            </w:tcBorders>
            <w:vAlign w:val="center"/>
          </w:tcPr>
          <w:p>
            <w:pPr>
              <w:adjustRightInd w:val="0"/>
              <w:snapToGrid w:val="0"/>
              <w:jc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加强车间管理</w:t>
            </w:r>
          </w:p>
        </w:tc>
        <w:tc>
          <w:tcPr>
            <w:tcW w:w="2864" w:type="dxa"/>
            <w:tcBorders>
              <w:bottom w:val="single" w:color="000000" w:sz="4" w:space="0"/>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bCs/>
                <w:szCs w:val="21"/>
              </w:rPr>
              <w:t>满足《大气污染物综合排放标准》（GB16297-1996）表2中无组织颗粒物浓度限值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96" w:type="dxa"/>
            <w:tcBorders>
              <w:tl2br w:val="nil"/>
              <w:tr2bl w:val="nil"/>
            </w:tcBorders>
            <w:vAlign w:val="center"/>
          </w:tcPr>
          <w:p>
            <w:pPr>
              <w:adjustRightInd w:val="0"/>
              <w:snapToGrid w:val="0"/>
              <w:jc w:val="center"/>
              <w:rPr>
                <w:rFonts w:hint="default" w:ascii="Times New Roman" w:hAnsi="Times New Roman" w:cs="Times New Roman"/>
                <w:szCs w:val="21"/>
                <w:highlight w:val="yellow"/>
              </w:rPr>
            </w:pPr>
            <w:r>
              <w:rPr>
                <w:rFonts w:hint="default" w:ascii="Times New Roman" w:hAnsi="Times New Roman" w:cs="Times New Roman"/>
                <w:szCs w:val="21"/>
              </w:rPr>
              <w:t>地表水环境</w:t>
            </w:r>
          </w:p>
        </w:tc>
        <w:tc>
          <w:tcPr>
            <w:tcW w:w="1716" w:type="dxa"/>
            <w:tcBorders>
              <w:tl2br w:val="nil"/>
              <w:tr2bl w:val="nil"/>
            </w:tcBorders>
            <w:vAlign w:val="center"/>
          </w:tcPr>
          <w:p>
            <w:pPr>
              <w:jc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生活污水</w:t>
            </w:r>
          </w:p>
        </w:tc>
        <w:tc>
          <w:tcPr>
            <w:tcW w:w="1200"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生活污水</w:t>
            </w:r>
          </w:p>
        </w:tc>
        <w:tc>
          <w:tcPr>
            <w:tcW w:w="1524"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bCs/>
                <w:color w:val="auto"/>
                <w:szCs w:val="21"/>
              </w:rPr>
              <w:t>进入厂区化粪池</w:t>
            </w:r>
            <w:r>
              <w:rPr>
                <w:rFonts w:hint="default" w:ascii="Times New Roman" w:hAnsi="Times New Roman" w:cs="Times New Roman"/>
                <w:bCs/>
                <w:color w:val="auto"/>
                <w:szCs w:val="21"/>
                <w:lang w:val="en-US" w:eastAsia="zh-CN"/>
              </w:rPr>
              <w:t>定</w:t>
            </w:r>
            <w:r>
              <w:rPr>
                <w:rFonts w:hint="default" w:ascii="Times New Roman" w:hAnsi="Times New Roman" w:cs="Times New Roman"/>
                <w:bCs/>
                <w:color w:val="auto"/>
                <w:szCs w:val="21"/>
              </w:rPr>
              <w:t>期由环卫部门定期清运</w:t>
            </w:r>
          </w:p>
        </w:tc>
        <w:tc>
          <w:tcPr>
            <w:tcW w:w="2864" w:type="dxa"/>
            <w:tcBorders>
              <w:tl2br w:val="nil"/>
              <w:tr2bl w:val="nil"/>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496" w:type="dxa"/>
            <w:tcBorders>
              <w:tl2br w:val="nil"/>
              <w:tr2bl w:val="nil"/>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声环境</w:t>
            </w:r>
          </w:p>
        </w:tc>
        <w:tc>
          <w:tcPr>
            <w:tcW w:w="7304" w:type="dxa"/>
            <w:gridSpan w:val="4"/>
            <w:tcBorders>
              <w:tl2br w:val="nil"/>
              <w:tr2bl w:val="nil"/>
            </w:tcBorders>
            <w:vAlign w:val="center"/>
          </w:tcPr>
          <w:p>
            <w:pPr>
              <w:rPr>
                <w:rFonts w:hint="default" w:ascii="Times New Roman" w:hAnsi="Times New Roman" w:cs="Times New Roman"/>
                <w:szCs w:val="21"/>
              </w:rPr>
            </w:pPr>
            <w:r>
              <w:rPr>
                <w:rFonts w:hint="default" w:ascii="Times New Roman" w:hAnsi="Times New Roman" w:cs="Times New Roman"/>
                <w:szCs w:val="21"/>
              </w:rPr>
              <w:t>噪声主要为生产设备运行产生的机械噪声，噪声值在65～95dB(A)之间，项目生产设备经厂房隔声、设备减震、距离衰减等措施后，达到《工业企业厂界环境噪声排放标准）（GB12348-2008）中的2类标准。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6" w:type="dxa"/>
            <w:tcBorders>
              <w:tl2br w:val="nil"/>
              <w:tr2bl w:val="nil"/>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电磁辐射</w:t>
            </w:r>
          </w:p>
        </w:tc>
        <w:tc>
          <w:tcPr>
            <w:tcW w:w="7304" w:type="dxa"/>
            <w:gridSpan w:val="4"/>
            <w:tcBorders>
              <w:tl2br w:val="nil"/>
              <w:tr2bl w:val="nil"/>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6" w:type="dxa"/>
            <w:vMerge w:val="restart"/>
            <w:tcBorders>
              <w:tl2br w:val="nil"/>
              <w:tr2bl w:val="nil"/>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固体废物</w:t>
            </w:r>
          </w:p>
        </w:tc>
        <w:tc>
          <w:tcPr>
            <w:tcW w:w="1716" w:type="dxa"/>
            <w:tcBorders>
              <w:tl2br w:val="nil"/>
              <w:tr2bl w:val="nil"/>
            </w:tcBorders>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职工生活</w:t>
            </w:r>
          </w:p>
        </w:tc>
        <w:tc>
          <w:tcPr>
            <w:tcW w:w="1200" w:type="dxa"/>
            <w:tcBorders>
              <w:tl2br w:val="nil"/>
              <w:tr2bl w:val="nil"/>
            </w:tcBorders>
            <w:vAlign w:val="center"/>
          </w:tcPr>
          <w:p>
            <w:pPr>
              <w:jc w:val="center"/>
              <w:rPr>
                <w:rFonts w:hint="default" w:ascii="Times New Roman" w:hAnsi="Times New Roman" w:eastAsia="宋体" w:cs="Times New Roman"/>
                <w:bCs/>
                <w:szCs w:val="21"/>
                <w:lang w:eastAsia="zh-CN"/>
              </w:rPr>
            </w:pPr>
            <w:r>
              <w:rPr>
                <w:rFonts w:hint="default" w:ascii="Times New Roman" w:hAnsi="Times New Roman" w:cs="Times New Roman"/>
                <w:szCs w:val="21"/>
                <w:lang w:val="en-US" w:eastAsia="zh-CN"/>
              </w:rPr>
              <w:t>生活垃圾</w:t>
            </w:r>
          </w:p>
        </w:tc>
        <w:tc>
          <w:tcPr>
            <w:tcW w:w="152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环卫部门定期清理外运</w:t>
            </w:r>
          </w:p>
        </w:tc>
        <w:tc>
          <w:tcPr>
            <w:tcW w:w="2864" w:type="dxa"/>
            <w:vMerge w:val="restart"/>
            <w:tcBorders>
              <w:tl2br w:val="nil"/>
              <w:tr2bl w:val="nil"/>
            </w:tcBorders>
            <w:vAlign w:val="center"/>
          </w:tcPr>
          <w:p>
            <w:pPr>
              <w:adjustRightInd w:val="0"/>
              <w:snapToGrid w:val="0"/>
              <w:jc w:val="center"/>
              <w:rPr>
                <w:rFonts w:hint="default" w:ascii="Times New Roman" w:hAnsi="Times New Roman" w:cs="Times New Roman"/>
                <w:szCs w:val="21"/>
              </w:rPr>
            </w:pPr>
            <w:r>
              <w:rPr>
                <w:color w:val="auto"/>
                <w:kern w:val="0"/>
                <w:szCs w:val="21"/>
              </w:rPr>
              <w:t>《一般工业固体废物贮存和填埋污染控制标准》（GB18599-2020）要求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6" w:type="dxa"/>
            <w:vMerge w:val="continue"/>
            <w:tcBorders>
              <w:tl2br w:val="nil"/>
              <w:tr2bl w:val="nil"/>
            </w:tcBorders>
            <w:vAlign w:val="center"/>
          </w:tcPr>
          <w:p>
            <w:pPr>
              <w:adjustRightInd w:val="0"/>
              <w:snapToGrid w:val="0"/>
              <w:jc w:val="center"/>
              <w:rPr>
                <w:rFonts w:hint="default" w:ascii="Times New Roman" w:hAnsi="Times New Roman" w:cs="Times New Roman"/>
                <w:szCs w:val="21"/>
              </w:rPr>
            </w:pPr>
          </w:p>
        </w:tc>
        <w:tc>
          <w:tcPr>
            <w:tcW w:w="1716" w:type="dxa"/>
            <w:tcBorders>
              <w:tl2br w:val="nil"/>
              <w:tr2bl w:val="nil"/>
            </w:tcBorders>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生产过程</w:t>
            </w:r>
          </w:p>
        </w:tc>
        <w:tc>
          <w:tcPr>
            <w:tcW w:w="120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原料废包装材料</w:t>
            </w:r>
          </w:p>
        </w:tc>
        <w:tc>
          <w:tcPr>
            <w:tcW w:w="152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收集后外售</w:t>
            </w:r>
          </w:p>
        </w:tc>
        <w:tc>
          <w:tcPr>
            <w:tcW w:w="2864" w:type="dxa"/>
            <w:vMerge w:val="continue"/>
            <w:tcBorders>
              <w:tl2br w:val="nil"/>
              <w:tr2bl w:val="nil"/>
            </w:tcBorders>
            <w:vAlign w:val="center"/>
          </w:tcPr>
          <w:p>
            <w:pPr>
              <w:adjustRightInd w:val="0"/>
              <w:snapToGrid w:val="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6" w:type="dxa"/>
            <w:vMerge w:val="continue"/>
            <w:tcBorders>
              <w:tl2br w:val="nil"/>
              <w:tr2bl w:val="nil"/>
            </w:tcBorders>
            <w:vAlign w:val="center"/>
          </w:tcPr>
          <w:p>
            <w:pPr>
              <w:adjustRightInd w:val="0"/>
              <w:snapToGrid w:val="0"/>
              <w:jc w:val="center"/>
              <w:rPr>
                <w:rFonts w:hint="default" w:ascii="Times New Roman" w:hAnsi="Times New Roman" w:cs="Times New Roman"/>
                <w:szCs w:val="21"/>
              </w:rPr>
            </w:pPr>
          </w:p>
        </w:tc>
        <w:tc>
          <w:tcPr>
            <w:tcW w:w="171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en-US" w:eastAsia="zh-CN"/>
              </w:rPr>
              <w:t>生产过程</w:t>
            </w:r>
          </w:p>
        </w:tc>
        <w:tc>
          <w:tcPr>
            <w:tcW w:w="1200"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布袋除尘器收集的粉尘</w:t>
            </w:r>
          </w:p>
        </w:tc>
        <w:tc>
          <w:tcPr>
            <w:tcW w:w="1524"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收集</w:t>
            </w:r>
            <w:r>
              <w:rPr>
                <w:rFonts w:hint="default" w:ascii="Times New Roman" w:hAnsi="Times New Roman" w:cs="Times New Roman"/>
                <w:color w:val="auto"/>
                <w:szCs w:val="21"/>
                <w:lang w:val="en-US" w:eastAsia="zh-CN"/>
              </w:rPr>
              <w:t>后外售周边农户作为家禽饲料</w:t>
            </w:r>
          </w:p>
        </w:tc>
        <w:tc>
          <w:tcPr>
            <w:tcW w:w="2864" w:type="dxa"/>
            <w:vMerge w:val="continue"/>
            <w:tcBorders>
              <w:tl2br w:val="nil"/>
              <w:tr2bl w:val="nil"/>
            </w:tcBorders>
            <w:vAlign w:val="center"/>
          </w:tcPr>
          <w:p>
            <w:pPr>
              <w:adjustRightInd w:val="0"/>
              <w:snapToGrid w:val="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6" w:type="dxa"/>
            <w:vMerge w:val="continue"/>
            <w:tcBorders>
              <w:tl2br w:val="nil"/>
              <w:tr2bl w:val="nil"/>
            </w:tcBorders>
            <w:vAlign w:val="center"/>
          </w:tcPr>
          <w:p>
            <w:pPr>
              <w:adjustRightInd w:val="0"/>
              <w:snapToGrid w:val="0"/>
              <w:jc w:val="center"/>
              <w:rPr>
                <w:rFonts w:hint="default" w:ascii="Times New Roman" w:hAnsi="Times New Roman" w:cs="Times New Roman"/>
                <w:szCs w:val="21"/>
              </w:rPr>
            </w:pPr>
          </w:p>
        </w:tc>
        <w:tc>
          <w:tcPr>
            <w:tcW w:w="171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en-US" w:eastAsia="zh-CN"/>
              </w:rPr>
              <w:t>生产过程</w:t>
            </w:r>
          </w:p>
        </w:tc>
        <w:tc>
          <w:tcPr>
            <w:tcW w:w="1200"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布袋除尘器产生的废布袋</w:t>
            </w:r>
          </w:p>
        </w:tc>
        <w:tc>
          <w:tcPr>
            <w:tcW w:w="1524"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厂家回收利用</w:t>
            </w:r>
          </w:p>
        </w:tc>
        <w:tc>
          <w:tcPr>
            <w:tcW w:w="2864" w:type="dxa"/>
            <w:vMerge w:val="continue"/>
            <w:tcBorders>
              <w:tl2br w:val="nil"/>
              <w:tr2bl w:val="nil"/>
            </w:tcBorders>
            <w:vAlign w:val="center"/>
          </w:tcPr>
          <w:p>
            <w:pPr>
              <w:adjustRightInd w:val="0"/>
              <w:snapToGrid w:val="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496" w:type="dxa"/>
            <w:tcBorders>
              <w:tl2br w:val="nil"/>
              <w:tr2bl w:val="nil"/>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土壤及地下水</w:t>
            </w:r>
          </w:p>
          <w:p>
            <w:pPr>
              <w:adjustRightInd w:val="0"/>
              <w:snapToGrid w:val="0"/>
              <w:jc w:val="center"/>
              <w:rPr>
                <w:rFonts w:hint="default" w:ascii="Times New Roman" w:hAnsi="Times New Roman" w:cs="Times New Roman"/>
                <w:szCs w:val="21"/>
                <w:highlight w:val="yellow"/>
              </w:rPr>
            </w:pPr>
            <w:r>
              <w:rPr>
                <w:rFonts w:hint="default" w:ascii="Times New Roman" w:hAnsi="Times New Roman" w:cs="Times New Roman"/>
                <w:szCs w:val="21"/>
              </w:rPr>
              <w:t>污染防治措施</w:t>
            </w:r>
          </w:p>
        </w:tc>
        <w:tc>
          <w:tcPr>
            <w:tcW w:w="7304"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cs="Times New Roman"/>
                <w:szCs w:val="21"/>
                <w:highlight w:val="yellow"/>
              </w:rPr>
            </w:pPr>
            <w:r>
              <w:rPr>
                <w:rFonts w:hint="default" w:ascii="Times New Roman" w:hAnsi="Times New Roman" w:cs="Times New Roman"/>
                <w:kern w:val="0"/>
              </w:rPr>
              <w:t>本项目</w:t>
            </w:r>
            <w:r>
              <w:rPr>
                <w:rFonts w:hint="default" w:ascii="Times New Roman" w:hAnsi="Times New Roman" w:cs="Times New Roman"/>
              </w:rPr>
              <w:t>车间已地面硬化，</w:t>
            </w:r>
            <w:r>
              <w:rPr>
                <w:rFonts w:hint="eastAsia"/>
                <w:color w:val="auto"/>
                <w:sz w:val="21"/>
                <w:szCs w:val="21"/>
                <w:highlight w:val="none"/>
                <w:lang w:val="en-US" w:eastAsia="zh-CN"/>
              </w:rPr>
              <w:t>在现有厂区地面状况下</w:t>
            </w:r>
            <w:r>
              <w:rPr>
                <w:rFonts w:hint="eastAsia" w:cs="Times New Roman"/>
                <w:bCs/>
                <w:color w:val="auto"/>
                <w:szCs w:val="21"/>
                <w:lang w:val="en-US" w:eastAsia="zh-CN"/>
              </w:rPr>
              <w:t>修缮维护</w:t>
            </w:r>
            <w:r>
              <w:rPr>
                <w:rFonts w:hint="default" w:ascii="Times New Roman" w:hAnsi="Times New Roman" w:cs="Times New Roman"/>
              </w:rPr>
              <w:t>进行防渗处理。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96" w:type="dxa"/>
            <w:tcBorders>
              <w:tl2br w:val="nil"/>
              <w:tr2bl w:val="nil"/>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生态保护措施</w:t>
            </w:r>
          </w:p>
        </w:tc>
        <w:tc>
          <w:tcPr>
            <w:tcW w:w="7304"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ascii="Times New Roman" w:hAnsi="Times New Roman" w:eastAsia="宋体" w:cs="Times New Roman"/>
                <w:szCs w:val="21"/>
                <w:lang w:eastAsia="zh-CN"/>
              </w:rPr>
            </w:pPr>
            <w:r>
              <w:rPr>
                <w:rFonts w:hint="default" w:ascii="Times New Roman" w:hAnsi="Times New Roman" w:cs="Times New Roman"/>
                <w:szCs w:val="21"/>
              </w:rPr>
              <w:t>无</w:t>
            </w:r>
            <w:r>
              <w:rPr>
                <w:rFonts w:hint="eastAsia"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496" w:type="dxa"/>
            <w:tcBorders>
              <w:tl2br w:val="nil"/>
              <w:tr2bl w:val="nil"/>
            </w:tcBorders>
            <w:vAlign w:val="center"/>
          </w:tcPr>
          <w:p>
            <w:pPr>
              <w:adjustRightInd w:val="0"/>
              <w:snapToGrid w:val="0"/>
              <w:jc w:val="center"/>
              <w:rPr>
                <w:rFonts w:hint="default" w:ascii="Times New Roman" w:hAnsi="Times New Roman" w:cs="Times New Roman"/>
                <w:spacing w:val="-8"/>
                <w:szCs w:val="21"/>
              </w:rPr>
            </w:pPr>
            <w:r>
              <w:rPr>
                <w:rFonts w:hint="default" w:ascii="Times New Roman" w:hAnsi="Times New Roman" w:cs="Times New Roman"/>
                <w:spacing w:val="-8"/>
                <w:szCs w:val="21"/>
              </w:rPr>
              <w:t>环境风险</w:t>
            </w:r>
          </w:p>
          <w:p>
            <w:pPr>
              <w:adjustRightInd w:val="0"/>
              <w:snapToGrid w:val="0"/>
              <w:jc w:val="center"/>
              <w:rPr>
                <w:rFonts w:hint="default" w:ascii="Times New Roman" w:hAnsi="Times New Roman" w:cs="Times New Roman"/>
                <w:spacing w:val="-8"/>
                <w:szCs w:val="21"/>
              </w:rPr>
            </w:pPr>
            <w:r>
              <w:rPr>
                <w:rFonts w:hint="default" w:ascii="Times New Roman" w:hAnsi="Times New Roman" w:cs="Times New Roman"/>
                <w:spacing w:val="-8"/>
                <w:szCs w:val="21"/>
              </w:rPr>
              <w:t>防范措施</w:t>
            </w:r>
          </w:p>
        </w:tc>
        <w:tc>
          <w:tcPr>
            <w:tcW w:w="7304" w:type="dxa"/>
            <w:gridSpan w:val="4"/>
            <w:tcBorders>
              <w:tl2br w:val="nil"/>
              <w:tr2bl w:val="nil"/>
            </w:tcBorders>
            <w:vAlign w:val="center"/>
          </w:tcPr>
          <w:p>
            <w:pPr>
              <w:keepNext w:val="0"/>
              <w:keepLines w:val="0"/>
              <w:pageBreakBefore w:val="0"/>
              <w:widowControl w:val="0"/>
              <w:tabs>
                <w:tab w:val="left" w:pos="5171"/>
              </w:tabs>
              <w:kinsoku/>
              <w:wordWrap/>
              <w:overflowPunct/>
              <w:topLinePunct w:val="0"/>
              <w:autoSpaceDE/>
              <w:autoSpaceDN/>
              <w:bidi w:val="0"/>
              <w:adjustRightInd/>
              <w:snapToGrid/>
              <w:spacing w:line="360" w:lineRule="auto"/>
              <w:ind w:left="0" w:leftChars="0" w:firstLine="420" w:firstLineChars="200"/>
              <w:jc w:val="both"/>
              <w:textAlignment w:val="auto"/>
              <w:rPr>
                <w:rFonts w:hint="default"/>
              </w:rPr>
            </w:pPr>
            <w:r>
              <w:rPr>
                <w:rFonts w:hint="default"/>
              </w:rPr>
              <w:t>制定管理措施和应急预案，有效防范风险事故的发生，配备的事故应急设施、材料能保证有效的事故应急，降低事故环境风险。</w:t>
            </w: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14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cs="Times New Roman"/>
                <w:spacing w:val="-8"/>
                <w:szCs w:val="21"/>
              </w:rPr>
            </w:pPr>
            <w:r>
              <w:rPr>
                <w:rFonts w:hint="default" w:ascii="Times New Roman" w:hAnsi="Times New Roman" w:cs="Times New Roman"/>
                <w:spacing w:val="-8"/>
                <w:szCs w:val="21"/>
              </w:rPr>
              <w:t>其他环境</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cs="Times New Roman"/>
                <w:spacing w:val="-8"/>
                <w:szCs w:val="21"/>
              </w:rPr>
            </w:pPr>
            <w:r>
              <w:rPr>
                <w:rFonts w:hint="default" w:ascii="Times New Roman" w:hAnsi="Times New Roman" w:cs="Times New Roman"/>
                <w:spacing w:val="-8"/>
                <w:szCs w:val="21"/>
              </w:rPr>
              <w:t>管理要求</w:t>
            </w:r>
          </w:p>
        </w:tc>
        <w:tc>
          <w:tcPr>
            <w:tcW w:w="7304" w:type="dxa"/>
            <w:gridSpan w:val="4"/>
            <w:tcBorders>
              <w:tl2br w:val="nil"/>
              <w:tr2bl w:val="nil"/>
            </w:tcBorders>
            <w:vAlign w:val="center"/>
          </w:tcPr>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建设单位制定完善的《环境监测管理制度》、《环境信息公开制度》，并按照制度落实环境监测、环境信息公开。</w:t>
            </w:r>
          </w:p>
          <w:p>
            <w:pPr>
              <w:tabs>
                <w:tab w:val="left" w:pos="1680"/>
              </w:tabs>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（1）排污口的设置必须合理确定，按照环监（96）470 号文件要求，进行规范化管理。排污口标志牌的图形标志、图形颜色及装置颜色、标志牌材质、表面处理、外观质量以及字体等要求应严格按照《环境保护图形标志-排放口（源）》（GB1556.2-1995）、《环境保护图形标志--固体废物贮存(处置)场》（GB15562.2）中有关规定执行。图形符号及说明见下表。</w:t>
            </w:r>
          </w:p>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表</w:t>
            </w:r>
            <w:r>
              <w:rPr>
                <w:rFonts w:hint="default" w:ascii="Times New Roman" w:hAnsi="Times New Roman" w:cs="Times New Roman"/>
                <w:b/>
                <w:bCs/>
                <w:szCs w:val="21"/>
                <w:lang w:val="en-US" w:eastAsia="zh-CN"/>
              </w:rPr>
              <w:t>2</w:t>
            </w:r>
            <w:r>
              <w:rPr>
                <w:rFonts w:hint="eastAsia" w:cs="Times New Roman"/>
                <w:b/>
                <w:bCs/>
                <w:szCs w:val="21"/>
                <w:lang w:val="en-US" w:eastAsia="zh-CN"/>
              </w:rPr>
              <w:t>6</w:t>
            </w:r>
            <w:r>
              <w:rPr>
                <w:rFonts w:hint="default" w:ascii="Times New Roman" w:hAnsi="Times New Roman" w:cs="Times New Roman"/>
                <w:b/>
                <w:bCs/>
                <w:szCs w:val="21"/>
              </w:rPr>
              <w:t xml:space="preserve">  环境保护图形标志—排放口（源）的形状及颜色说明</w:t>
            </w:r>
          </w:p>
          <w:tbl>
            <w:tblPr>
              <w:tblStyle w:val="26"/>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1773"/>
              <w:gridCol w:w="1879"/>
              <w:gridCol w:w="1321"/>
              <w:gridCol w:w="140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80" w:type="dxa"/>
                  <w:tcBorders>
                    <w:tl2br w:val="nil"/>
                    <w:tr2bl w:val="nil"/>
                  </w:tcBorders>
                  <w:vAlign w:val="center"/>
                </w:tcPr>
                <w:p>
                  <w:pPr>
                    <w:widowControl/>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773" w:type="dxa"/>
                  <w:tcBorders>
                    <w:tl2br w:val="nil"/>
                    <w:tr2bl w:val="nil"/>
                  </w:tcBorders>
                  <w:vAlign w:val="center"/>
                </w:tcPr>
                <w:p>
                  <w:pPr>
                    <w:widowControl/>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提示图形符号</w:t>
                  </w:r>
                </w:p>
              </w:tc>
              <w:tc>
                <w:tcPr>
                  <w:tcW w:w="1879" w:type="dxa"/>
                  <w:tcBorders>
                    <w:tl2br w:val="nil"/>
                    <w:tr2bl w:val="nil"/>
                  </w:tcBorders>
                  <w:vAlign w:val="center"/>
                </w:tcPr>
                <w:p>
                  <w:pPr>
                    <w:widowControl/>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警告图形标志</w:t>
                  </w:r>
                </w:p>
              </w:tc>
              <w:tc>
                <w:tcPr>
                  <w:tcW w:w="1321" w:type="dxa"/>
                  <w:tcBorders>
                    <w:tl2br w:val="nil"/>
                    <w:tr2bl w:val="nil"/>
                  </w:tcBorders>
                  <w:vAlign w:val="center"/>
                </w:tcPr>
                <w:p>
                  <w:pPr>
                    <w:widowControl/>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1405" w:type="dxa"/>
                  <w:tcBorders>
                    <w:tl2br w:val="nil"/>
                    <w:tr2bl w:val="nil"/>
                  </w:tcBorders>
                  <w:vAlign w:val="center"/>
                </w:tcPr>
                <w:p>
                  <w:pPr>
                    <w:widowControl/>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80"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1773"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49960" cy="949960"/>
                        <wp:effectExtent l="0" t="0" r="2540" b="2540"/>
                        <wp:docPr id="31" name="图片 7" descr="点击看大图及详细资料">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7" descr="点击看大图及详细资料"/>
                                <pic:cNvPicPr>
                                  <a:picLocks noChangeAspect="1"/>
                                </pic:cNvPicPr>
                              </pic:nvPicPr>
                              <pic:blipFill>
                                <a:blip r:embed="rId21"/>
                                <a:stretch>
                                  <a:fillRect/>
                                </a:stretch>
                              </pic:blipFill>
                              <pic:spPr>
                                <a:xfrm>
                                  <a:off x="0" y="0"/>
                                  <a:ext cx="949960" cy="949960"/>
                                </a:xfrm>
                                <a:prstGeom prst="rect">
                                  <a:avLst/>
                                </a:prstGeom>
                                <a:noFill/>
                                <a:ln>
                                  <a:noFill/>
                                </a:ln>
                              </pic:spPr>
                            </pic:pic>
                          </a:graphicData>
                        </a:graphic>
                      </wp:inline>
                    </w:drawing>
                  </w:r>
                </w:p>
              </w:tc>
              <w:tc>
                <w:tcPr>
                  <w:tcW w:w="1879"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49960" cy="843280"/>
                        <wp:effectExtent l="0" t="0" r="2540" b="13970"/>
                        <wp:docPr id="30" name="图片 8" descr="点击看大图及详细资料">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8" descr="点击看大图及详细资料"/>
                                <pic:cNvPicPr>
                                  <a:picLocks noChangeAspect="1"/>
                                </pic:cNvPicPr>
                              </pic:nvPicPr>
                              <pic:blipFill>
                                <a:blip r:embed="rId23"/>
                                <a:stretch>
                                  <a:fillRect/>
                                </a:stretch>
                              </pic:blipFill>
                              <pic:spPr>
                                <a:xfrm>
                                  <a:off x="0" y="0"/>
                                  <a:ext cx="949960" cy="843280"/>
                                </a:xfrm>
                                <a:prstGeom prst="rect">
                                  <a:avLst/>
                                </a:prstGeom>
                                <a:noFill/>
                                <a:ln>
                                  <a:noFill/>
                                </a:ln>
                              </pic:spPr>
                            </pic:pic>
                          </a:graphicData>
                        </a:graphic>
                      </wp:inline>
                    </w:drawing>
                  </w:r>
                </w:p>
              </w:tc>
              <w:tc>
                <w:tcPr>
                  <w:tcW w:w="1321"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t>废气排放口</w:t>
                  </w:r>
                </w:p>
              </w:tc>
              <w:tc>
                <w:tcPr>
                  <w:tcW w:w="1405"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t>表示废气向大气环境排放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80"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1773"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49960" cy="949960"/>
                        <wp:effectExtent l="0" t="0" r="2540" b="2540"/>
                        <wp:docPr id="26" name="图片 9" descr="点击看大图及详细资料">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descr="点击看大图及详细资料"/>
                                <pic:cNvPicPr>
                                  <a:picLocks noChangeAspect="1"/>
                                </pic:cNvPicPr>
                              </pic:nvPicPr>
                              <pic:blipFill>
                                <a:blip r:embed="rId25"/>
                                <a:stretch>
                                  <a:fillRect/>
                                </a:stretch>
                              </pic:blipFill>
                              <pic:spPr>
                                <a:xfrm>
                                  <a:off x="0" y="0"/>
                                  <a:ext cx="949960" cy="949960"/>
                                </a:xfrm>
                                <a:prstGeom prst="rect">
                                  <a:avLst/>
                                </a:prstGeom>
                                <a:noFill/>
                                <a:ln>
                                  <a:noFill/>
                                </a:ln>
                              </pic:spPr>
                            </pic:pic>
                          </a:graphicData>
                        </a:graphic>
                      </wp:inline>
                    </w:drawing>
                  </w:r>
                </w:p>
              </w:tc>
              <w:tc>
                <w:tcPr>
                  <w:tcW w:w="1879"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49960" cy="843280"/>
                        <wp:effectExtent l="0" t="0" r="2540" b="13970"/>
                        <wp:docPr id="28" name="图片 10" descr="点击看大图及详细资料">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0" descr="点击看大图及详细资料"/>
                                <pic:cNvPicPr>
                                  <a:picLocks noChangeAspect="1"/>
                                </pic:cNvPicPr>
                              </pic:nvPicPr>
                              <pic:blipFill>
                                <a:blip r:embed="rId27"/>
                                <a:stretch>
                                  <a:fillRect/>
                                </a:stretch>
                              </pic:blipFill>
                              <pic:spPr>
                                <a:xfrm>
                                  <a:off x="0" y="0"/>
                                  <a:ext cx="949960" cy="843280"/>
                                </a:xfrm>
                                <a:prstGeom prst="rect">
                                  <a:avLst/>
                                </a:prstGeom>
                                <a:noFill/>
                                <a:ln>
                                  <a:noFill/>
                                </a:ln>
                              </pic:spPr>
                            </pic:pic>
                          </a:graphicData>
                        </a:graphic>
                      </wp:inline>
                    </w:drawing>
                  </w:r>
                </w:p>
              </w:tc>
              <w:tc>
                <w:tcPr>
                  <w:tcW w:w="1321"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t>噪声排放源</w:t>
                  </w:r>
                </w:p>
              </w:tc>
              <w:tc>
                <w:tcPr>
                  <w:tcW w:w="1405"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t>表示噪声向外环境排放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80"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1773"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49960" cy="949960"/>
                        <wp:effectExtent l="0" t="0" r="2540" b="2540"/>
                        <wp:docPr id="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1"/>
                                <pic:cNvPicPr>
                                  <a:picLocks noChangeAspect="1"/>
                                </pic:cNvPicPr>
                              </pic:nvPicPr>
                              <pic:blipFill>
                                <a:blip r:embed="rId28"/>
                                <a:stretch>
                                  <a:fillRect/>
                                </a:stretch>
                              </pic:blipFill>
                              <pic:spPr>
                                <a:xfrm>
                                  <a:off x="0" y="0"/>
                                  <a:ext cx="949960" cy="949960"/>
                                </a:xfrm>
                                <a:prstGeom prst="rect">
                                  <a:avLst/>
                                </a:prstGeom>
                                <a:noFill/>
                                <a:ln>
                                  <a:noFill/>
                                </a:ln>
                              </pic:spPr>
                            </pic:pic>
                          </a:graphicData>
                        </a:graphic>
                      </wp:inline>
                    </w:drawing>
                  </w:r>
                </w:p>
              </w:tc>
              <w:tc>
                <w:tcPr>
                  <w:tcW w:w="1879"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1033145" cy="962025"/>
                        <wp:effectExtent l="0" t="0" r="14605" b="9525"/>
                        <wp:docPr id="2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2"/>
                                <pic:cNvPicPr>
                                  <a:picLocks noChangeAspect="1"/>
                                </pic:cNvPicPr>
                              </pic:nvPicPr>
                              <pic:blipFill>
                                <a:blip r:embed="rId29"/>
                                <a:stretch>
                                  <a:fillRect/>
                                </a:stretch>
                              </pic:blipFill>
                              <pic:spPr>
                                <a:xfrm>
                                  <a:off x="0" y="0"/>
                                  <a:ext cx="1033145" cy="962025"/>
                                </a:xfrm>
                                <a:prstGeom prst="rect">
                                  <a:avLst/>
                                </a:prstGeom>
                                <a:noFill/>
                                <a:ln>
                                  <a:noFill/>
                                </a:ln>
                              </pic:spPr>
                            </pic:pic>
                          </a:graphicData>
                        </a:graphic>
                      </wp:inline>
                    </w:drawing>
                  </w:r>
                </w:p>
              </w:tc>
              <w:tc>
                <w:tcPr>
                  <w:tcW w:w="1321"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t>一般固体废物</w:t>
                  </w:r>
                </w:p>
              </w:tc>
              <w:tc>
                <w:tcPr>
                  <w:tcW w:w="1405" w:type="dxa"/>
                  <w:tcBorders>
                    <w:tl2br w:val="nil"/>
                    <w:tr2bl w:val="nil"/>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t>表示一般固体废物贮存、处置场</w:t>
                  </w:r>
                </w:p>
              </w:tc>
            </w:tr>
          </w:tbl>
          <w:p>
            <w:pPr>
              <w:keepNext w:val="0"/>
              <w:keepLines w:val="0"/>
              <w:pageBreakBefore w:val="0"/>
              <w:widowControl w:val="0"/>
              <w:numPr>
                <w:ilvl w:val="0"/>
                <w:numId w:val="0"/>
              </w:numPr>
              <w:tabs>
                <w:tab w:val="left" w:pos="168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auto"/>
                <w:szCs w:val="21"/>
              </w:rPr>
            </w:pPr>
            <w:r>
              <w:rPr>
                <w:rFonts w:hint="eastAsia" w:cs="Times New Roman"/>
                <w:color w:val="auto"/>
                <w:szCs w:val="21"/>
                <w:lang w:eastAsia="zh-CN"/>
              </w:rPr>
              <w:t>（</w:t>
            </w:r>
            <w:r>
              <w:rPr>
                <w:rFonts w:hint="eastAsia" w:cs="Times New Roman"/>
                <w:color w:val="auto"/>
                <w:szCs w:val="21"/>
                <w:lang w:val="en-US" w:eastAsia="zh-CN"/>
              </w:rPr>
              <w:t>2</w:t>
            </w:r>
            <w:r>
              <w:rPr>
                <w:rFonts w:hint="eastAsia" w:cs="Times New Roman"/>
                <w:color w:val="auto"/>
                <w:szCs w:val="21"/>
                <w:lang w:eastAsia="zh-CN"/>
              </w:rPr>
              <w:t>）</w:t>
            </w:r>
            <w:r>
              <w:rPr>
                <w:rFonts w:hint="default" w:ascii="Times New Roman" w:hAnsi="Times New Roman" w:cs="Times New Roman"/>
                <w:color w:val="auto"/>
                <w:szCs w:val="21"/>
              </w:rPr>
              <w:t>废气监测点位</w:t>
            </w:r>
            <w:r>
              <w:rPr>
                <w:rFonts w:hint="eastAsia" w:cs="Times New Roman"/>
                <w:color w:val="auto"/>
                <w:szCs w:val="21"/>
                <w:lang w:val="en-US" w:eastAsia="zh-CN"/>
              </w:rPr>
              <w:t>设置管理应满足《固定污染源废气监测点位设置技术规范》（DB37/T3535-2019）要求。</w:t>
            </w:r>
          </w:p>
          <w:p>
            <w:pPr>
              <w:tabs>
                <w:tab w:val="left" w:pos="1680"/>
              </w:tabs>
              <w:spacing w:line="360" w:lineRule="auto"/>
              <w:ind w:firstLine="420" w:firstLineChars="200"/>
              <w:rPr>
                <w:rFonts w:hint="default" w:ascii="Times New Roman" w:hAnsi="Times New Roman" w:cs="Times New Roman"/>
                <w:szCs w:val="21"/>
              </w:rPr>
            </w:pPr>
            <w:bookmarkStart w:id="3" w:name="_Toc11816"/>
            <w:r>
              <w:rPr>
                <w:rFonts w:hint="default" w:ascii="Times New Roman" w:hAnsi="Times New Roman" w:cs="Times New Roman"/>
                <w:szCs w:val="21"/>
              </w:rPr>
              <w:t>（</w:t>
            </w:r>
            <w:r>
              <w:rPr>
                <w:rFonts w:hint="eastAsia" w:cs="Times New Roman"/>
                <w:szCs w:val="21"/>
                <w:lang w:val="en-US" w:eastAsia="zh-CN"/>
              </w:rPr>
              <w:t>3</w:t>
            </w:r>
            <w:r>
              <w:rPr>
                <w:rFonts w:hint="default" w:ascii="Times New Roman" w:hAnsi="Times New Roman" w:cs="Times New Roman"/>
                <w:szCs w:val="21"/>
              </w:rPr>
              <w:t>）日常环境管理制度</w:t>
            </w:r>
            <w:bookmarkEnd w:id="3"/>
          </w:p>
          <w:p>
            <w:pPr>
              <w:tabs>
                <w:tab w:val="left" w:pos="1680"/>
              </w:tabs>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①企业应建立日常环境管理制度。</w:t>
            </w:r>
          </w:p>
          <w:p>
            <w:pPr>
              <w:tabs>
                <w:tab w:val="left" w:pos="1680"/>
              </w:tabs>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②建立日常环境管理台帐。针对项目运行过程产生的废气、噪声、废水、固废、环境风险等方面建立规范的环境管理台账，台账内容应包括环保设施设备清单、专业操作及维护人员配备、环保设施运行及维护费用、环保设施运行记录及保障计划、事故检修计划、耗材消耗、污染物排放或处置量等。</w:t>
            </w:r>
          </w:p>
          <w:p>
            <w:pPr>
              <w:tabs>
                <w:tab w:val="left" w:pos="1680"/>
              </w:tabs>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③进行各类固废台帐统计。</w:t>
            </w:r>
          </w:p>
          <w:p>
            <w:pPr>
              <w:tabs>
                <w:tab w:val="left" w:pos="1680"/>
              </w:tabs>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④做好各项环保设施日常运行、维护及费用记录；建立定期检查、维修和维修后验收制度，保证设备、设施完好，运转率达到考核要求。</w:t>
            </w:r>
          </w:p>
          <w:p>
            <w:pPr>
              <w:tabs>
                <w:tab w:val="left" w:pos="1680"/>
              </w:tabs>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⑤在日常生产过程应贯彻全过程清洁生产原则，定期开展清洁生产审核工作。</w:t>
            </w:r>
          </w:p>
          <w:p>
            <w:pPr>
              <w:tabs>
                <w:tab w:val="left" w:pos="1680"/>
              </w:tabs>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⑥对员工进行环保法律、法规教育宣传，提高员工环保意识，对环保岗位进行培训考核。</w:t>
            </w:r>
          </w:p>
          <w:p>
            <w:pPr>
              <w:tabs>
                <w:tab w:val="left" w:pos="1680"/>
              </w:tabs>
              <w:spacing w:line="360" w:lineRule="auto"/>
              <w:ind w:firstLine="420" w:firstLineChars="200"/>
              <w:rPr>
                <w:rFonts w:hint="eastAsia" w:cs="Times New Roman"/>
                <w:color w:val="auto"/>
                <w:szCs w:val="21"/>
                <w:lang w:eastAsia="zh-CN"/>
              </w:rPr>
            </w:pPr>
            <w:bookmarkStart w:id="4" w:name="_GoBack"/>
            <w:r>
              <w:rPr>
                <w:rFonts w:hint="eastAsia" w:cs="Times New Roman"/>
                <w:color w:val="auto"/>
                <w:szCs w:val="21"/>
                <w:lang w:eastAsia="zh-CN"/>
              </w:rPr>
              <w:t>（</w:t>
            </w:r>
            <w:r>
              <w:rPr>
                <w:rFonts w:hint="eastAsia" w:cs="Times New Roman"/>
                <w:color w:val="auto"/>
                <w:szCs w:val="21"/>
                <w:lang w:val="en-US" w:eastAsia="zh-CN"/>
              </w:rPr>
              <w:t>4</w:t>
            </w:r>
            <w:r>
              <w:rPr>
                <w:rFonts w:hint="eastAsia" w:cs="Times New Roman"/>
                <w:color w:val="auto"/>
                <w:szCs w:val="21"/>
                <w:lang w:eastAsia="zh-CN"/>
              </w:rPr>
              <w:t>）排污许可证</w:t>
            </w:r>
          </w:p>
          <w:p>
            <w:pPr>
              <w:tabs>
                <w:tab w:val="left" w:pos="1680"/>
              </w:tabs>
              <w:spacing w:line="360" w:lineRule="auto"/>
              <w:ind w:firstLine="420" w:firstLineChars="200"/>
              <w:rPr>
                <w:rFonts w:hint="default" w:ascii="Times New Roman" w:hAnsi="Times New Roman" w:cs="Times New Roman"/>
                <w:color w:val="auto"/>
                <w:szCs w:val="21"/>
              </w:rPr>
            </w:pPr>
            <w:r>
              <w:rPr>
                <w:rFonts w:hint="eastAsia" w:cs="Times New Roman"/>
                <w:color w:val="auto"/>
                <w:szCs w:val="21"/>
                <w:lang w:eastAsia="zh-CN"/>
              </w:rPr>
              <w:t>拟建项目建成后、生产前，</w:t>
            </w:r>
            <w:r>
              <w:rPr>
                <w:rFonts w:hint="eastAsia"/>
                <w:color w:val="auto"/>
                <w:sz w:val="21"/>
                <w:szCs w:val="21"/>
                <w:highlight w:val="none"/>
              </w:rPr>
              <w:t>排污单位应当按照排污许可证</w:t>
            </w:r>
            <w:r>
              <w:rPr>
                <w:rFonts w:hint="eastAsia"/>
                <w:color w:val="auto"/>
                <w:sz w:val="21"/>
                <w:szCs w:val="21"/>
                <w:highlight w:val="none"/>
                <w:lang w:val="en-US" w:eastAsia="zh-CN"/>
              </w:rPr>
              <w:t>管理条例及相关</w:t>
            </w:r>
            <w:r>
              <w:rPr>
                <w:rFonts w:hint="eastAsia"/>
                <w:color w:val="auto"/>
                <w:sz w:val="21"/>
                <w:szCs w:val="21"/>
                <w:highlight w:val="none"/>
              </w:rPr>
              <w:t>规范要求</w:t>
            </w:r>
            <w:r>
              <w:rPr>
                <w:rFonts w:hint="eastAsia"/>
                <w:color w:val="auto"/>
                <w:sz w:val="21"/>
                <w:szCs w:val="21"/>
                <w:highlight w:val="none"/>
                <w:lang w:eastAsia="zh-CN"/>
              </w:rPr>
              <w:t>，</w:t>
            </w:r>
            <w:r>
              <w:rPr>
                <w:rFonts w:hint="eastAsia"/>
                <w:color w:val="auto"/>
                <w:sz w:val="21"/>
                <w:szCs w:val="21"/>
                <w:highlight w:val="none"/>
                <w:lang w:val="en-US" w:eastAsia="zh-CN"/>
              </w:rPr>
              <w:t>开展排污许可登记管理工作。</w:t>
            </w:r>
          </w:p>
          <w:bookmarkEnd w:id="4"/>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rPr>
            </w:pPr>
          </w:p>
          <w:p>
            <w:pPr>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rPr>
            </w:pPr>
          </w:p>
          <w:p>
            <w:pPr>
              <w:tabs>
                <w:tab w:val="left" w:pos="1680"/>
              </w:tabs>
              <w:spacing w:line="360" w:lineRule="auto"/>
              <w:ind w:firstLine="420" w:firstLineChars="200"/>
              <w:rPr>
                <w:rFonts w:hint="default" w:ascii="Times New Roman" w:hAnsi="Times New Roman" w:cs="Times New Roman"/>
              </w:rPr>
            </w:pPr>
          </w:p>
        </w:tc>
      </w:tr>
    </w:tbl>
    <w:p>
      <w:pPr>
        <w:pStyle w:val="23"/>
        <w:jc w:val="center"/>
        <w:outlineLvl w:val="0"/>
        <w:rPr>
          <w:rFonts w:hint="default" w:ascii="Times New Roman" w:hAnsi="Times New Roman" w:eastAsia="黑体" w:cs="Times New Roman"/>
          <w:snapToGrid w:val="0"/>
          <w:sz w:val="30"/>
          <w:szCs w:val="30"/>
        </w:rPr>
      </w:pPr>
      <w:r>
        <w:rPr>
          <w:rFonts w:hint="default" w:ascii="Times New Roman" w:hAnsi="Times New Roman" w:cs="Times New Roman"/>
          <w:snapToGrid w:val="0"/>
        </w:rPr>
        <w:br w:type="page"/>
      </w:r>
      <w:r>
        <w:rPr>
          <w:rFonts w:hint="default" w:ascii="Times New Roman" w:hAnsi="Times New Roman" w:eastAsia="黑体" w:cs="Times New Roman"/>
          <w:snapToGrid w:val="0"/>
          <w:sz w:val="30"/>
          <w:szCs w:val="30"/>
        </w:rPr>
        <w:t>六、结论</w:t>
      </w:r>
    </w:p>
    <w:tbl>
      <w:tblPr>
        <w:tblStyle w:val="26"/>
        <w:tblW w:w="87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797" w:type="dxa"/>
          </w:tcPr>
          <w:p>
            <w:pPr>
              <w:snapToGrid w:val="0"/>
              <w:spacing w:before="120" w:beforeLines="50"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综上所述，本项目的建设符合国家和地方产业政策，各项污染物能够实现达标排放，对环境的影响较小，不会造成区域环境功能的改变，因此从环境保护的角度来讲，本评价认为该项目在坚持“三同时”原则并采取一定的环保措施后，在拟建地建设是可行的。</w:t>
            </w:r>
          </w:p>
          <w:p>
            <w:pPr>
              <w:spacing w:line="360" w:lineRule="auto"/>
              <w:rPr>
                <w:rFonts w:hint="default" w:ascii="Times New Roman" w:hAnsi="Times New Roman" w:cs="Times New Roman"/>
                <w:sz w:val="24"/>
              </w:rPr>
            </w:pPr>
          </w:p>
        </w:tc>
      </w:tr>
    </w:tbl>
    <w:p>
      <w:pPr>
        <w:rPr>
          <w:rFonts w:hint="default" w:ascii="Times New Roman" w:hAnsi="Times New Roman" w:cs="Times New Roman"/>
        </w:rPr>
        <w:sectPr>
          <w:pgSz w:w="11906" w:h="16838"/>
          <w:pgMar w:top="1701" w:right="1531" w:bottom="1701" w:left="1531" w:header="851" w:footer="851" w:gutter="0"/>
          <w:cols w:space="720" w:num="1"/>
          <w:docGrid w:linePitch="312" w:charSpace="0"/>
        </w:sectPr>
      </w:pPr>
    </w:p>
    <w:p>
      <w:pPr>
        <w:pStyle w:val="23"/>
        <w:adjustRightInd w:val="0"/>
        <w:snapToGrid w:val="0"/>
        <w:spacing w:before="0" w:beforeAutospacing="0" w:after="0" w:afterAutospacing="0" w:line="648" w:lineRule="auto"/>
        <w:outlineLvl w:val="0"/>
        <w:rPr>
          <w:rFonts w:hint="default" w:ascii="Times New Roman" w:hAnsi="Times New Roman" w:eastAsia="黑体" w:cs="Times New Roman"/>
          <w:snapToGrid w:val="0"/>
          <w:sz w:val="32"/>
          <w:szCs w:val="32"/>
        </w:rPr>
      </w:pPr>
      <w:r>
        <w:rPr>
          <w:rFonts w:hint="default" w:ascii="Times New Roman" w:hAnsi="Times New Roman" w:eastAsia="黑体" w:cs="Times New Roman"/>
          <w:snapToGrid w:val="0"/>
          <w:sz w:val="32"/>
          <w:szCs w:val="32"/>
        </w:rPr>
        <w:t>附表</w:t>
      </w:r>
    </w:p>
    <w:p>
      <w:pPr>
        <w:pStyle w:val="23"/>
        <w:adjustRightInd w:val="0"/>
        <w:snapToGrid w:val="0"/>
        <w:spacing w:before="0" w:beforeAutospacing="0" w:after="0" w:afterAutospacing="0" w:line="360" w:lineRule="auto"/>
        <w:jc w:val="center"/>
        <w:outlineLvl w:val="0"/>
        <w:rPr>
          <w:rFonts w:hint="default" w:ascii="Times New Roman" w:hAnsi="Times New Roman" w:eastAsia="方正小标宋_GBK" w:cs="Times New Roman"/>
          <w:snapToGrid w:val="0"/>
          <w:sz w:val="38"/>
          <w:szCs w:val="38"/>
        </w:rPr>
      </w:pPr>
      <w:r>
        <w:rPr>
          <w:rFonts w:hint="default" w:ascii="Times New Roman" w:hAnsi="Times New Roman" w:eastAsia="方正小标宋_GBK" w:cs="Times New Roman"/>
          <w:snapToGrid w:val="0"/>
          <w:sz w:val="38"/>
          <w:szCs w:val="38"/>
        </w:rPr>
        <w:t>建设项目污染物排放量汇总表</w:t>
      </w:r>
    </w:p>
    <w:tbl>
      <w:tblPr>
        <w:tblStyle w:val="26"/>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592"/>
        <w:gridCol w:w="11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tcBorders>
              <w:tl2br w:val="single" w:color="auto" w:sz="4" w:space="0"/>
            </w:tcBorders>
            <w:tcMar>
              <w:left w:w="28" w:type="dxa"/>
              <w:right w:w="28" w:type="dxa"/>
            </w:tcMar>
            <w:vAlign w:val="center"/>
          </w:tcPr>
          <w:p>
            <w:pPr>
              <w:pStyle w:val="43"/>
              <w:spacing w:beforeLines="0" w:afterLines="0" w:line="240" w:lineRule="auto"/>
              <w:jc w:val="right"/>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项目</w:t>
            </w:r>
          </w:p>
          <w:p>
            <w:pPr>
              <w:pStyle w:val="43"/>
              <w:spacing w:beforeLines="0" w:afterLines="0" w:line="240" w:lineRule="auto"/>
              <w:jc w:val="left"/>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分类</w:t>
            </w:r>
          </w:p>
        </w:tc>
        <w:tc>
          <w:tcPr>
            <w:tcW w:w="1417" w:type="dxa"/>
            <w:tcMar>
              <w:left w:w="28" w:type="dxa"/>
              <w:right w:w="28" w:type="dxa"/>
            </w:tcMar>
            <w:vAlign w:val="center"/>
          </w:tcPr>
          <w:p>
            <w:pPr>
              <w:pStyle w:val="43"/>
              <w:spacing w:beforeLines="0" w:afterLines="0" w:line="240" w:lineRule="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污染物名称</w:t>
            </w:r>
          </w:p>
        </w:tc>
        <w:tc>
          <w:tcPr>
            <w:tcW w:w="1701" w:type="dxa"/>
            <w:tcMar>
              <w:left w:w="28" w:type="dxa"/>
              <w:right w:w="28" w:type="dxa"/>
            </w:tcMar>
            <w:vAlign w:val="center"/>
          </w:tcPr>
          <w:p>
            <w:pPr>
              <w:pStyle w:val="43"/>
              <w:spacing w:beforeLines="0" w:afterLines="0" w:line="240" w:lineRule="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现有工程</w:t>
            </w:r>
          </w:p>
          <w:p>
            <w:pPr>
              <w:pStyle w:val="43"/>
              <w:spacing w:beforeLines="0" w:afterLines="0" w:line="240" w:lineRule="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排放量（固体废物产生量）</w:t>
            </w: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1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kern w:val="2"/>
                <w:szCs w:val="21"/>
              </w:rPr>
              <w:t>①</w:t>
            </w:r>
            <w:r>
              <w:rPr>
                <w:rFonts w:hint="default" w:ascii="Times New Roman" w:hAnsi="Times New Roman" w:eastAsia="黑体" w:cs="Times New Roman"/>
                <w:snapToGrid w:val="0"/>
                <w:color w:val="000000"/>
                <w:spacing w:val="-6"/>
                <w:kern w:val="21"/>
                <w:szCs w:val="21"/>
              </w:rPr>
              <w:fldChar w:fldCharType="end"/>
            </w:r>
          </w:p>
        </w:tc>
        <w:tc>
          <w:tcPr>
            <w:tcW w:w="1276" w:type="dxa"/>
            <w:tcMar>
              <w:left w:w="28" w:type="dxa"/>
              <w:right w:w="28" w:type="dxa"/>
            </w:tcMar>
            <w:vAlign w:val="center"/>
          </w:tcPr>
          <w:p>
            <w:pPr>
              <w:pStyle w:val="43"/>
              <w:spacing w:beforeLines="0" w:afterLines="0" w:line="240" w:lineRule="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现有工程</w:t>
            </w:r>
          </w:p>
          <w:p>
            <w:pPr>
              <w:pStyle w:val="43"/>
              <w:spacing w:beforeLines="0" w:afterLines="0" w:line="240" w:lineRule="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许可排放量</w:t>
            </w:r>
          </w:p>
          <w:p>
            <w:pPr>
              <w:pStyle w:val="43"/>
              <w:spacing w:beforeLines="0" w:afterLines="0"/>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2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snapToGrid w:val="0"/>
                <w:color w:val="000000"/>
                <w:spacing w:val="-6"/>
                <w:kern w:val="21"/>
                <w:szCs w:val="21"/>
              </w:rPr>
              <w:t>②</w:t>
            </w:r>
            <w:r>
              <w:rPr>
                <w:rFonts w:hint="default" w:ascii="Times New Roman" w:hAnsi="Times New Roman" w:eastAsia="黑体" w:cs="Times New Roman"/>
                <w:snapToGrid w:val="0"/>
                <w:color w:val="000000"/>
                <w:spacing w:val="-6"/>
                <w:kern w:val="21"/>
                <w:szCs w:val="21"/>
              </w:rPr>
              <w:fldChar w:fldCharType="end"/>
            </w:r>
          </w:p>
        </w:tc>
        <w:tc>
          <w:tcPr>
            <w:tcW w:w="1701" w:type="dxa"/>
            <w:tcMar>
              <w:left w:w="28" w:type="dxa"/>
              <w:right w:w="28" w:type="dxa"/>
            </w:tcMar>
            <w:vAlign w:val="center"/>
          </w:tcPr>
          <w:p>
            <w:pPr>
              <w:pStyle w:val="43"/>
              <w:spacing w:beforeLines="0" w:afterLines="0" w:line="240" w:lineRule="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在建工程</w:t>
            </w:r>
          </w:p>
          <w:p>
            <w:pPr>
              <w:pStyle w:val="43"/>
              <w:spacing w:beforeLines="0" w:afterLines="0" w:line="240" w:lineRule="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排放量（固体废物产生量）</w:t>
            </w: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3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kern w:val="2"/>
                <w:szCs w:val="21"/>
              </w:rPr>
              <w:t>③</w:t>
            </w:r>
            <w:r>
              <w:rPr>
                <w:rFonts w:hint="default" w:ascii="Times New Roman" w:hAnsi="Times New Roman" w:eastAsia="黑体" w:cs="Times New Roman"/>
                <w:snapToGrid w:val="0"/>
                <w:color w:val="000000"/>
                <w:spacing w:val="-6"/>
                <w:kern w:val="21"/>
                <w:szCs w:val="21"/>
              </w:rPr>
              <w:fldChar w:fldCharType="end"/>
            </w:r>
          </w:p>
        </w:tc>
        <w:tc>
          <w:tcPr>
            <w:tcW w:w="1559" w:type="dxa"/>
            <w:tcMar>
              <w:left w:w="28" w:type="dxa"/>
              <w:right w:w="28" w:type="dxa"/>
            </w:tcMar>
            <w:vAlign w:val="center"/>
          </w:tcPr>
          <w:p>
            <w:pPr>
              <w:pStyle w:val="43"/>
              <w:spacing w:beforeLines="0" w:afterLines="0" w:line="240" w:lineRule="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本项目</w:t>
            </w:r>
          </w:p>
          <w:p>
            <w:pPr>
              <w:pStyle w:val="43"/>
              <w:spacing w:beforeLines="0" w:afterLines="0" w:line="240" w:lineRule="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排放量（固体废物产生量）</w:t>
            </w: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4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kern w:val="2"/>
                <w:szCs w:val="21"/>
              </w:rPr>
              <w:t>④</w:t>
            </w:r>
            <w:r>
              <w:rPr>
                <w:rFonts w:hint="default" w:ascii="Times New Roman" w:hAnsi="Times New Roman" w:eastAsia="黑体" w:cs="Times New Roman"/>
                <w:snapToGrid w:val="0"/>
                <w:color w:val="000000"/>
                <w:spacing w:val="-6"/>
                <w:kern w:val="21"/>
                <w:szCs w:val="21"/>
              </w:rPr>
              <w:fldChar w:fldCharType="end"/>
            </w:r>
          </w:p>
        </w:tc>
        <w:tc>
          <w:tcPr>
            <w:tcW w:w="1761" w:type="dxa"/>
            <w:tcMar>
              <w:left w:w="28" w:type="dxa"/>
              <w:right w:w="28" w:type="dxa"/>
            </w:tcMar>
            <w:vAlign w:val="center"/>
          </w:tcPr>
          <w:p>
            <w:pPr>
              <w:pStyle w:val="43"/>
              <w:spacing w:beforeLines="0" w:afterLines="0" w:line="240" w:lineRule="auto"/>
              <w:rPr>
                <w:rFonts w:hint="default" w:ascii="Times New Roman" w:hAnsi="Times New Roman" w:eastAsia="黑体" w:cs="Times New Roman"/>
                <w:snapToGrid w:val="0"/>
                <w:color w:val="000000"/>
                <w:spacing w:val="-16"/>
                <w:kern w:val="21"/>
                <w:szCs w:val="21"/>
              </w:rPr>
            </w:pPr>
            <w:r>
              <w:rPr>
                <w:rFonts w:hint="default" w:ascii="Times New Roman" w:hAnsi="Times New Roman" w:eastAsia="黑体" w:cs="Times New Roman"/>
                <w:snapToGrid w:val="0"/>
                <w:color w:val="000000"/>
                <w:spacing w:val="-16"/>
                <w:kern w:val="21"/>
                <w:szCs w:val="21"/>
              </w:rPr>
              <w:t>以新带老削减量</w:t>
            </w:r>
          </w:p>
          <w:p>
            <w:pPr>
              <w:pStyle w:val="43"/>
              <w:spacing w:beforeLines="0" w:afterLines="0" w:line="240" w:lineRule="auto"/>
              <w:rPr>
                <w:rFonts w:hint="default" w:ascii="Times New Roman" w:hAnsi="Times New Roman" w:eastAsia="黑体" w:cs="Times New Roman"/>
                <w:snapToGrid w:val="0"/>
                <w:color w:val="000000"/>
                <w:spacing w:val="-16"/>
                <w:kern w:val="21"/>
                <w:szCs w:val="21"/>
              </w:rPr>
            </w:pPr>
            <w:r>
              <w:rPr>
                <w:rFonts w:hint="default" w:ascii="Times New Roman" w:hAnsi="Times New Roman" w:eastAsia="黑体" w:cs="Times New Roman"/>
                <w:snapToGrid w:val="0"/>
                <w:color w:val="000000"/>
                <w:spacing w:val="-16"/>
                <w:kern w:val="21"/>
                <w:szCs w:val="21"/>
              </w:rPr>
              <w:t>（新建项目不填）</w:t>
            </w:r>
            <w:r>
              <w:rPr>
                <w:rFonts w:hint="default" w:ascii="Times New Roman" w:hAnsi="Times New Roman" w:eastAsia="黑体" w:cs="Times New Roman"/>
                <w:snapToGrid w:val="0"/>
                <w:color w:val="000000"/>
                <w:spacing w:val="-16"/>
                <w:kern w:val="21"/>
                <w:szCs w:val="21"/>
              </w:rPr>
              <w:fldChar w:fldCharType="begin"/>
            </w:r>
            <w:r>
              <w:rPr>
                <w:rFonts w:hint="default" w:ascii="Times New Roman" w:hAnsi="Times New Roman" w:eastAsia="黑体" w:cs="Times New Roman"/>
                <w:snapToGrid w:val="0"/>
                <w:color w:val="000000"/>
                <w:spacing w:val="-16"/>
                <w:kern w:val="21"/>
                <w:szCs w:val="21"/>
              </w:rPr>
              <w:instrText xml:space="preserve"> = 5 \* GB3 \* MERGEFORMAT </w:instrText>
            </w:r>
            <w:r>
              <w:rPr>
                <w:rFonts w:hint="default" w:ascii="Times New Roman" w:hAnsi="Times New Roman" w:eastAsia="黑体" w:cs="Times New Roman"/>
                <w:snapToGrid w:val="0"/>
                <w:color w:val="000000"/>
                <w:spacing w:val="-16"/>
                <w:kern w:val="21"/>
                <w:szCs w:val="21"/>
              </w:rPr>
              <w:fldChar w:fldCharType="separate"/>
            </w:r>
            <w:r>
              <w:rPr>
                <w:rFonts w:hint="default" w:ascii="Times New Roman" w:hAnsi="Times New Roman" w:eastAsia="黑体" w:cs="Times New Roman"/>
                <w:kern w:val="2"/>
                <w:szCs w:val="21"/>
              </w:rPr>
              <w:t>⑤</w:t>
            </w:r>
            <w:r>
              <w:rPr>
                <w:rFonts w:hint="default" w:ascii="Times New Roman" w:hAnsi="Times New Roman" w:eastAsia="黑体" w:cs="Times New Roman"/>
                <w:snapToGrid w:val="0"/>
                <w:color w:val="000000"/>
                <w:spacing w:val="-16"/>
                <w:kern w:val="21"/>
                <w:szCs w:val="21"/>
              </w:rPr>
              <w:fldChar w:fldCharType="end"/>
            </w:r>
          </w:p>
        </w:tc>
        <w:tc>
          <w:tcPr>
            <w:tcW w:w="1592" w:type="dxa"/>
            <w:tcMar>
              <w:left w:w="28" w:type="dxa"/>
              <w:right w:w="28" w:type="dxa"/>
            </w:tcMar>
            <w:vAlign w:val="center"/>
          </w:tcPr>
          <w:p>
            <w:pPr>
              <w:pStyle w:val="43"/>
              <w:spacing w:beforeLines="0" w:afterLines="0" w:line="240" w:lineRule="auto"/>
              <w:rPr>
                <w:rFonts w:hint="default" w:ascii="Times New Roman" w:hAnsi="Times New Roman" w:eastAsia="黑体" w:cs="Times New Roman"/>
                <w:snapToGrid w:val="0"/>
                <w:color w:val="000000"/>
                <w:spacing w:val="-16"/>
                <w:kern w:val="21"/>
                <w:szCs w:val="21"/>
              </w:rPr>
            </w:pPr>
            <w:r>
              <w:rPr>
                <w:rFonts w:hint="default" w:ascii="Times New Roman" w:hAnsi="Times New Roman" w:eastAsia="黑体" w:cs="Times New Roman"/>
                <w:snapToGrid w:val="0"/>
                <w:color w:val="000000"/>
                <w:spacing w:val="-16"/>
                <w:kern w:val="21"/>
                <w:szCs w:val="21"/>
              </w:rPr>
              <w:t>本项目建成后</w:t>
            </w:r>
          </w:p>
          <w:p>
            <w:pPr>
              <w:pStyle w:val="43"/>
              <w:spacing w:beforeLines="0" w:afterLines="0" w:line="240" w:lineRule="auto"/>
              <w:rPr>
                <w:rFonts w:hint="default" w:ascii="Times New Roman" w:hAnsi="Times New Roman" w:eastAsia="黑体" w:cs="Times New Roman"/>
                <w:snapToGrid w:val="0"/>
                <w:color w:val="000000"/>
                <w:spacing w:val="-16"/>
                <w:kern w:val="21"/>
                <w:szCs w:val="21"/>
              </w:rPr>
            </w:pPr>
            <w:r>
              <w:rPr>
                <w:rFonts w:hint="default" w:ascii="Times New Roman" w:hAnsi="Times New Roman" w:eastAsia="黑体" w:cs="Times New Roman"/>
                <w:snapToGrid w:val="0"/>
                <w:color w:val="000000"/>
                <w:spacing w:val="-16"/>
                <w:kern w:val="21"/>
                <w:szCs w:val="21"/>
              </w:rPr>
              <w:t>全厂排放量（固体废物产生量）</w:t>
            </w:r>
            <w:r>
              <w:rPr>
                <w:rFonts w:hint="default" w:ascii="Times New Roman" w:hAnsi="Times New Roman" w:eastAsia="黑体" w:cs="Times New Roman"/>
                <w:snapToGrid w:val="0"/>
                <w:color w:val="000000"/>
                <w:spacing w:val="-16"/>
                <w:kern w:val="21"/>
                <w:szCs w:val="21"/>
              </w:rPr>
              <w:fldChar w:fldCharType="begin"/>
            </w:r>
            <w:r>
              <w:rPr>
                <w:rFonts w:hint="default" w:ascii="Times New Roman" w:hAnsi="Times New Roman" w:eastAsia="黑体" w:cs="Times New Roman"/>
                <w:snapToGrid w:val="0"/>
                <w:color w:val="000000"/>
                <w:spacing w:val="-16"/>
                <w:kern w:val="21"/>
                <w:szCs w:val="21"/>
              </w:rPr>
              <w:instrText xml:space="preserve"> = 6 \* GB3 \* MERGEFORMAT </w:instrText>
            </w:r>
            <w:r>
              <w:rPr>
                <w:rFonts w:hint="default" w:ascii="Times New Roman" w:hAnsi="Times New Roman" w:eastAsia="黑体" w:cs="Times New Roman"/>
                <w:snapToGrid w:val="0"/>
                <w:color w:val="000000"/>
                <w:spacing w:val="-16"/>
                <w:kern w:val="21"/>
                <w:szCs w:val="21"/>
              </w:rPr>
              <w:fldChar w:fldCharType="separate"/>
            </w:r>
            <w:r>
              <w:rPr>
                <w:rFonts w:hint="default" w:ascii="Times New Roman" w:hAnsi="Times New Roman" w:eastAsia="黑体" w:cs="Times New Roman"/>
                <w:kern w:val="2"/>
                <w:szCs w:val="21"/>
              </w:rPr>
              <w:t>⑥</w:t>
            </w:r>
            <w:r>
              <w:rPr>
                <w:rFonts w:hint="default" w:ascii="Times New Roman" w:hAnsi="Times New Roman" w:eastAsia="黑体" w:cs="Times New Roman"/>
                <w:snapToGrid w:val="0"/>
                <w:color w:val="000000"/>
                <w:spacing w:val="-16"/>
                <w:kern w:val="21"/>
                <w:szCs w:val="21"/>
              </w:rPr>
              <w:fldChar w:fldCharType="end"/>
            </w:r>
          </w:p>
        </w:tc>
        <w:tc>
          <w:tcPr>
            <w:tcW w:w="1193" w:type="dxa"/>
            <w:tcMar>
              <w:left w:w="28" w:type="dxa"/>
              <w:right w:w="28" w:type="dxa"/>
            </w:tcMar>
            <w:vAlign w:val="center"/>
          </w:tcPr>
          <w:p>
            <w:pPr>
              <w:pStyle w:val="43"/>
              <w:spacing w:beforeLines="0" w:afterLines="0" w:line="240" w:lineRule="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变化量</w:t>
            </w:r>
          </w:p>
          <w:p>
            <w:pPr>
              <w:pStyle w:val="43"/>
              <w:spacing w:beforeLines="0" w:afterLines="0" w:line="240" w:lineRule="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7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kern w:val="2"/>
                <w:szCs w:val="21"/>
              </w:rPr>
              <w:t>⑦</w:t>
            </w:r>
            <w:r>
              <w:rPr>
                <w:rFonts w:hint="default" w:ascii="Times New Roman" w:hAnsi="Times New Roman" w:eastAsia="黑体" w:cs="Times New Roman"/>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废气</w:t>
            </w:r>
          </w:p>
        </w:tc>
        <w:tc>
          <w:tcPr>
            <w:tcW w:w="1417" w:type="dxa"/>
            <w:vAlign w:val="center"/>
          </w:tcPr>
          <w:p>
            <w:pPr>
              <w:snapToGrid w:val="0"/>
              <w:spacing w:line="280" w:lineRule="exact"/>
              <w:jc w:val="center"/>
              <w:rPr>
                <w:rFonts w:hint="default" w:ascii="Times New Roman" w:hAnsi="Times New Roman" w:cs="Times New Roman"/>
                <w:snapToGrid w:val="0"/>
                <w:color w:val="000000"/>
                <w:kern w:val="21"/>
                <w:szCs w:val="21"/>
              </w:rPr>
            </w:pPr>
            <w:r>
              <w:rPr>
                <w:rFonts w:hint="default" w:ascii="Times New Roman" w:hAnsi="Times New Roman" w:cs="Times New Roman"/>
              </w:rPr>
              <w:t>颗粒物</w:t>
            </w:r>
          </w:p>
        </w:tc>
        <w:tc>
          <w:tcPr>
            <w:tcW w:w="1701" w:type="dxa"/>
            <w:vAlign w:val="center"/>
          </w:tcPr>
          <w:p>
            <w:pPr>
              <w:widowControl/>
              <w:snapToGrid w:val="0"/>
              <w:jc w:val="center"/>
              <w:rPr>
                <w:rFonts w:hint="default" w:ascii="Times New Roman" w:hAnsi="Times New Roman" w:cs="Times New Roman"/>
                <w:snapToGrid w:val="0"/>
                <w:color w:val="000000"/>
                <w:kern w:val="21"/>
                <w:szCs w:val="21"/>
              </w:rPr>
            </w:pPr>
            <w:r>
              <w:rPr>
                <w:rFonts w:hint="default" w:ascii="Times New Roman" w:hAnsi="Times New Roman" w:cs="Times New Roman"/>
                <w:szCs w:val="21"/>
              </w:rPr>
              <w:t>0</w:t>
            </w:r>
          </w:p>
        </w:tc>
        <w:tc>
          <w:tcPr>
            <w:tcW w:w="1276" w:type="dxa"/>
            <w:vAlign w:val="center"/>
          </w:tcPr>
          <w:p>
            <w:pPr>
              <w:widowControl/>
              <w:snapToGrid w:val="0"/>
              <w:jc w:val="center"/>
              <w:rPr>
                <w:rFonts w:hint="default" w:ascii="Times New Roman" w:hAnsi="Times New Roman" w:cs="Times New Roman"/>
                <w:snapToGrid w:val="0"/>
                <w:color w:val="000000"/>
                <w:kern w:val="21"/>
                <w:szCs w:val="21"/>
              </w:rPr>
            </w:pPr>
            <w:r>
              <w:rPr>
                <w:rFonts w:hint="default" w:ascii="Times New Roman" w:hAnsi="Times New Roman" w:cs="Times New Roman"/>
                <w:szCs w:val="21"/>
              </w:rPr>
              <w:t>0</w:t>
            </w:r>
          </w:p>
        </w:tc>
        <w:tc>
          <w:tcPr>
            <w:tcW w:w="1701" w:type="dxa"/>
            <w:vAlign w:val="center"/>
          </w:tcPr>
          <w:p>
            <w:pPr>
              <w:widowControl/>
              <w:snapToGrid w:val="0"/>
              <w:jc w:val="center"/>
              <w:rPr>
                <w:rFonts w:hint="default" w:ascii="Times New Roman" w:hAnsi="Times New Roman" w:cs="Times New Roman"/>
              </w:rPr>
            </w:pPr>
            <w:r>
              <w:rPr>
                <w:rFonts w:hint="default" w:ascii="Times New Roman" w:hAnsi="Times New Roman" w:cs="Times New Roman"/>
                <w:szCs w:val="21"/>
              </w:rPr>
              <w:t>0</w:t>
            </w:r>
          </w:p>
        </w:tc>
        <w:tc>
          <w:tcPr>
            <w:tcW w:w="1559" w:type="dxa"/>
            <w:vAlign w:val="center"/>
          </w:tcPr>
          <w:p>
            <w:pPr>
              <w:jc w:val="center"/>
              <w:rPr>
                <w:rFonts w:hint="default" w:ascii="Times New Roman" w:hAnsi="Times New Roman" w:eastAsia="宋体" w:cs="Times New Roman"/>
                <w:color w:val="auto"/>
                <w:lang w:val="en-US" w:eastAsia="zh-CN"/>
              </w:rPr>
            </w:pPr>
            <w:r>
              <w:rPr>
                <w:rFonts w:hint="eastAsia" w:cs="Times New Roman"/>
                <w:color w:val="auto"/>
                <w:szCs w:val="21"/>
                <w:lang w:val="en-US" w:eastAsia="zh-CN"/>
              </w:rPr>
              <w:t>0.057</w:t>
            </w:r>
          </w:p>
        </w:tc>
        <w:tc>
          <w:tcPr>
            <w:tcW w:w="1761" w:type="dxa"/>
            <w:vAlign w:val="center"/>
          </w:tcPr>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szCs w:val="21"/>
              </w:rPr>
              <w:t>0</w:t>
            </w:r>
          </w:p>
        </w:tc>
        <w:tc>
          <w:tcPr>
            <w:tcW w:w="1592" w:type="dxa"/>
            <w:vAlign w:val="center"/>
          </w:tcPr>
          <w:p>
            <w:pPr>
              <w:jc w:val="center"/>
              <w:rPr>
                <w:rFonts w:hint="default" w:ascii="Times New Roman" w:hAnsi="Times New Roman" w:eastAsia="宋体" w:cs="Times New Roman"/>
                <w:color w:val="auto"/>
                <w:lang w:val="en-US" w:eastAsia="zh-CN"/>
              </w:rPr>
            </w:pPr>
            <w:r>
              <w:rPr>
                <w:rFonts w:hint="eastAsia" w:cs="Times New Roman"/>
                <w:color w:val="auto"/>
                <w:szCs w:val="21"/>
                <w:lang w:val="en-US" w:eastAsia="zh-CN"/>
              </w:rPr>
              <w:t>0.057</w:t>
            </w:r>
          </w:p>
        </w:tc>
        <w:tc>
          <w:tcPr>
            <w:tcW w:w="119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szCs w:val="21"/>
              </w:rPr>
              <w:t>+0.</w:t>
            </w:r>
            <w:r>
              <w:rPr>
                <w:rFonts w:hint="default" w:ascii="Times New Roman" w:hAnsi="Times New Roman" w:cs="Times New Roman"/>
                <w:color w:val="auto"/>
                <w:szCs w:val="21"/>
                <w:lang w:val="en-US" w:eastAsia="zh-CN"/>
              </w:rPr>
              <w:t>0</w:t>
            </w:r>
            <w:r>
              <w:rPr>
                <w:rFonts w:hint="eastAsia" w:cs="Times New Roman"/>
                <w:color w:val="auto"/>
                <w:szCs w:val="21"/>
                <w:lang w:val="en-US" w:eastAsia="zh-CN"/>
              </w:rPr>
              <w:t>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restart"/>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废水</w:t>
            </w:r>
          </w:p>
        </w:tc>
        <w:tc>
          <w:tcPr>
            <w:tcW w:w="1417" w:type="dxa"/>
            <w:vAlign w:val="center"/>
          </w:tcPr>
          <w:p>
            <w:pPr>
              <w:spacing w:line="280" w:lineRule="exact"/>
              <w:jc w:val="center"/>
              <w:rPr>
                <w:rFonts w:hint="default" w:ascii="Times New Roman" w:hAnsi="Times New Roman" w:cs="Times New Roman"/>
                <w:snapToGrid w:val="0"/>
                <w:color w:val="000000"/>
                <w:kern w:val="21"/>
                <w:szCs w:val="21"/>
              </w:rPr>
            </w:pPr>
            <w:r>
              <w:rPr>
                <w:rFonts w:hint="default" w:ascii="Times New Roman" w:hAnsi="Times New Roman" w:cs="Times New Roman"/>
              </w:rPr>
              <w:t>废水量</w:t>
            </w:r>
          </w:p>
        </w:tc>
        <w:tc>
          <w:tcPr>
            <w:tcW w:w="1701"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276"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701"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559"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761"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592" w:type="dxa"/>
            <w:vAlign w:val="center"/>
          </w:tcPr>
          <w:p>
            <w:pPr>
              <w:pStyle w:val="43"/>
              <w:spacing w:beforeLines="0" w:afterLines="0" w:line="240" w:lineRule="auto"/>
              <w:rPr>
                <w:rFonts w:hint="default" w:ascii="Times New Roman" w:hAnsi="Times New Roman" w:cs="Times New Roman"/>
                <w:szCs w:val="21"/>
              </w:rPr>
            </w:pPr>
            <w:r>
              <w:rPr>
                <w:rFonts w:hint="default" w:ascii="Times New Roman" w:hAnsi="Times New Roman" w:cs="Times New Roman"/>
                <w:snapToGrid w:val="0"/>
                <w:color w:val="000000"/>
                <w:kern w:val="21"/>
                <w:szCs w:val="21"/>
              </w:rPr>
              <w:t>0</w:t>
            </w:r>
          </w:p>
        </w:tc>
        <w:tc>
          <w:tcPr>
            <w:tcW w:w="1193"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vAlign w:val="center"/>
          </w:tcPr>
          <w:p>
            <w:pPr>
              <w:pStyle w:val="43"/>
              <w:spacing w:beforeLines="0" w:afterLines="0" w:line="240" w:lineRule="auto"/>
              <w:rPr>
                <w:rFonts w:hint="default" w:ascii="Times New Roman" w:hAnsi="Times New Roman" w:cs="Times New Roman"/>
                <w:snapToGrid w:val="0"/>
                <w:color w:val="000000"/>
                <w:kern w:val="21"/>
                <w:szCs w:val="21"/>
              </w:rPr>
            </w:pPr>
          </w:p>
        </w:tc>
        <w:tc>
          <w:tcPr>
            <w:tcW w:w="1417" w:type="dxa"/>
            <w:vAlign w:val="center"/>
          </w:tcPr>
          <w:p>
            <w:pPr>
              <w:spacing w:line="280" w:lineRule="exact"/>
              <w:jc w:val="center"/>
              <w:rPr>
                <w:rFonts w:hint="default" w:ascii="Times New Roman" w:hAnsi="Times New Roman" w:cs="Times New Roman"/>
                <w:snapToGrid w:val="0"/>
                <w:color w:val="000000"/>
                <w:kern w:val="21"/>
                <w:szCs w:val="21"/>
              </w:rPr>
            </w:pPr>
            <w:r>
              <w:rPr>
                <w:rFonts w:hint="default" w:ascii="Times New Roman" w:hAnsi="Times New Roman" w:cs="Times New Roman"/>
              </w:rPr>
              <w:t>COD</w:t>
            </w:r>
          </w:p>
        </w:tc>
        <w:tc>
          <w:tcPr>
            <w:tcW w:w="1701"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276"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701"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559"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761"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592" w:type="dxa"/>
            <w:vAlign w:val="center"/>
          </w:tcPr>
          <w:p>
            <w:pPr>
              <w:pStyle w:val="43"/>
              <w:spacing w:beforeLines="0" w:afterLines="0" w:line="240" w:lineRule="auto"/>
              <w:rPr>
                <w:rFonts w:hint="default" w:ascii="Times New Roman" w:hAnsi="Times New Roman" w:cs="Times New Roman"/>
                <w:szCs w:val="21"/>
              </w:rPr>
            </w:pPr>
            <w:r>
              <w:rPr>
                <w:rFonts w:hint="default" w:ascii="Times New Roman" w:hAnsi="Times New Roman" w:cs="Times New Roman"/>
                <w:snapToGrid w:val="0"/>
                <w:color w:val="000000"/>
                <w:kern w:val="21"/>
                <w:szCs w:val="21"/>
              </w:rPr>
              <w:t>0</w:t>
            </w:r>
          </w:p>
        </w:tc>
        <w:tc>
          <w:tcPr>
            <w:tcW w:w="1193"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vAlign w:val="center"/>
          </w:tcPr>
          <w:p>
            <w:pPr>
              <w:pStyle w:val="43"/>
              <w:spacing w:beforeLines="0" w:afterLines="0" w:line="240" w:lineRule="auto"/>
              <w:rPr>
                <w:rFonts w:hint="default" w:ascii="Times New Roman" w:hAnsi="Times New Roman" w:cs="Times New Roman"/>
                <w:snapToGrid w:val="0"/>
                <w:color w:val="000000"/>
                <w:kern w:val="21"/>
                <w:szCs w:val="21"/>
              </w:rPr>
            </w:pPr>
          </w:p>
        </w:tc>
        <w:tc>
          <w:tcPr>
            <w:tcW w:w="1417" w:type="dxa"/>
            <w:vAlign w:val="center"/>
          </w:tcPr>
          <w:p>
            <w:pPr>
              <w:spacing w:line="280" w:lineRule="exact"/>
              <w:jc w:val="center"/>
              <w:rPr>
                <w:rFonts w:hint="default" w:ascii="Times New Roman" w:hAnsi="Times New Roman" w:cs="Times New Roman"/>
                <w:snapToGrid w:val="0"/>
                <w:color w:val="000000"/>
                <w:kern w:val="21"/>
                <w:szCs w:val="21"/>
              </w:rPr>
            </w:pPr>
            <w:r>
              <w:rPr>
                <w:rFonts w:hint="default" w:ascii="Times New Roman" w:hAnsi="Times New Roman" w:cs="Times New Roman"/>
              </w:rPr>
              <w:t>氨氮</w:t>
            </w:r>
          </w:p>
        </w:tc>
        <w:tc>
          <w:tcPr>
            <w:tcW w:w="1701"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276"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701"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559"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761"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592" w:type="dxa"/>
            <w:vAlign w:val="center"/>
          </w:tcPr>
          <w:p>
            <w:pPr>
              <w:pStyle w:val="43"/>
              <w:spacing w:beforeLines="0" w:afterLines="0" w:line="240" w:lineRule="auto"/>
              <w:rPr>
                <w:rFonts w:hint="default" w:ascii="Times New Roman" w:hAnsi="Times New Roman" w:cs="Times New Roman"/>
                <w:szCs w:val="21"/>
              </w:rPr>
            </w:pPr>
            <w:r>
              <w:rPr>
                <w:rFonts w:hint="default" w:ascii="Times New Roman" w:hAnsi="Times New Roman" w:cs="Times New Roman"/>
                <w:snapToGrid w:val="0"/>
                <w:color w:val="000000"/>
                <w:kern w:val="21"/>
                <w:szCs w:val="21"/>
              </w:rPr>
              <w:t>0</w:t>
            </w:r>
          </w:p>
        </w:tc>
        <w:tc>
          <w:tcPr>
            <w:tcW w:w="1193"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一般工业</w:t>
            </w:r>
          </w:p>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固体废物</w:t>
            </w:r>
          </w:p>
        </w:tc>
        <w:tc>
          <w:tcPr>
            <w:tcW w:w="1417"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w:t>
            </w:r>
          </w:p>
        </w:tc>
        <w:tc>
          <w:tcPr>
            <w:tcW w:w="1701"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276"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701"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559"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761"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592"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193"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危险废物</w:t>
            </w:r>
          </w:p>
        </w:tc>
        <w:tc>
          <w:tcPr>
            <w:tcW w:w="1417" w:type="dxa"/>
            <w:vAlign w:val="center"/>
          </w:tcPr>
          <w:p>
            <w:pPr>
              <w:pStyle w:val="43"/>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w:t>
            </w:r>
          </w:p>
        </w:tc>
        <w:tc>
          <w:tcPr>
            <w:tcW w:w="1701"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276"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701"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559"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761"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592"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0</w:t>
            </w:r>
          </w:p>
        </w:tc>
        <w:tc>
          <w:tcPr>
            <w:tcW w:w="1193" w:type="dxa"/>
            <w:vAlign w:val="center"/>
          </w:tcPr>
          <w:p>
            <w:pPr>
              <w:jc w:val="center"/>
              <w:rPr>
                <w:rFonts w:hint="default" w:ascii="Times New Roman" w:hAnsi="Times New Roman" w:cs="Times New Roman"/>
                <w:snapToGrid w:val="0"/>
                <w:color w:val="000000"/>
                <w:kern w:val="21"/>
                <w:szCs w:val="21"/>
              </w:rPr>
            </w:pPr>
            <w:r>
              <w:rPr>
                <w:rFonts w:hint="default" w:ascii="Times New Roman" w:hAnsi="Times New Roman" w:cs="Times New Roman"/>
              </w:rPr>
              <w:t>0</w:t>
            </w:r>
          </w:p>
        </w:tc>
      </w:tr>
    </w:tbl>
    <w:p>
      <w:pPr>
        <w:pStyle w:val="43"/>
        <w:spacing w:before="192" w:beforeLines="80" w:after="24"/>
        <w:jc w:val="left"/>
        <w:rPr>
          <w:rFonts w:hint="default" w:ascii="Times New Roman" w:hAnsi="Times New Roman" w:cs="Times New Roman"/>
        </w:rPr>
      </w:pPr>
      <w:r>
        <w:rPr>
          <w:rFonts w:hint="default" w:ascii="Times New Roman" w:hAnsi="Times New Roman" w:cs="Times New Roman"/>
          <w:snapToGrid w:val="0"/>
          <w:color w:val="000000"/>
          <w:kern w:val="21"/>
          <w:szCs w:val="21"/>
        </w:rPr>
        <w:t>注：</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6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⑥</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1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①</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3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③</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4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④</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5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⑤</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7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⑦</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6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⑥</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1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①</w:t>
      </w:r>
      <w:r>
        <w:rPr>
          <w:rFonts w:hint="default" w:ascii="Times New Roman" w:hAnsi="Times New Roman" w:cs="Times New Roman"/>
          <w:snapToGrid w:val="0"/>
          <w:color w:val="000000"/>
          <w:spacing w:val="-6"/>
          <w:kern w:val="21"/>
          <w:szCs w:val="21"/>
        </w:rPr>
        <w:fldChar w:fldCharType="end"/>
      </w:r>
    </w:p>
    <w:sectPr>
      <w:footerReference r:id="rId6"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楷体简体">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0"/>
      </w:rPr>
    </w:pPr>
    <w:r>
      <w:fldChar w:fldCharType="begin"/>
    </w:r>
    <w:r>
      <w:rPr>
        <w:rStyle w:val="30"/>
      </w:rPr>
      <w:instrText xml:space="preserve">PAGE  </w:instrText>
    </w:r>
    <w: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posOffset>2590800</wp:posOffset>
              </wp:positionH>
              <wp:positionV relativeFrom="paragraph">
                <wp:posOffset>-85725</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0"/>
                              <w:sz w:val="21"/>
                              <w:szCs w:val="21"/>
                            </w:rPr>
                          </w:pPr>
                          <w:r>
                            <w:rPr>
                              <w:rStyle w:val="30"/>
                              <w:sz w:val="18"/>
                              <w:szCs w:val="18"/>
                            </w:rPr>
                            <w:t xml:space="preserve">— </w:t>
                          </w:r>
                          <w:r>
                            <w:rPr>
                              <w:sz w:val="18"/>
                              <w:szCs w:val="18"/>
                            </w:rPr>
                            <w:fldChar w:fldCharType="begin"/>
                          </w:r>
                          <w:r>
                            <w:rPr>
                              <w:rStyle w:val="30"/>
                              <w:sz w:val="18"/>
                              <w:szCs w:val="18"/>
                            </w:rPr>
                            <w:instrText xml:space="preserve">PAGE  </w:instrText>
                          </w:r>
                          <w:r>
                            <w:rPr>
                              <w:sz w:val="18"/>
                              <w:szCs w:val="18"/>
                            </w:rPr>
                            <w:fldChar w:fldCharType="separate"/>
                          </w:r>
                          <w:r>
                            <w:rPr>
                              <w:rStyle w:val="30"/>
                              <w:sz w:val="18"/>
                              <w:szCs w:val="18"/>
                            </w:rPr>
                            <w:t>34</w:t>
                          </w:r>
                          <w:r>
                            <w:rPr>
                              <w:sz w:val="18"/>
                              <w:szCs w:val="18"/>
                            </w:rPr>
                            <w:fldChar w:fldCharType="end"/>
                          </w:r>
                          <w:r>
                            <w:rPr>
                              <w:rStyle w:val="30"/>
                              <w:sz w:val="18"/>
                              <w:szCs w:val="1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4pt;margin-top:-6.75pt;height:144pt;width:144pt;mso-position-horizontal-relative:margin;mso-wrap-style:none;z-index:251659264;mso-width-relative:page;mso-height-relative:page;" filled="f" stroked="f" coordsize="21600,21600" o:gfxdata="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ZhCOdkAAAALAQAADwAAAAAAAAABACAAAAAiAAAAZHJzL2Rvd25yZXYueG1sUEsB&#10;AhQAFAAAAAgAh07iQHuduMMtAgAAVwQAAA4AAAAAAAAAAQAgAAAAKAEAAGRycy9lMm9Eb2MueG1s&#10;UEsFBgAAAAAGAAYAWQEAAMcFAAAAAA==&#10;">
              <v:fill on="f" focussize="0,0"/>
              <v:stroke on="f" weight="0.5pt"/>
              <v:imagedata o:title=""/>
              <o:lock v:ext="edit" aspectratio="f"/>
              <v:textbox inset="0mm,0mm,0mm,0mm" style="mso-fit-shape-to-text:t;">
                <w:txbxContent>
                  <w:p>
                    <w:pPr>
                      <w:pStyle w:val="18"/>
                      <w:rPr>
                        <w:rStyle w:val="30"/>
                        <w:sz w:val="21"/>
                        <w:szCs w:val="21"/>
                      </w:rPr>
                    </w:pPr>
                    <w:r>
                      <w:rPr>
                        <w:rStyle w:val="30"/>
                        <w:sz w:val="18"/>
                        <w:szCs w:val="18"/>
                      </w:rPr>
                      <w:t xml:space="preserve">— </w:t>
                    </w:r>
                    <w:r>
                      <w:rPr>
                        <w:sz w:val="18"/>
                        <w:szCs w:val="18"/>
                      </w:rPr>
                      <w:fldChar w:fldCharType="begin"/>
                    </w:r>
                    <w:r>
                      <w:rPr>
                        <w:rStyle w:val="30"/>
                        <w:sz w:val="18"/>
                        <w:szCs w:val="18"/>
                      </w:rPr>
                      <w:instrText xml:space="preserve">PAGE  </w:instrText>
                    </w:r>
                    <w:r>
                      <w:rPr>
                        <w:sz w:val="18"/>
                        <w:szCs w:val="18"/>
                      </w:rPr>
                      <w:fldChar w:fldCharType="separate"/>
                    </w:r>
                    <w:r>
                      <w:rPr>
                        <w:rStyle w:val="30"/>
                        <w:sz w:val="18"/>
                        <w:szCs w:val="18"/>
                      </w:rPr>
                      <w:t>34</w:t>
                    </w:r>
                    <w:r>
                      <w:rPr>
                        <w:sz w:val="18"/>
                        <w:szCs w:val="18"/>
                      </w:rPr>
                      <w:fldChar w:fldCharType="end"/>
                    </w:r>
                    <w:r>
                      <w:rPr>
                        <w:rStyle w:val="30"/>
                        <w:sz w:val="18"/>
                        <w:szCs w:val="1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0"/>
                              <w:rFonts w:ascii="宋体" w:hAnsi="宋体"/>
                              <w:sz w:val="28"/>
                              <w:szCs w:val="28"/>
                            </w:rPr>
                          </w:pPr>
                          <w:r>
                            <w:rPr>
                              <w:rStyle w:val="30"/>
                              <w:rFonts w:hint="eastAsia" w:ascii="宋体" w:hAnsi="宋体"/>
                              <w:sz w:val="28"/>
                              <w:szCs w:val="28"/>
                            </w:rPr>
                            <w:t>—</w:t>
                          </w:r>
                          <w:r>
                            <w:rPr>
                              <w:rStyle w:val="30"/>
                              <w:sz w:val="21"/>
                              <w:szCs w:val="21"/>
                            </w:rPr>
                            <w:t xml:space="preserve"> </w:t>
                          </w:r>
                          <w:r>
                            <w:rPr>
                              <w:sz w:val="21"/>
                              <w:szCs w:val="21"/>
                            </w:rPr>
                            <w:fldChar w:fldCharType="begin"/>
                          </w:r>
                          <w:r>
                            <w:rPr>
                              <w:rStyle w:val="30"/>
                              <w:sz w:val="21"/>
                              <w:szCs w:val="21"/>
                            </w:rPr>
                            <w:instrText xml:space="preserve">PAGE  </w:instrText>
                          </w:r>
                          <w:r>
                            <w:rPr>
                              <w:sz w:val="21"/>
                              <w:szCs w:val="21"/>
                            </w:rPr>
                            <w:fldChar w:fldCharType="separate"/>
                          </w:r>
                          <w:r>
                            <w:rPr>
                              <w:rStyle w:val="30"/>
                              <w:sz w:val="21"/>
                              <w:szCs w:val="21"/>
                            </w:rPr>
                            <w:t>36</w:t>
                          </w:r>
                          <w:r>
                            <w:rPr>
                              <w:sz w:val="21"/>
                              <w:szCs w:val="21"/>
                            </w:rPr>
                            <w:fldChar w:fldCharType="end"/>
                          </w:r>
                          <w:r>
                            <w:rPr>
                              <w:rStyle w:val="30"/>
                              <w:sz w:val="21"/>
                              <w:szCs w:val="21"/>
                            </w:rPr>
                            <w:t xml:space="preserve"> </w:t>
                          </w:r>
                          <w:r>
                            <w:rPr>
                              <w:rStyle w:val="30"/>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2Ipk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o2IpktAgAAVwQAAA4AAAAAAAAAAQAgAAAAHwEAAGRycy9lMm9Eb2MueG1sUEsFBgAAAAAG&#10;AAYAWQEAAL4FAAAAAA==&#10;">
              <v:fill on="f" focussize="0,0"/>
              <v:stroke on="f" weight="0.5pt"/>
              <v:imagedata o:title=""/>
              <o:lock v:ext="edit" aspectratio="f"/>
              <v:textbox inset="0mm,0mm,0mm,0mm" style="mso-fit-shape-to-text:t;">
                <w:txbxContent>
                  <w:p>
                    <w:pPr>
                      <w:pStyle w:val="18"/>
                      <w:rPr>
                        <w:rStyle w:val="30"/>
                        <w:rFonts w:ascii="宋体" w:hAnsi="宋体"/>
                        <w:sz w:val="28"/>
                        <w:szCs w:val="28"/>
                      </w:rPr>
                    </w:pPr>
                    <w:r>
                      <w:rPr>
                        <w:rStyle w:val="30"/>
                        <w:rFonts w:hint="eastAsia" w:ascii="宋体" w:hAnsi="宋体"/>
                        <w:sz w:val="28"/>
                        <w:szCs w:val="28"/>
                      </w:rPr>
                      <w:t>—</w:t>
                    </w:r>
                    <w:r>
                      <w:rPr>
                        <w:rStyle w:val="30"/>
                        <w:sz w:val="21"/>
                        <w:szCs w:val="21"/>
                      </w:rPr>
                      <w:t xml:space="preserve"> </w:t>
                    </w:r>
                    <w:r>
                      <w:rPr>
                        <w:sz w:val="21"/>
                        <w:szCs w:val="21"/>
                      </w:rPr>
                      <w:fldChar w:fldCharType="begin"/>
                    </w:r>
                    <w:r>
                      <w:rPr>
                        <w:rStyle w:val="30"/>
                        <w:sz w:val="21"/>
                        <w:szCs w:val="21"/>
                      </w:rPr>
                      <w:instrText xml:space="preserve">PAGE  </w:instrText>
                    </w:r>
                    <w:r>
                      <w:rPr>
                        <w:sz w:val="21"/>
                        <w:szCs w:val="21"/>
                      </w:rPr>
                      <w:fldChar w:fldCharType="separate"/>
                    </w:r>
                    <w:r>
                      <w:rPr>
                        <w:rStyle w:val="30"/>
                        <w:sz w:val="21"/>
                        <w:szCs w:val="21"/>
                      </w:rPr>
                      <w:t>36</w:t>
                    </w:r>
                    <w:r>
                      <w:rPr>
                        <w:sz w:val="21"/>
                        <w:szCs w:val="21"/>
                      </w:rPr>
                      <w:fldChar w:fldCharType="end"/>
                    </w:r>
                    <w:r>
                      <w:rPr>
                        <w:rStyle w:val="30"/>
                        <w:sz w:val="21"/>
                        <w:szCs w:val="21"/>
                      </w:rPr>
                      <w:t xml:space="preserve"> </w:t>
                    </w:r>
                    <w:r>
                      <w:rPr>
                        <w:rStyle w:val="30"/>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9CF238"/>
    <w:multiLevelType w:val="singleLevel"/>
    <w:tmpl w:val="B79CF238"/>
    <w:lvl w:ilvl="0" w:tentative="0">
      <w:start w:val="1"/>
      <w:numFmt w:val="bullet"/>
      <w:pStyle w:val="13"/>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MzlmZDEzMGVmYzNhMGU1MjcwYTgxODRlZGNkYTAifQ=="/>
  </w:docVars>
  <w:rsids>
    <w:rsidRoot w:val="00172A27"/>
    <w:rsid w:val="000060B3"/>
    <w:rsid w:val="0004364B"/>
    <w:rsid w:val="00061B1F"/>
    <w:rsid w:val="000733C4"/>
    <w:rsid w:val="00074783"/>
    <w:rsid w:val="0008070B"/>
    <w:rsid w:val="000810AC"/>
    <w:rsid w:val="00081A02"/>
    <w:rsid w:val="00082231"/>
    <w:rsid w:val="00092D38"/>
    <w:rsid w:val="0009377B"/>
    <w:rsid w:val="000A20C9"/>
    <w:rsid w:val="000B058F"/>
    <w:rsid w:val="000B4467"/>
    <w:rsid w:val="000B4DB9"/>
    <w:rsid w:val="000C09AC"/>
    <w:rsid w:val="000C767F"/>
    <w:rsid w:val="000D5A44"/>
    <w:rsid w:val="000E3ED2"/>
    <w:rsid w:val="00122FFD"/>
    <w:rsid w:val="00131F42"/>
    <w:rsid w:val="001357F1"/>
    <w:rsid w:val="00140FA8"/>
    <w:rsid w:val="00142FEB"/>
    <w:rsid w:val="00143A2D"/>
    <w:rsid w:val="00145A41"/>
    <w:rsid w:val="00151675"/>
    <w:rsid w:val="00157435"/>
    <w:rsid w:val="00172A27"/>
    <w:rsid w:val="0017504D"/>
    <w:rsid w:val="0017671A"/>
    <w:rsid w:val="00177422"/>
    <w:rsid w:val="00184590"/>
    <w:rsid w:val="001870D1"/>
    <w:rsid w:val="0018781E"/>
    <w:rsid w:val="0019262D"/>
    <w:rsid w:val="001A1B35"/>
    <w:rsid w:val="001A48A2"/>
    <w:rsid w:val="001A6F61"/>
    <w:rsid w:val="001B72B8"/>
    <w:rsid w:val="001C69B3"/>
    <w:rsid w:val="001C77F7"/>
    <w:rsid w:val="001D1D6F"/>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B49E2"/>
    <w:rsid w:val="002B7B00"/>
    <w:rsid w:val="002B7C44"/>
    <w:rsid w:val="002C2B17"/>
    <w:rsid w:val="002D3DD0"/>
    <w:rsid w:val="002E1F3A"/>
    <w:rsid w:val="002E298A"/>
    <w:rsid w:val="00301978"/>
    <w:rsid w:val="0030332C"/>
    <w:rsid w:val="003051C2"/>
    <w:rsid w:val="00312296"/>
    <w:rsid w:val="00314F0E"/>
    <w:rsid w:val="00317BDA"/>
    <w:rsid w:val="00321D8E"/>
    <w:rsid w:val="00325928"/>
    <w:rsid w:val="00332863"/>
    <w:rsid w:val="0033684D"/>
    <w:rsid w:val="00337B42"/>
    <w:rsid w:val="00341B42"/>
    <w:rsid w:val="0034348F"/>
    <w:rsid w:val="00356653"/>
    <w:rsid w:val="0035743F"/>
    <w:rsid w:val="00357BE2"/>
    <w:rsid w:val="0036170C"/>
    <w:rsid w:val="0036387C"/>
    <w:rsid w:val="00366E0F"/>
    <w:rsid w:val="00381A72"/>
    <w:rsid w:val="00384676"/>
    <w:rsid w:val="00386563"/>
    <w:rsid w:val="00390857"/>
    <w:rsid w:val="003A0CFC"/>
    <w:rsid w:val="003A4BF3"/>
    <w:rsid w:val="003B420D"/>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84B9B"/>
    <w:rsid w:val="004855F6"/>
    <w:rsid w:val="0048661E"/>
    <w:rsid w:val="00490497"/>
    <w:rsid w:val="00494670"/>
    <w:rsid w:val="004A3823"/>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1CA3"/>
    <w:rsid w:val="00542E07"/>
    <w:rsid w:val="00545424"/>
    <w:rsid w:val="00554A7B"/>
    <w:rsid w:val="0055572C"/>
    <w:rsid w:val="0056106A"/>
    <w:rsid w:val="005720AE"/>
    <w:rsid w:val="00594D77"/>
    <w:rsid w:val="005969E4"/>
    <w:rsid w:val="005A06B7"/>
    <w:rsid w:val="005A1759"/>
    <w:rsid w:val="005A68A7"/>
    <w:rsid w:val="005D36AB"/>
    <w:rsid w:val="005D64FA"/>
    <w:rsid w:val="00617CC3"/>
    <w:rsid w:val="006377A6"/>
    <w:rsid w:val="00637A3D"/>
    <w:rsid w:val="006411EF"/>
    <w:rsid w:val="006748B8"/>
    <w:rsid w:val="006775C3"/>
    <w:rsid w:val="006905DF"/>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D48BE"/>
    <w:rsid w:val="007E4BD2"/>
    <w:rsid w:val="00801393"/>
    <w:rsid w:val="00802F88"/>
    <w:rsid w:val="0081293E"/>
    <w:rsid w:val="00815465"/>
    <w:rsid w:val="00817E9A"/>
    <w:rsid w:val="008306BD"/>
    <w:rsid w:val="00831A80"/>
    <w:rsid w:val="00833743"/>
    <w:rsid w:val="008340A4"/>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736D"/>
    <w:rsid w:val="0093037A"/>
    <w:rsid w:val="0094154D"/>
    <w:rsid w:val="0095155F"/>
    <w:rsid w:val="00954429"/>
    <w:rsid w:val="009563CE"/>
    <w:rsid w:val="009649A9"/>
    <w:rsid w:val="00976328"/>
    <w:rsid w:val="0097680D"/>
    <w:rsid w:val="00982438"/>
    <w:rsid w:val="00983C17"/>
    <w:rsid w:val="0098404C"/>
    <w:rsid w:val="00985283"/>
    <w:rsid w:val="00995992"/>
    <w:rsid w:val="0099769A"/>
    <w:rsid w:val="009A03E5"/>
    <w:rsid w:val="009A0F3B"/>
    <w:rsid w:val="009A1BB4"/>
    <w:rsid w:val="009A2628"/>
    <w:rsid w:val="009A3200"/>
    <w:rsid w:val="009B0897"/>
    <w:rsid w:val="009B7BD9"/>
    <w:rsid w:val="009C7DD5"/>
    <w:rsid w:val="009E227D"/>
    <w:rsid w:val="009E5019"/>
    <w:rsid w:val="00A02037"/>
    <w:rsid w:val="00A04F1B"/>
    <w:rsid w:val="00A0501B"/>
    <w:rsid w:val="00A06E1D"/>
    <w:rsid w:val="00A14947"/>
    <w:rsid w:val="00A32A83"/>
    <w:rsid w:val="00A368DB"/>
    <w:rsid w:val="00A423AA"/>
    <w:rsid w:val="00A42871"/>
    <w:rsid w:val="00A53EC6"/>
    <w:rsid w:val="00A55C0F"/>
    <w:rsid w:val="00A8713F"/>
    <w:rsid w:val="00A90BA1"/>
    <w:rsid w:val="00A97A9A"/>
    <w:rsid w:val="00AA0671"/>
    <w:rsid w:val="00AA2531"/>
    <w:rsid w:val="00AB1E09"/>
    <w:rsid w:val="00AB5330"/>
    <w:rsid w:val="00AB7747"/>
    <w:rsid w:val="00AC14CE"/>
    <w:rsid w:val="00AC2A56"/>
    <w:rsid w:val="00AD055E"/>
    <w:rsid w:val="00AD47A7"/>
    <w:rsid w:val="00AF0CBF"/>
    <w:rsid w:val="00AF1093"/>
    <w:rsid w:val="00AF257F"/>
    <w:rsid w:val="00AF33CF"/>
    <w:rsid w:val="00AF3FC8"/>
    <w:rsid w:val="00AF4D50"/>
    <w:rsid w:val="00AF6179"/>
    <w:rsid w:val="00B007B9"/>
    <w:rsid w:val="00B1295A"/>
    <w:rsid w:val="00B20A45"/>
    <w:rsid w:val="00B22C5C"/>
    <w:rsid w:val="00B24F30"/>
    <w:rsid w:val="00B31ABF"/>
    <w:rsid w:val="00B33BE3"/>
    <w:rsid w:val="00B53B5D"/>
    <w:rsid w:val="00B55C53"/>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17D24"/>
    <w:rsid w:val="00D308ED"/>
    <w:rsid w:val="00D3493E"/>
    <w:rsid w:val="00D36D86"/>
    <w:rsid w:val="00D428AA"/>
    <w:rsid w:val="00D50A34"/>
    <w:rsid w:val="00D53EFA"/>
    <w:rsid w:val="00D94A7C"/>
    <w:rsid w:val="00D95896"/>
    <w:rsid w:val="00DB2983"/>
    <w:rsid w:val="00DC1257"/>
    <w:rsid w:val="00DC3DC0"/>
    <w:rsid w:val="00DC5B2B"/>
    <w:rsid w:val="00DD318D"/>
    <w:rsid w:val="00DF2E12"/>
    <w:rsid w:val="00DF514A"/>
    <w:rsid w:val="00DF6690"/>
    <w:rsid w:val="00DF6804"/>
    <w:rsid w:val="00E0358D"/>
    <w:rsid w:val="00E04323"/>
    <w:rsid w:val="00E070A2"/>
    <w:rsid w:val="00E2656A"/>
    <w:rsid w:val="00E412D0"/>
    <w:rsid w:val="00E56322"/>
    <w:rsid w:val="00E573F1"/>
    <w:rsid w:val="00E60982"/>
    <w:rsid w:val="00E62C62"/>
    <w:rsid w:val="00E654C1"/>
    <w:rsid w:val="00E65D97"/>
    <w:rsid w:val="00E72A5A"/>
    <w:rsid w:val="00E73354"/>
    <w:rsid w:val="00E800DF"/>
    <w:rsid w:val="00E9242D"/>
    <w:rsid w:val="00EB5255"/>
    <w:rsid w:val="00EB5C47"/>
    <w:rsid w:val="00ED0639"/>
    <w:rsid w:val="00EF4755"/>
    <w:rsid w:val="00EF7135"/>
    <w:rsid w:val="00F027DB"/>
    <w:rsid w:val="00F14A7A"/>
    <w:rsid w:val="00F2135F"/>
    <w:rsid w:val="00F22985"/>
    <w:rsid w:val="00F317F9"/>
    <w:rsid w:val="00F3383E"/>
    <w:rsid w:val="00F465A7"/>
    <w:rsid w:val="00F50B7C"/>
    <w:rsid w:val="00F544D6"/>
    <w:rsid w:val="00F550E6"/>
    <w:rsid w:val="00F74345"/>
    <w:rsid w:val="00F80A0A"/>
    <w:rsid w:val="00F82B19"/>
    <w:rsid w:val="00F9212D"/>
    <w:rsid w:val="00F9284E"/>
    <w:rsid w:val="00F965DA"/>
    <w:rsid w:val="00FA406A"/>
    <w:rsid w:val="00FB503A"/>
    <w:rsid w:val="00FB516C"/>
    <w:rsid w:val="00FD0236"/>
    <w:rsid w:val="00FD18F4"/>
    <w:rsid w:val="00FD54DB"/>
    <w:rsid w:val="00FD619F"/>
    <w:rsid w:val="01290F7E"/>
    <w:rsid w:val="015D1E09"/>
    <w:rsid w:val="01DC269E"/>
    <w:rsid w:val="021B1CDD"/>
    <w:rsid w:val="025E435E"/>
    <w:rsid w:val="02697903"/>
    <w:rsid w:val="02994F3C"/>
    <w:rsid w:val="02B04DEF"/>
    <w:rsid w:val="02B06C6B"/>
    <w:rsid w:val="02F96569"/>
    <w:rsid w:val="03AE1D1F"/>
    <w:rsid w:val="03EA7B21"/>
    <w:rsid w:val="047460E3"/>
    <w:rsid w:val="055D2C4B"/>
    <w:rsid w:val="05F83EAE"/>
    <w:rsid w:val="063E7D85"/>
    <w:rsid w:val="06AA7E4C"/>
    <w:rsid w:val="06B73CD2"/>
    <w:rsid w:val="07293586"/>
    <w:rsid w:val="07295285"/>
    <w:rsid w:val="07636392"/>
    <w:rsid w:val="07770C56"/>
    <w:rsid w:val="07A84FA5"/>
    <w:rsid w:val="0802334F"/>
    <w:rsid w:val="085B145A"/>
    <w:rsid w:val="08BE0649"/>
    <w:rsid w:val="08C6540E"/>
    <w:rsid w:val="08D42DDD"/>
    <w:rsid w:val="092217DD"/>
    <w:rsid w:val="093A7294"/>
    <w:rsid w:val="09450B4A"/>
    <w:rsid w:val="09A5673D"/>
    <w:rsid w:val="0A174023"/>
    <w:rsid w:val="0A263993"/>
    <w:rsid w:val="0A2D3AC2"/>
    <w:rsid w:val="0AA755DF"/>
    <w:rsid w:val="0ABA4E18"/>
    <w:rsid w:val="0B120D44"/>
    <w:rsid w:val="0B89790A"/>
    <w:rsid w:val="0BA70BFB"/>
    <w:rsid w:val="0BD27BF6"/>
    <w:rsid w:val="0BF617B9"/>
    <w:rsid w:val="0C3B3C7D"/>
    <w:rsid w:val="0CAB2EAE"/>
    <w:rsid w:val="0D621C7D"/>
    <w:rsid w:val="0E28112D"/>
    <w:rsid w:val="0E73034D"/>
    <w:rsid w:val="0ECE4EF0"/>
    <w:rsid w:val="0F075799"/>
    <w:rsid w:val="0F13775A"/>
    <w:rsid w:val="0F1A7B7D"/>
    <w:rsid w:val="0F573D18"/>
    <w:rsid w:val="0F5F45FE"/>
    <w:rsid w:val="0F9A112B"/>
    <w:rsid w:val="0FE64FDC"/>
    <w:rsid w:val="106D2F64"/>
    <w:rsid w:val="10B63710"/>
    <w:rsid w:val="10F10820"/>
    <w:rsid w:val="111C2F7A"/>
    <w:rsid w:val="112D15BD"/>
    <w:rsid w:val="112F3533"/>
    <w:rsid w:val="11665CA1"/>
    <w:rsid w:val="12915A7F"/>
    <w:rsid w:val="13951726"/>
    <w:rsid w:val="13A15509"/>
    <w:rsid w:val="13B530A9"/>
    <w:rsid w:val="14396509"/>
    <w:rsid w:val="147826A8"/>
    <w:rsid w:val="14BC07B7"/>
    <w:rsid w:val="14DD2C3C"/>
    <w:rsid w:val="1554376E"/>
    <w:rsid w:val="155D6271"/>
    <w:rsid w:val="15DE6B7B"/>
    <w:rsid w:val="16061C54"/>
    <w:rsid w:val="16087E1D"/>
    <w:rsid w:val="171611B9"/>
    <w:rsid w:val="17701D14"/>
    <w:rsid w:val="17735226"/>
    <w:rsid w:val="183E05C5"/>
    <w:rsid w:val="185A0F87"/>
    <w:rsid w:val="185D361A"/>
    <w:rsid w:val="186B022D"/>
    <w:rsid w:val="187F068F"/>
    <w:rsid w:val="189F624C"/>
    <w:rsid w:val="19192EB6"/>
    <w:rsid w:val="197C1E15"/>
    <w:rsid w:val="1A1C66C0"/>
    <w:rsid w:val="1A42393B"/>
    <w:rsid w:val="1AAD45DE"/>
    <w:rsid w:val="1B046F80"/>
    <w:rsid w:val="1B3267B5"/>
    <w:rsid w:val="1B40161D"/>
    <w:rsid w:val="1B441859"/>
    <w:rsid w:val="1B4A0CF7"/>
    <w:rsid w:val="1B6606B1"/>
    <w:rsid w:val="1C145920"/>
    <w:rsid w:val="1C515042"/>
    <w:rsid w:val="1C5E7925"/>
    <w:rsid w:val="1C9B0A0B"/>
    <w:rsid w:val="1CFD070F"/>
    <w:rsid w:val="1D1C3424"/>
    <w:rsid w:val="1D306DA5"/>
    <w:rsid w:val="1D566C3A"/>
    <w:rsid w:val="1D5F6196"/>
    <w:rsid w:val="1D6132A5"/>
    <w:rsid w:val="1D8C0E15"/>
    <w:rsid w:val="1D8E56D5"/>
    <w:rsid w:val="1E5C4270"/>
    <w:rsid w:val="1E7A43DA"/>
    <w:rsid w:val="1ED144B0"/>
    <w:rsid w:val="1ED82CC9"/>
    <w:rsid w:val="1FA31495"/>
    <w:rsid w:val="1FE7539E"/>
    <w:rsid w:val="20671BE0"/>
    <w:rsid w:val="20963CB8"/>
    <w:rsid w:val="20A81A1B"/>
    <w:rsid w:val="20B07FB6"/>
    <w:rsid w:val="20B646FB"/>
    <w:rsid w:val="212B3BFC"/>
    <w:rsid w:val="213B74B1"/>
    <w:rsid w:val="215A2310"/>
    <w:rsid w:val="21CC44AE"/>
    <w:rsid w:val="21DB2A55"/>
    <w:rsid w:val="21DE318A"/>
    <w:rsid w:val="21EF5B80"/>
    <w:rsid w:val="22576990"/>
    <w:rsid w:val="22F47480"/>
    <w:rsid w:val="23DE1C48"/>
    <w:rsid w:val="240210CD"/>
    <w:rsid w:val="24A9339C"/>
    <w:rsid w:val="24B73264"/>
    <w:rsid w:val="24BF09F7"/>
    <w:rsid w:val="25206B81"/>
    <w:rsid w:val="252D53FE"/>
    <w:rsid w:val="25981B92"/>
    <w:rsid w:val="25EC2D81"/>
    <w:rsid w:val="260325DF"/>
    <w:rsid w:val="261916ED"/>
    <w:rsid w:val="277057A2"/>
    <w:rsid w:val="27F03755"/>
    <w:rsid w:val="29206EB8"/>
    <w:rsid w:val="29595666"/>
    <w:rsid w:val="29874881"/>
    <w:rsid w:val="29993BF1"/>
    <w:rsid w:val="29C961D7"/>
    <w:rsid w:val="29E26709"/>
    <w:rsid w:val="29E311E3"/>
    <w:rsid w:val="29E325E0"/>
    <w:rsid w:val="2A452503"/>
    <w:rsid w:val="2AB55F82"/>
    <w:rsid w:val="2B0C0414"/>
    <w:rsid w:val="2B3F308F"/>
    <w:rsid w:val="2B812F66"/>
    <w:rsid w:val="2BA936A8"/>
    <w:rsid w:val="2C315A5A"/>
    <w:rsid w:val="2C4B1C25"/>
    <w:rsid w:val="2C8C50A6"/>
    <w:rsid w:val="2D9E56F5"/>
    <w:rsid w:val="2DA468A8"/>
    <w:rsid w:val="2E0F01DA"/>
    <w:rsid w:val="2E3678B8"/>
    <w:rsid w:val="2E667F96"/>
    <w:rsid w:val="2E8226AB"/>
    <w:rsid w:val="2F3D2154"/>
    <w:rsid w:val="2FD065E6"/>
    <w:rsid w:val="2FD96870"/>
    <w:rsid w:val="30580BC9"/>
    <w:rsid w:val="306423E9"/>
    <w:rsid w:val="30F646C6"/>
    <w:rsid w:val="30FE29B7"/>
    <w:rsid w:val="31105A82"/>
    <w:rsid w:val="311E2ED7"/>
    <w:rsid w:val="312B6698"/>
    <w:rsid w:val="315619EE"/>
    <w:rsid w:val="315C449C"/>
    <w:rsid w:val="31B82709"/>
    <w:rsid w:val="31D05482"/>
    <w:rsid w:val="32400B34"/>
    <w:rsid w:val="32716F0F"/>
    <w:rsid w:val="329E6876"/>
    <w:rsid w:val="32F40AE9"/>
    <w:rsid w:val="333015F2"/>
    <w:rsid w:val="334B6320"/>
    <w:rsid w:val="33D934D4"/>
    <w:rsid w:val="33FE2F6A"/>
    <w:rsid w:val="340E07E5"/>
    <w:rsid w:val="3420522A"/>
    <w:rsid w:val="34235BF7"/>
    <w:rsid w:val="34454D86"/>
    <w:rsid w:val="34592E86"/>
    <w:rsid w:val="355B3E6F"/>
    <w:rsid w:val="358C5FA8"/>
    <w:rsid w:val="35C15DF1"/>
    <w:rsid w:val="35ED4DFB"/>
    <w:rsid w:val="36074A7F"/>
    <w:rsid w:val="364C6FE0"/>
    <w:rsid w:val="36923549"/>
    <w:rsid w:val="36B75FBF"/>
    <w:rsid w:val="36BD0C45"/>
    <w:rsid w:val="36E05A7A"/>
    <w:rsid w:val="36E650E5"/>
    <w:rsid w:val="37702892"/>
    <w:rsid w:val="37E00298"/>
    <w:rsid w:val="37E85C0D"/>
    <w:rsid w:val="380B6117"/>
    <w:rsid w:val="38A05043"/>
    <w:rsid w:val="38B302F9"/>
    <w:rsid w:val="38DA6521"/>
    <w:rsid w:val="38F12CD3"/>
    <w:rsid w:val="38F94775"/>
    <w:rsid w:val="392971ED"/>
    <w:rsid w:val="39325651"/>
    <w:rsid w:val="39AA251C"/>
    <w:rsid w:val="3A04460D"/>
    <w:rsid w:val="3A0B5D48"/>
    <w:rsid w:val="3A356780"/>
    <w:rsid w:val="3A872856"/>
    <w:rsid w:val="3B3763D1"/>
    <w:rsid w:val="3B7221CE"/>
    <w:rsid w:val="3BA430B6"/>
    <w:rsid w:val="3C2F6E1E"/>
    <w:rsid w:val="3C4F64BA"/>
    <w:rsid w:val="3CDA245A"/>
    <w:rsid w:val="3CE60530"/>
    <w:rsid w:val="3D1E06B7"/>
    <w:rsid w:val="3D3E0BA2"/>
    <w:rsid w:val="3D8020F2"/>
    <w:rsid w:val="3E556520"/>
    <w:rsid w:val="3E931A3B"/>
    <w:rsid w:val="3E971451"/>
    <w:rsid w:val="3EA97EA3"/>
    <w:rsid w:val="3EDA0523"/>
    <w:rsid w:val="3FF62A30"/>
    <w:rsid w:val="407A6407"/>
    <w:rsid w:val="4097591C"/>
    <w:rsid w:val="40E85F4A"/>
    <w:rsid w:val="410F68F6"/>
    <w:rsid w:val="41612F55"/>
    <w:rsid w:val="416C6012"/>
    <w:rsid w:val="4200449D"/>
    <w:rsid w:val="42387D6E"/>
    <w:rsid w:val="423A3BCC"/>
    <w:rsid w:val="424E57D2"/>
    <w:rsid w:val="42B26C49"/>
    <w:rsid w:val="42CC1B76"/>
    <w:rsid w:val="433A6FE6"/>
    <w:rsid w:val="43462FD6"/>
    <w:rsid w:val="43480868"/>
    <w:rsid w:val="4350713C"/>
    <w:rsid w:val="436653E0"/>
    <w:rsid w:val="43C4431A"/>
    <w:rsid w:val="442521AB"/>
    <w:rsid w:val="44377922"/>
    <w:rsid w:val="44B951CC"/>
    <w:rsid w:val="44CD14E0"/>
    <w:rsid w:val="44DA419E"/>
    <w:rsid w:val="44DB5C1B"/>
    <w:rsid w:val="44F20B0B"/>
    <w:rsid w:val="452E5F4C"/>
    <w:rsid w:val="45612018"/>
    <w:rsid w:val="458946E9"/>
    <w:rsid w:val="45A47C0E"/>
    <w:rsid w:val="462C5D01"/>
    <w:rsid w:val="46577FD6"/>
    <w:rsid w:val="469C6567"/>
    <w:rsid w:val="46D955A7"/>
    <w:rsid w:val="46FF4105"/>
    <w:rsid w:val="47133957"/>
    <w:rsid w:val="47A07E0C"/>
    <w:rsid w:val="47BA5105"/>
    <w:rsid w:val="47FB3D57"/>
    <w:rsid w:val="480519C1"/>
    <w:rsid w:val="480E3A4D"/>
    <w:rsid w:val="486A29DC"/>
    <w:rsid w:val="4870272E"/>
    <w:rsid w:val="48AE7F48"/>
    <w:rsid w:val="48FF796E"/>
    <w:rsid w:val="493C734B"/>
    <w:rsid w:val="49CF06DB"/>
    <w:rsid w:val="49DC7715"/>
    <w:rsid w:val="4A023139"/>
    <w:rsid w:val="4A743F3B"/>
    <w:rsid w:val="4A7B576F"/>
    <w:rsid w:val="4AF561A9"/>
    <w:rsid w:val="4B002F18"/>
    <w:rsid w:val="4B1A4D59"/>
    <w:rsid w:val="4B8A2D38"/>
    <w:rsid w:val="4BB325D7"/>
    <w:rsid w:val="4C4A0649"/>
    <w:rsid w:val="4C4D24F7"/>
    <w:rsid w:val="4C7E5ECA"/>
    <w:rsid w:val="4C876AA5"/>
    <w:rsid w:val="4D0E00FB"/>
    <w:rsid w:val="4D176606"/>
    <w:rsid w:val="4D7560B4"/>
    <w:rsid w:val="4DEC4FB0"/>
    <w:rsid w:val="4E075D8A"/>
    <w:rsid w:val="4E402D6D"/>
    <w:rsid w:val="4E773090"/>
    <w:rsid w:val="4EC00FAD"/>
    <w:rsid w:val="4F9843DC"/>
    <w:rsid w:val="4FC62A8C"/>
    <w:rsid w:val="4FE20F0D"/>
    <w:rsid w:val="4FE51552"/>
    <w:rsid w:val="502424F1"/>
    <w:rsid w:val="503C6236"/>
    <w:rsid w:val="50504C4B"/>
    <w:rsid w:val="5091756E"/>
    <w:rsid w:val="509C6E7C"/>
    <w:rsid w:val="514A5753"/>
    <w:rsid w:val="5162104E"/>
    <w:rsid w:val="51C0177A"/>
    <w:rsid w:val="52E24875"/>
    <w:rsid w:val="5334435E"/>
    <w:rsid w:val="53A039CC"/>
    <w:rsid w:val="53A1505A"/>
    <w:rsid w:val="53B5176F"/>
    <w:rsid w:val="53F371BF"/>
    <w:rsid w:val="54063E08"/>
    <w:rsid w:val="543437E8"/>
    <w:rsid w:val="545E6D47"/>
    <w:rsid w:val="546427A0"/>
    <w:rsid w:val="54E83610"/>
    <w:rsid w:val="54F73313"/>
    <w:rsid w:val="54F80955"/>
    <w:rsid w:val="555170A7"/>
    <w:rsid w:val="5587536D"/>
    <w:rsid w:val="559B174B"/>
    <w:rsid w:val="55B42DE6"/>
    <w:rsid w:val="55CE0CF4"/>
    <w:rsid w:val="56121049"/>
    <w:rsid w:val="5657074D"/>
    <w:rsid w:val="56B22A9C"/>
    <w:rsid w:val="56E9328F"/>
    <w:rsid w:val="571F1245"/>
    <w:rsid w:val="57B72A76"/>
    <w:rsid w:val="57C3426C"/>
    <w:rsid w:val="57CE1F93"/>
    <w:rsid w:val="57D43F80"/>
    <w:rsid w:val="57EB743E"/>
    <w:rsid w:val="588743D1"/>
    <w:rsid w:val="5887701A"/>
    <w:rsid w:val="590B2DCB"/>
    <w:rsid w:val="59982AD0"/>
    <w:rsid w:val="59B60589"/>
    <w:rsid w:val="59C0439F"/>
    <w:rsid w:val="5ABE2233"/>
    <w:rsid w:val="5BDF5D95"/>
    <w:rsid w:val="5BFE7528"/>
    <w:rsid w:val="5D3E44DE"/>
    <w:rsid w:val="5D721B73"/>
    <w:rsid w:val="5DA05D5B"/>
    <w:rsid w:val="5DEA65FB"/>
    <w:rsid w:val="5DEB6AA9"/>
    <w:rsid w:val="5E2467F1"/>
    <w:rsid w:val="5F1A2B43"/>
    <w:rsid w:val="5F6A3EF1"/>
    <w:rsid w:val="5FA16EFF"/>
    <w:rsid w:val="5FA512BD"/>
    <w:rsid w:val="5FB837BB"/>
    <w:rsid w:val="605C5E7C"/>
    <w:rsid w:val="60CC405A"/>
    <w:rsid w:val="60E250F5"/>
    <w:rsid w:val="61E215D8"/>
    <w:rsid w:val="621B3775"/>
    <w:rsid w:val="62364782"/>
    <w:rsid w:val="62727EE0"/>
    <w:rsid w:val="6317177D"/>
    <w:rsid w:val="632D78D1"/>
    <w:rsid w:val="6394356A"/>
    <w:rsid w:val="63C61B2C"/>
    <w:rsid w:val="63D40BE9"/>
    <w:rsid w:val="64102431"/>
    <w:rsid w:val="648308B4"/>
    <w:rsid w:val="64A5243A"/>
    <w:rsid w:val="64F531DE"/>
    <w:rsid w:val="65373578"/>
    <w:rsid w:val="671F124A"/>
    <w:rsid w:val="674771BC"/>
    <w:rsid w:val="677A33C6"/>
    <w:rsid w:val="679A09BF"/>
    <w:rsid w:val="681F6961"/>
    <w:rsid w:val="68610A2F"/>
    <w:rsid w:val="68805514"/>
    <w:rsid w:val="68E83D5E"/>
    <w:rsid w:val="68E841C2"/>
    <w:rsid w:val="69264B4A"/>
    <w:rsid w:val="69316E2F"/>
    <w:rsid w:val="694E2071"/>
    <w:rsid w:val="69766163"/>
    <w:rsid w:val="697A3B33"/>
    <w:rsid w:val="69D3234C"/>
    <w:rsid w:val="69D44760"/>
    <w:rsid w:val="6A520EC7"/>
    <w:rsid w:val="6A6E59B4"/>
    <w:rsid w:val="6A9F5648"/>
    <w:rsid w:val="6AB14064"/>
    <w:rsid w:val="6ABBC8FC"/>
    <w:rsid w:val="6AF87E20"/>
    <w:rsid w:val="6B0F7273"/>
    <w:rsid w:val="6B322639"/>
    <w:rsid w:val="6B920EFD"/>
    <w:rsid w:val="6BA214F2"/>
    <w:rsid w:val="6BCC48EE"/>
    <w:rsid w:val="6C636C38"/>
    <w:rsid w:val="6D6B55CE"/>
    <w:rsid w:val="6DB2526F"/>
    <w:rsid w:val="6DB34098"/>
    <w:rsid w:val="6DB545B6"/>
    <w:rsid w:val="6DE02FB4"/>
    <w:rsid w:val="6E053620"/>
    <w:rsid w:val="6E514CED"/>
    <w:rsid w:val="6E6114DE"/>
    <w:rsid w:val="6EB563D5"/>
    <w:rsid w:val="6ED92677"/>
    <w:rsid w:val="6F225983"/>
    <w:rsid w:val="6F2D3D02"/>
    <w:rsid w:val="6FB62E92"/>
    <w:rsid w:val="6FCC5DDD"/>
    <w:rsid w:val="6FFC5590"/>
    <w:rsid w:val="70103A8F"/>
    <w:rsid w:val="706D1DD0"/>
    <w:rsid w:val="70856B87"/>
    <w:rsid w:val="70CB762E"/>
    <w:rsid w:val="70D527EE"/>
    <w:rsid w:val="711917DE"/>
    <w:rsid w:val="714A6D08"/>
    <w:rsid w:val="715B5300"/>
    <w:rsid w:val="71D27F8A"/>
    <w:rsid w:val="71F41D20"/>
    <w:rsid w:val="722C6CAE"/>
    <w:rsid w:val="72553024"/>
    <w:rsid w:val="727E0423"/>
    <w:rsid w:val="73122968"/>
    <w:rsid w:val="731F5D5E"/>
    <w:rsid w:val="734F62F3"/>
    <w:rsid w:val="73C51AD5"/>
    <w:rsid w:val="74015935"/>
    <w:rsid w:val="741E793C"/>
    <w:rsid w:val="745E3944"/>
    <w:rsid w:val="755917FE"/>
    <w:rsid w:val="756F271A"/>
    <w:rsid w:val="7635099D"/>
    <w:rsid w:val="773C186D"/>
    <w:rsid w:val="77762421"/>
    <w:rsid w:val="77B56B1F"/>
    <w:rsid w:val="780F09F4"/>
    <w:rsid w:val="78745A37"/>
    <w:rsid w:val="78A90480"/>
    <w:rsid w:val="79123DCC"/>
    <w:rsid w:val="79303586"/>
    <w:rsid w:val="79320F7E"/>
    <w:rsid w:val="797825B5"/>
    <w:rsid w:val="79AF50FC"/>
    <w:rsid w:val="7A364017"/>
    <w:rsid w:val="7A8265E1"/>
    <w:rsid w:val="7A975DFF"/>
    <w:rsid w:val="7A9C1B19"/>
    <w:rsid w:val="7B1612F9"/>
    <w:rsid w:val="7B686D42"/>
    <w:rsid w:val="7B841746"/>
    <w:rsid w:val="7C6C5AC7"/>
    <w:rsid w:val="7CC6544B"/>
    <w:rsid w:val="7CD85F7A"/>
    <w:rsid w:val="7CF01621"/>
    <w:rsid w:val="7D0239FF"/>
    <w:rsid w:val="7D1E2FAA"/>
    <w:rsid w:val="7D5E40CD"/>
    <w:rsid w:val="7DC40BCC"/>
    <w:rsid w:val="7DCD56F2"/>
    <w:rsid w:val="7DFA6342"/>
    <w:rsid w:val="7F001CE7"/>
    <w:rsid w:val="7FE47E50"/>
    <w:rsid w:val="F5D9899E"/>
    <w:rsid w:val="FB7ED3E6"/>
    <w:rsid w:val="FFFDB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semiHidden="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99" w:semiHidden="0" w:name="Body Text First Indent" w:locked="1"/>
    <w:lsdException w:qFormat="1" w:unhideWhenUsed="0" w:uiPriority="99"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7">
    <w:name w:val="heading 2"/>
    <w:basedOn w:val="1"/>
    <w:next w:val="1"/>
    <w:unhideWhenUsed/>
    <w:qFormat/>
    <w:locked/>
    <w:uiPriority w:val="0"/>
    <w:pPr>
      <w:spacing w:beforeAutospacing="1" w:afterAutospacing="1"/>
      <w:jc w:val="left"/>
      <w:outlineLvl w:val="1"/>
    </w:pPr>
    <w:rPr>
      <w:rFonts w:hint="eastAsia" w:ascii="宋体" w:hAnsi="宋体"/>
      <w:b/>
      <w:bCs/>
      <w:kern w:val="0"/>
      <w:sz w:val="36"/>
      <w:szCs w:val="36"/>
    </w:rPr>
  </w:style>
  <w:style w:type="paragraph" w:styleId="8">
    <w:name w:val="heading 3"/>
    <w:basedOn w:val="1"/>
    <w:next w:val="1"/>
    <w:unhideWhenUsed/>
    <w:qFormat/>
    <w:locked/>
    <w:uiPriority w:val="0"/>
    <w:pPr>
      <w:spacing w:beforeAutospacing="1" w:afterAutospacing="1"/>
      <w:jc w:val="left"/>
      <w:outlineLvl w:val="2"/>
    </w:pPr>
    <w:rPr>
      <w:rFonts w:hint="eastAsia" w:ascii="宋体" w:hAnsi="宋体"/>
      <w:b/>
      <w:bCs/>
      <w:kern w:val="0"/>
      <w:sz w:val="27"/>
      <w:szCs w:val="27"/>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locked/>
    <w:uiPriority w:val="99"/>
    <w:pPr>
      <w:ind w:firstLine="420" w:firstLineChars="200"/>
    </w:pPr>
    <w:rPr>
      <w:sz w:val="21"/>
      <w:szCs w:val="24"/>
    </w:rPr>
  </w:style>
  <w:style w:type="paragraph" w:styleId="3">
    <w:name w:val="Body Text Indent"/>
    <w:basedOn w:val="1"/>
    <w:next w:val="4"/>
    <w:link w:val="70"/>
    <w:qFormat/>
    <w:uiPriority w:val="0"/>
    <w:pPr>
      <w:spacing w:after="120"/>
      <w:ind w:left="420" w:leftChars="200"/>
    </w:pPr>
    <w:rPr>
      <w:kern w:val="0"/>
      <w:sz w:val="24"/>
      <w:szCs w:val="20"/>
    </w:rPr>
  </w:style>
  <w:style w:type="paragraph" w:customStyle="1" w:styleId="4">
    <w:name w:val="样式 正文文本缩进 + 行距: 1.5 倍行距"/>
    <w:basedOn w:val="5"/>
    <w:next w:val="1"/>
    <w:qFormat/>
    <w:uiPriority w:val="0"/>
    <w:pPr>
      <w:spacing w:line="360" w:lineRule="auto"/>
      <w:ind w:left="90" w:leftChars="32" w:firstLine="560" w:firstLineChars="200"/>
    </w:pPr>
    <w:rPr>
      <w:rFonts w:cs="宋体"/>
    </w:rPr>
  </w:style>
  <w:style w:type="paragraph" w:customStyle="1" w:styleId="5">
    <w:name w:val="Body Text Indent"/>
    <w:basedOn w:val="1"/>
    <w:next w:val="4"/>
    <w:qFormat/>
    <w:uiPriority w:val="0"/>
    <w:pPr>
      <w:spacing w:after="120" w:afterLines="0"/>
      <w:ind w:left="420" w:leftChars="200"/>
    </w:pPr>
    <w:rPr>
      <w:rFonts w:ascii="Times New Roman" w:hAnsi="Times New Roman" w:eastAsia="宋体"/>
      <w:sz w:val="24"/>
    </w:rPr>
  </w:style>
  <w:style w:type="paragraph" w:styleId="9">
    <w:name w:val="Normal Indent"/>
    <w:basedOn w:val="1"/>
    <w:next w:val="2"/>
    <w:link w:val="94"/>
    <w:qFormat/>
    <w:locked/>
    <w:uiPriority w:val="0"/>
    <w:pPr>
      <w:ind w:firstLine="200" w:firstLineChars="200"/>
    </w:pPr>
    <w:rPr>
      <w:sz w:val="28"/>
    </w:rPr>
  </w:style>
  <w:style w:type="paragraph" w:styleId="10">
    <w:name w:val="caption"/>
    <w:basedOn w:val="1"/>
    <w:next w:val="1"/>
    <w:unhideWhenUsed/>
    <w:qFormat/>
    <w:locked/>
    <w:uiPriority w:val="0"/>
    <w:rPr>
      <w:rFonts w:ascii="Cambria" w:hAnsi="Cambria" w:eastAsia="黑体"/>
      <w:sz w:val="20"/>
    </w:rPr>
  </w:style>
  <w:style w:type="paragraph" w:styleId="11">
    <w:name w:val="annotation text"/>
    <w:basedOn w:val="1"/>
    <w:link w:val="78"/>
    <w:semiHidden/>
    <w:qFormat/>
    <w:uiPriority w:val="0"/>
    <w:pPr>
      <w:jc w:val="left"/>
    </w:pPr>
    <w:rPr>
      <w:kern w:val="0"/>
      <w:sz w:val="24"/>
      <w:szCs w:val="20"/>
    </w:rPr>
  </w:style>
  <w:style w:type="paragraph" w:styleId="12">
    <w:name w:val="Body Text"/>
    <w:basedOn w:val="1"/>
    <w:next w:val="13"/>
    <w:link w:val="81"/>
    <w:qFormat/>
    <w:uiPriority w:val="0"/>
    <w:pPr>
      <w:widowControl/>
      <w:snapToGrid w:val="0"/>
      <w:spacing w:before="60" w:after="160" w:line="259" w:lineRule="auto"/>
      <w:ind w:right="113"/>
    </w:pPr>
    <w:rPr>
      <w:kern w:val="0"/>
      <w:sz w:val="18"/>
      <w:szCs w:val="20"/>
    </w:rPr>
  </w:style>
  <w:style w:type="paragraph" w:styleId="13">
    <w:name w:val="List Bullet 5"/>
    <w:basedOn w:val="1"/>
    <w:qFormat/>
    <w:locked/>
    <w:uiPriority w:val="0"/>
    <w:pPr>
      <w:numPr>
        <w:ilvl w:val="0"/>
        <w:numId w:val="1"/>
      </w:numPr>
    </w:pPr>
  </w:style>
  <w:style w:type="paragraph" w:styleId="14">
    <w:name w:val="Plain Text"/>
    <w:basedOn w:val="1"/>
    <w:qFormat/>
    <w:locked/>
    <w:uiPriority w:val="0"/>
    <w:rPr>
      <w:rFonts w:ascii="宋体" w:hAnsi="Courier New"/>
      <w:sz w:val="20"/>
    </w:rPr>
  </w:style>
  <w:style w:type="paragraph" w:styleId="15">
    <w:name w:val="Date"/>
    <w:basedOn w:val="1"/>
    <w:next w:val="1"/>
    <w:link w:val="74"/>
    <w:qFormat/>
    <w:uiPriority w:val="0"/>
    <w:pPr>
      <w:ind w:left="100" w:leftChars="2500"/>
    </w:pPr>
    <w:rPr>
      <w:kern w:val="0"/>
      <w:sz w:val="24"/>
      <w:szCs w:val="20"/>
    </w:rPr>
  </w:style>
  <w:style w:type="paragraph" w:styleId="16">
    <w:name w:val="Body Text Indent 2"/>
    <w:basedOn w:val="1"/>
    <w:qFormat/>
    <w:locked/>
    <w:uiPriority w:val="0"/>
    <w:pPr>
      <w:spacing w:line="360" w:lineRule="auto"/>
      <w:ind w:firstLine="480" w:firstLineChars="200"/>
    </w:pPr>
    <w:rPr>
      <w:b/>
      <w:bCs/>
      <w:sz w:val="24"/>
    </w:rPr>
  </w:style>
  <w:style w:type="paragraph" w:styleId="17">
    <w:name w:val="Balloon Text"/>
    <w:basedOn w:val="1"/>
    <w:link w:val="75"/>
    <w:semiHidden/>
    <w:qFormat/>
    <w:uiPriority w:val="0"/>
    <w:rPr>
      <w:kern w:val="0"/>
      <w:sz w:val="18"/>
      <w:szCs w:val="20"/>
    </w:rPr>
  </w:style>
  <w:style w:type="paragraph" w:styleId="18">
    <w:name w:val="footer"/>
    <w:basedOn w:val="1"/>
    <w:next w:val="1"/>
    <w:link w:val="69"/>
    <w:qFormat/>
    <w:uiPriority w:val="99"/>
    <w:pPr>
      <w:tabs>
        <w:tab w:val="center" w:pos="4153"/>
        <w:tab w:val="right" w:pos="8306"/>
      </w:tabs>
      <w:snapToGrid w:val="0"/>
      <w:jc w:val="left"/>
    </w:pPr>
    <w:rPr>
      <w:kern w:val="0"/>
      <w:sz w:val="18"/>
      <w:szCs w:val="20"/>
    </w:rPr>
  </w:style>
  <w:style w:type="paragraph" w:styleId="19">
    <w:name w:val="header"/>
    <w:basedOn w:val="1"/>
    <w:next w:val="20"/>
    <w:link w:val="82"/>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20">
    <w:name w:val="样式5"/>
    <w:basedOn w:val="21"/>
    <w:qFormat/>
    <w:uiPriority w:val="0"/>
    <w:pPr>
      <w:spacing w:before="62" w:beforeLines="20" w:after="62" w:afterLines="20" w:line="480" w:lineRule="exact"/>
      <w:ind w:firstLine="523" w:firstLineChars="218"/>
    </w:pPr>
    <w:rPr>
      <w:i/>
      <w:iCs/>
      <w:sz w:val="24"/>
    </w:rPr>
  </w:style>
  <w:style w:type="paragraph" w:customStyle="1" w:styleId="21">
    <w:name w:val="正文1"/>
    <w:next w:val="1"/>
    <w:qFormat/>
    <w:uiPriority w:val="99"/>
    <w:pPr>
      <w:widowControl w:val="0"/>
      <w:suppressAutoHyphens/>
      <w:spacing w:line="520" w:lineRule="atLeast"/>
      <w:ind w:firstLine="680"/>
      <w:jc w:val="both"/>
    </w:pPr>
    <w:rPr>
      <w:rFonts w:ascii="Times New Roman" w:hAnsi="Times New Roman" w:eastAsia="方正楷体简体" w:cs="Times New Roman"/>
      <w:spacing w:val="18"/>
      <w:sz w:val="32"/>
      <w:lang w:val="en-US" w:eastAsia="zh-CN" w:bidi="ar-SA"/>
    </w:rPr>
  </w:style>
  <w:style w:type="paragraph" w:styleId="22">
    <w:name w:val="List"/>
    <w:basedOn w:val="1"/>
    <w:next w:val="12"/>
    <w:qFormat/>
    <w:locked/>
    <w:uiPriority w:val="0"/>
    <w:pPr>
      <w:ind w:left="200" w:hanging="200" w:hangingChars="200"/>
    </w:pPr>
  </w:style>
  <w:style w:type="paragraph" w:styleId="23">
    <w:name w:val="Normal (Web)"/>
    <w:basedOn w:val="1"/>
    <w:link w:val="79"/>
    <w:qFormat/>
    <w:uiPriority w:val="0"/>
    <w:pPr>
      <w:widowControl/>
      <w:spacing w:before="100" w:beforeAutospacing="1" w:after="100" w:afterAutospacing="1"/>
      <w:jc w:val="left"/>
    </w:pPr>
    <w:rPr>
      <w:rFonts w:ascii="宋体" w:hAnsi="宋体"/>
      <w:kern w:val="0"/>
      <w:sz w:val="24"/>
      <w:szCs w:val="20"/>
    </w:rPr>
  </w:style>
  <w:style w:type="paragraph" w:styleId="24">
    <w:name w:val="annotation subject"/>
    <w:basedOn w:val="11"/>
    <w:next w:val="11"/>
    <w:link w:val="72"/>
    <w:semiHidden/>
    <w:qFormat/>
    <w:uiPriority w:val="0"/>
    <w:rPr>
      <w:b/>
    </w:rPr>
  </w:style>
  <w:style w:type="paragraph" w:styleId="25">
    <w:name w:val="Body Text First Indent"/>
    <w:basedOn w:val="1"/>
    <w:next w:val="2"/>
    <w:qFormat/>
    <w:locked/>
    <w:uiPriority w:val="99"/>
    <w:pPr>
      <w:spacing w:after="120"/>
      <w:ind w:firstLine="420" w:firstLineChars="100"/>
    </w:p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locked/>
    <w:uiPriority w:val="0"/>
    <w:rPr>
      <w:b/>
      <w:bCs/>
    </w:rPr>
  </w:style>
  <w:style w:type="character" w:styleId="30">
    <w:name w:val="page number"/>
    <w:basedOn w:val="28"/>
    <w:qFormat/>
    <w:locked/>
    <w:uiPriority w:val="0"/>
  </w:style>
  <w:style w:type="character" w:styleId="31">
    <w:name w:val="FollowedHyperlink"/>
    <w:basedOn w:val="28"/>
    <w:qFormat/>
    <w:locked/>
    <w:uiPriority w:val="0"/>
    <w:rPr>
      <w:color w:val="800080"/>
      <w:u w:val="none"/>
    </w:rPr>
  </w:style>
  <w:style w:type="character" w:styleId="32">
    <w:name w:val="Emphasis"/>
    <w:basedOn w:val="28"/>
    <w:qFormat/>
    <w:locked/>
    <w:uiPriority w:val="0"/>
    <w:rPr>
      <w:i/>
    </w:rPr>
  </w:style>
  <w:style w:type="character" w:styleId="33">
    <w:name w:val="Hyperlink"/>
    <w:basedOn w:val="28"/>
    <w:qFormat/>
    <w:locked/>
    <w:uiPriority w:val="0"/>
    <w:rPr>
      <w:color w:val="0000FF"/>
      <w:u w:val="single"/>
    </w:rPr>
  </w:style>
  <w:style w:type="character" w:styleId="34">
    <w:name w:val="annotation reference"/>
    <w:semiHidden/>
    <w:qFormat/>
    <w:uiPriority w:val="0"/>
    <w:rPr>
      <w:sz w:val="21"/>
    </w:rPr>
  </w:style>
  <w:style w:type="paragraph" w:customStyle="1" w:styleId="35">
    <w:name w:val="正文文本缩进1"/>
    <w:basedOn w:val="1"/>
    <w:next w:val="4"/>
    <w:qFormat/>
    <w:uiPriority w:val="0"/>
    <w:pPr>
      <w:spacing w:after="120"/>
      <w:ind w:left="420" w:leftChars="200"/>
    </w:pPr>
    <w:rPr>
      <w:sz w:val="24"/>
    </w:rPr>
  </w:style>
  <w:style w:type="paragraph" w:customStyle="1" w:styleId="36">
    <w:name w:val="正文缩进1"/>
    <w:basedOn w:val="1"/>
    <w:qFormat/>
    <w:uiPriority w:val="0"/>
    <w:pPr>
      <w:ind w:firstLine="420" w:firstLineChars="200"/>
    </w:pPr>
  </w:style>
  <w:style w:type="paragraph" w:customStyle="1" w:styleId="37">
    <w:name w:val="样式 标题 1一级标题 + 段前: 0.5 行 段后: 0.5 行"/>
    <w:basedOn w:val="6"/>
    <w:qFormat/>
    <w:uiPriority w:val="99"/>
    <w:pPr>
      <w:spacing w:line="320" w:lineRule="exact"/>
      <w:outlineLvl w:val="9"/>
    </w:pPr>
    <w:rPr>
      <w:spacing w:val="-6"/>
      <w:sz w:val="21"/>
      <w:szCs w:val="21"/>
    </w:rPr>
  </w:style>
  <w:style w:type="paragraph" w:customStyle="1" w:styleId="38">
    <w:name w:val="表格填充1"/>
    <w:basedOn w:val="14"/>
    <w:qFormat/>
    <w:uiPriority w:val="0"/>
    <w:pPr>
      <w:adjustRightInd w:val="0"/>
      <w:snapToGrid w:val="0"/>
      <w:spacing w:line="400" w:lineRule="exact"/>
      <w:jc w:val="center"/>
    </w:pPr>
    <w:rPr>
      <w:snapToGrid w:val="0"/>
      <w:kern w:val="0"/>
      <w:szCs w:val="18"/>
    </w:rPr>
  </w:style>
  <w:style w:type="paragraph" w:customStyle="1" w:styleId="39">
    <w:name w:val="真·表头"/>
    <w:basedOn w:val="1"/>
    <w:qFormat/>
    <w:uiPriority w:val="0"/>
    <w:pPr>
      <w:adjustRightInd w:val="0"/>
      <w:snapToGrid w:val="0"/>
      <w:spacing w:beforeLines="50" w:line="360" w:lineRule="auto"/>
      <w:jc w:val="center"/>
    </w:pPr>
    <w:rPr>
      <w:rFonts w:ascii="Calibri" w:hAnsi="Calibri" w:eastAsia="黑体"/>
      <w:sz w:val="24"/>
      <w:szCs w:val="30"/>
    </w:rPr>
  </w:style>
  <w:style w:type="paragraph" w:customStyle="1" w:styleId="40">
    <w:name w:val="Default"/>
    <w:basedOn w:val="41"/>
    <w:qFormat/>
    <w:uiPriority w:val="0"/>
    <w:pPr>
      <w:autoSpaceDE w:val="0"/>
      <w:autoSpaceDN w:val="0"/>
      <w:adjustRightInd w:val="0"/>
    </w:pPr>
    <w:rPr>
      <w:rFonts w:ascii="宋体" w:eastAsia="宋体" w:cs="宋体"/>
      <w:color w:val="000000"/>
      <w:sz w:val="24"/>
    </w:rPr>
  </w:style>
  <w:style w:type="paragraph" w:customStyle="1" w:styleId="41">
    <w:name w:val="标题 段落4级"/>
    <w:basedOn w:val="42"/>
    <w:qFormat/>
    <w:uiPriority w:val="0"/>
    <w:pPr>
      <w:outlineLvl w:val="3"/>
    </w:pPr>
    <w:rPr>
      <w:rFonts w:cs="Calibri"/>
      <w:b/>
      <w:kern w:val="2"/>
    </w:rPr>
  </w:style>
  <w:style w:type="paragraph" w:customStyle="1" w:styleId="42">
    <w:name w:val="正文 文本"/>
    <w:qFormat/>
    <w:uiPriority w:val="0"/>
    <w:pPr>
      <w:widowControl w:val="0"/>
      <w:spacing w:line="500" w:lineRule="exact"/>
      <w:ind w:firstLine="200" w:firstLineChars="200"/>
      <w:jc w:val="both"/>
    </w:pPr>
    <w:rPr>
      <w:rFonts w:ascii="Times New Roman" w:hAnsi="Times New Roman" w:eastAsia="仿宋_GB2312" w:cs="Times New Roman"/>
      <w:sz w:val="28"/>
      <w:szCs w:val="24"/>
      <w:lang w:val="en-US" w:eastAsia="zh-CN" w:bidi="ar-SA"/>
    </w:rPr>
  </w:style>
  <w:style w:type="paragraph" w:customStyle="1" w:styleId="43">
    <w:name w:val="表格"/>
    <w:basedOn w:val="1"/>
    <w:next w:val="1"/>
    <w:link w:val="71"/>
    <w:qFormat/>
    <w:uiPriority w:val="0"/>
    <w:pPr>
      <w:adjustRightInd w:val="0"/>
      <w:snapToGrid w:val="0"/>
      <w:spacing w:beforeLines="10" w:afterLines="10" w:line="259" w:lineRule="auto"/>
      <w:jc w:val="center"/>
    </w:pPr>
    <w:rPr>
      <w:rFonts w:ascii="宋体"/>
      <w:kern w:val="0"/>
      <w:szCs w:val="20"/>
    </w:rPr>
  </w:style>
  <w:style w:type="paragraph" w:customStyle="1" w:styleId="44">
    <w:name w:val="报告正文"/>
    <w:basedOn w:val="1"/>
    <w:qFormat/>
    <w:uiPriority w:val="0"/>
    <w:pPr>
      <w:adjustRightInd w:val="0"/>
      <w:snapToGrid w:val="0"/>
      <w:spacing w:line="360" w:lineRule="auto"/>
      <w:ind w:firstLine="200" w:firstLineChars="200"/>
    </w:pPr>
    <w:rPr>
      <w:sz w:val="24"/>
    </w:rPr>
  </w:style>
  <w:style w:type="paragraph" w:customStyle="1" w:styleId="45">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46">
    <w:name w:val="p0"/>
    <w:basedOn w:val="1"/>
    <w:qFormat/>
    <w:uiPriority w:val="0"/>
    <w:pPr>
      <w:widowControl/>
    </w:pPr>
    <w:rPr>
      <w:kern w:val="0"/>
      <w:szCs w:val="21"/>
    </w:rPr>
  </w:style>
  <w:style w:type="paragraph" w:customStyle="1" w:styleId="47">
    <w:name w:val="新格式表"/>
    <w:basedOn w:val="1"/>
    <w:qFormat/>
    <w:uiPriority w:val="0"/>
    <w:pPr>
      <w:adjustRightInd w:val="0"/>
      <w:snapToGrid w:val="0"/>
      <w:spacing w:line="0" w:lineRule="atLeast"/>
      <w:jc w:val="center"/>
    </w:pPr>
    <w:rPr>
      <w:color w:val="000000"/>
      <w:kern w:val="0"/>
      <w:szCs w:val="30"/>
    </w:rPr>
  </w:style>
  <w:style w:type="paragraph" w:customStyle="1" w:styleId="48">
    <w:name w:val="列出段落1"/>
    <w:basedOn w:val="1"/>
    <w:qFormat/>
    <w:uiPriority w:val="0"/>
    <w:pPr>
      <w:ind w:firstLine="420"/>
    </w:pPr>
  </w:style>
  <w:style w:type="paragraph" w:customStyle="1" w:styleId="49">
    <w:name w:val="页末正文"/>
    <w:basedOn w:val="1"/>
    <w:qFormat/>
    <w:uiPriority w:val="0"/>
    <w:pPr>
      <w:spacing w:after="240" w:line="480" w:lineRule="exact"/>
      <w:ind w:firstLine="560" w:firstLineChars="200"/>
    </w:pPr>
    <w:rPr>
      <w:rFonts w:eastAsia="楷体_GB2312"/>
      <w:color w:val="000000"/>
      <w:sz w:val="28"/>
    </w:rPr>
  </w:style>
  <w:style w:type="paragraph" w:customStyle="1" w:styleId="50">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报告表格"/>
    <w:basedOn w:val="1"/>
    <w:qFormat/>
    <w:uiPriority w:val="0"/>
    <w:pPr>
      <w:autoSpaceDE w:val="0"/>
      <w:autoSpaceDN w:val="0"/>
      <w:adjustRightInd w:val="0"/>
      <w:spacing w:before="40" w:after="40"/>
      <w:jc w:val="center"/>
      <w:textAlignment w:val="bottom"/>
    </w:pPr>
    <w:rPr>
      <w:kern w:val="0"/>
      <w:szCs w:val="20"/>
    </w:rPr>
  </w:style>
  <w:style w:type="paragraph" w:customStyle="1" w:styleId="52">
    <w:name w:val="Body Text Indent1"/>
    <w:basedOn w:val="1"/>
    <w:next w:val="53"/>
    <w:qFormat/>
    <w:uiPriority w:val="0"/>
    <w:pPr>
      <w:ind w:firstLine="480" w:firstLineChars="200"/>
    </w:pPr>
    <w:rPr>
      <w:sz w:val="24"/>
    </w:rPr>
  </w:style>
  <w:style w:type="paragraph" w:customStyle="1" w:styleId="53">
    <w:name w:val="Body Text First Indent1"/>
    <w:basedOn w:val="12"/>
    <w:qFormat/>
    <w:uiPriority w:val="0"/>
    <w:pPr>
      <w:spacing w:after="120"/>
      <w:ind w:firstLine="420" w:firstLineChars="100"/>
    </w:pPr>
    <w:rPr>
      <w:sz w:val="21"/>
    </w:rPr>
  </w:style>
  <w:style w:type="paragraph" w:customStyle="1" w:styleId="54">
    <w:name w:val="样式 小四 首行缩进:  1.01 厘米 行距: 1.5 倍行距"/>
    <w:basedOn w:val="1"/>
    <w:qFormat/>
    <w:uiPriority w:val="0"/>
    <w:pPr>
      <w:adjustRightInd w:val="0"/>
      <w:snapToGrid w:val="0"/>
      <w:spacing w:line="360" w:lineRule="auto"/>
      <w:ind w:firstLine="200" w:firstLineChars="200"/>
    </w:pPr>
    <w:rPr>
      <w:snapToGrid w:val="0"/>
      <w:kern w:val="24"/>
      <w:sz w:val="24"/>
    </w:rPr>
  </w:style>
  <w:style w:type="paragraph" w:customStyle="1" w:styleId="55">
    <w:name w:val="表格 普通文字"/>
    <w:basedOn w:val="42"/>
    <w:qFormat/>
    <w:uiPriority w:val="0"/>
    <w:pPr>
      <w:jc w:val="center"/>
    </w:pPr>
    <w:rPr>
      <w:rFonts w:ascii="Calibri" w:hAnsi="Calibri"/>
      <w:sz w:val="21"/>
    </w:rPr>
  </w:style>
  <w:style w:type="paragraph" w:customStyle="1" w:styleId="56">
    <w:name w:val="表格标题"/>
    <w:basedOn w:val="22"/>
    <w:qFormat/>
    <w:uiPriority w:val="0"/>
    <w:pPr>
      <w:spacing w:line="360" w:lineRule="auto"/>
      <w:jc w:val="center"/>
    </w:pPr>
    <w:rPr>
      <w:b/>
      <w:snapToGrid w:val="0"/>
      <w:sz w:val="24"/>
      <w:szCs w:val="21"/>
    </w:rPr>
  </w:style>
  <w:style w:type="paragraph" w:customStyle="1" w:styleId="57">
    <w:name w:val="正文文字 3"/>
    <w:basedOn w:val="1"/>
    <w:semiHidden/>
    <w:qFormat/>
    <w:uiPriority w:val="0"/>
    <w:pPr>
      <w:spacing w:line="280" w:lineRule="exact"/>
      <w:jc w:val="center"/>
    </w:pPr>
    <w:rPr>
      <w:rFonts w:ascii="仿宋_GB2312" w:hAnsi="Arial Black" w:eastAsia="仿宋_GB2312" w:cs="仿宋_GB2312"/>
      <w:szCs w:val="21"/>
    </w:rPr>
  </w:style>
  <w:style w:type="paragraph" w:customStyle="1" w:styleId="58">
    <w:name w:val="标题2"/>
    <w:basedOn w:val="1"/>
    <w:next w:val="1"/>
    <w:qFormat/>
    <w:uiPriority w:val="0"/>
    <w:pPr>
      <w:autoSpaceDE w:val="0"/>
      <w:autoSpaceDN w:val="0"/>
      <w:snapToGrid w:val="0"/>
      <w:spacing w:line="590" w:lineRule="atLeast"/>
      <w:jc w:val="center"/>
    </w:pPr>
    <w:rPr>
      <w:rFonts w:eastAsia="方正楷体_GBK"/>
      <w:snapToGrid w:val="0"/>
      <w:kern w:val="0"/>
      <w:sz w:val="32"/>
    </w:rPr>
  </w:style>
  <w:style w:type="paragraph" w:customStyle="1" w:styleId="59">
    <w:name w:val="表格内文字格式"/>
    <w:basedOn w:val="1"/>
    <w:next w:val="1"/>
    <w:qFormat/>
    <w:uiPriority w:val="0"/>
    <w:pPr>
      <w:spacing w:line="360" w:lineRule="auto"/>
      <w:ind w:right="-49" w:rightChars="-26" w:firstLine="436" w:firstLineChars="200"/>
      <w:jc w:val="left"/>
    </w:pPr>
    <w:rPr>
      <w:rFonts w:ascii="Arial" w:hAnsi="Arial" w:cs="Arial"/>
      <w:bCs/>
      <w:kern w:val="10"/>
      <w:sz w:val="24"/>
      <w:szCs w:val="21"/>
    </w:rPr>
  </w:style>
  <w:style w:type="paragraph" w:customStyle="1" w:styleId="60">
    <w:name w:val="表格/图表标题"/>
    <w:basedOn w:val="1"/>
    <w:next w:val="1"/>
    <w:qFormat/>
    <w:uiPriority w:val="0"/>
    <w:pPr>
      <w:spacing w:beforeLines="50"/>
      <w:jc w:val="center"/>
    </w:pPr>
    <w:rPr>
      <w:b/>
      <w:bCs/>
      <w:kern w:val="0"/>
    </w:rPr>
  </w:style>
  <w:style w:type="paragraph" w:customStyle="1" w:styleId="61">
    <w:name w:val="111"/>
    <w:basedOn w:val="1"/>
    <w:qFormat/>
    <w:uiPriority w:val="99"/>
    <w:pPr>
      <w:widowControl/>
      <w:spacing w:before="100" w:beforeAutospacing="1" w:after="100" w:afterAutospacing="1"/>
      <w:jc w:val="left"/>
    </w:pPr>
    <w:rPr>
      <w:rFonts w:ascii="宋体" w:hAnsi="宋体" w:cs="宋体"/>
      <w:kern w:val="0"/>
      <w:sz w:val="24"/>
    </w:rPr>
  </w:style>
  <w:style w:type="paragraph" w:customStyle="1" w:styleId="62">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63">
    <w:name w:val="表头图名"/>
    <w:basedOn w:val="1"/>
    <w:qFormat/>
    <w:uiPriority w:val="0"/>
    <w:pPr>
      <w:adjustRightInd w:val="0"/>
      <w:snapToGrid w:val="0"/>
      <w:spacing w:line="240" w:lineRule="atLeast"/>
      <w:jc w:val="center"/>
    </w:pPr>
    <w:rPr>
      <w:b/>
      <w:spacing w:val="10"/>
      <w:sz w:val="24"/>
      <w:szCs w:val="28"/>
    </w:rPr>
  </w:style>
  <w:style w:type="paragraph" w:customStyle="1" w:styleId="64">
    <w:name w:val="xl27"/>
    <w:basedOn w:val="1"/>
    <w:qFormat/>
    <w:uiPriority w:val="0"/>
    <w:pPr>
      <w:widowControl/>
      <w:pBdr>
        <w:bottom w:val="single" w:color="auto" w:sz="12" w:space="0"/>
      </w:pBdr>
      <w:spacing w:before="100" w:after="100"/>
      <w:jc w:val="center"/>
    </w:pPr>
    <w:rPr>
      <w:rFonts w:ascii="宋体" w:hAnsi="宋体"/>
      <w:kern w:val="0"/>
    </w:rPr>
  </w:style>
  <w:style w:type="paragraph" w:customStyle="1" w:styleId="65">
    <w:name w:val="Body Text First Indent 21"/>
    <w:basedOn w:val="52"/>
    <w:next w:val="40"/>
    <w:qFormat/>
    <w:uiPriority w:val="0"/>
    <w:pPr>
      <w:tabs>
        <w:tab w:val="left" w:pos="6615"/>
      </w:tabs>
      <w:ind w:firstLine="200"/>
    </w:pPr>
  </w:style>
  <w:style w:type="paragraph" w:customStyle="1" w:styleId="66">
    <w:name w:val="1正文"/>
    <w:basedOn w:val="1"/>
    <w:qFormat/>
    <w:uiPriority w:val="0"/>
    <w:pPr>
      <w:spacing w:line="360" w:lineRule="auto"/>
      <w:ind w:firstLine="200" w:firstLineChars="200"/>
    </w:pPr>
    <w:rPr>
      <w:kern w:val="0"/>
      <w:sz w:val="24"/>
    </w:rPr>
  </w:style>
  <w:style w:type="paragraph" w:customStyle="1" w:styleId="67">
    <w:name w:val="表格内容1"/>
    <w:basedOn w:val="42"/>
    <w:qFormat/>
    <w:uiPriority w:val="0"/>
    <w:pPr>
      <w:jc w:val="center"/>
    </w:pPr>
    <w:rPr>
      <w:rFonts w:eastAsia="宋体"/>
      <w:kern w:val="2"/>
      <w:sz w:val="21"/>
      <w:szCs w:val="21"/>
    </w:rPr>
  </w:style>
  <w:style w:type="paragraph" w:customStyle="1" w:styleId="68">
    <w:name w:val="样式2"/>
    <w:basedOn w:val="1"/>
    <w:qFormat/>
    <w:uiPriority w:val="0"/>
    <w:pPr>
      <w:adjustRightInd w:val="0"/>
      <w:spacing w:line="410" w:lineRule="atLeast"/>
      <w:jc w:val="left"/>
      <w:textAlignment w:val="baseline"/>
    </w:pPr>
    <w:rPr>
      <w:kern w:val="0"/>
      <w:sz w:val="24"/>
      <w:szCs w:val="20"/>
    </w:rPr>
  </w:style>
  <w:style w:type="character" w:customStyle="1" w:styleId="69">
    <w:name w:val="页脚 Char"/>
    <w:link w:val="18"/>
    <w:qFormat/>
    <w:locked/>
    <w:uiPriority w:val="99"/>
    <w:rPr>
      <w:sz w:val="18"/>
    </w:rPr>
  </w:style>
  <w:style w:type="character" w:customStyle="1" w:styleId="70">
    <w:name w:val="正文文本缩进 Char"/>
    <w:link w:val="3"/>
    <w:semiHidden/>
    <w:qFormat/>
    <w:locked/>
    <w:uiPriority w:val="0"/>
    <w:rPr>
      <w:rFonts w:ascii="Times New Roman" w:hAnsi="Times New Roman" w:eastAsia="宋体"/>
      <w:sz w:val="24"/>
    </w:rPr>
  </w:style>
  <w:style w:type="character" w:customStyle="1" w:styleId="71">
    <w:name w:val="表格 Char"/>
    <w:link w:val="43"/>
    <w:qFormat/>
    <w:locked/>
    <w:uiPriority w:val="0"/>
    <w:rPr>
      <w:rFonts w:ascii="宋体"/>
      <w:sz w:val="21"/>
    </w:rPr>
  </w:style>
  <w:style w:type="character" w:customStyle="1" w:styleId="72">
    <w:name w:val="批注主题 Char"/>
    <w:link w:val="24"/>
    <w:semiHidden/>
    <w:qFormat/>
    <w:locked/>
    <w:uiPriority w:val="0"/>
    <w:rPr>
      <w:rFonts w:ascii="Times New Roman" w:hAnsi="Times New Roman" w:eastAsia="宋体"/>
      <w:b/>
      <w:kern w:val="2"/>
      <w:sz w:val="24"/>
    </w:rPr>
  </w:style>
  <w:style w:type="character" w:customStyle="1" w:styleId="73">
    <w:name w:val="正文缩进 字符"/>
    <w:qFormat/>
    <w:uiPriority w:val="0"/>
    <w:rPr>
      <w:sz w:val="28"/>
      <w:szCs w:val="24"/>
    </w:rPr>
  </w:style>
  <w:style w:type="character" w:customStyle="1" w:styleId="74">
    <w:name w:val="日期 Char"/>
    <w:link w:val="15"/>
    <w:qFormat/>
    <w:locked/>
    <w:uiPriority w:val="0"/>
    <w:rPr>
      <w:rFonts w:ascii="Times New Roman" w:hAnsi="Times New Roman" w:eastAsia="宋体"/>
      <w:sz w:val="24"/>
    </w:rPr>
  </w:style>
  <w:style w:type="character" w:customStyle="1" w:styleId="75">
    <w:name w:val="批注框文本 Char"/>
    <w:link w:val="17"/>
    <w:semiHidden/>
    <w:qFormat/>
    <w:locked/>
    <w:uiPriority w:val="0"/>
    <w:rPr>
      <w:rFonts w:ascii="Times New Roman" w:hAnsi="Times New Roman" w:eastAsia="宋体"/>
      <w:sz w:val="18"/>
    </w:rPr>
  </w:style>
  <w:style w:type="character" w:customStyle="1" w:styleId="76">
    <w:name w:val="15"/>
    <w:basedOn w:val="28"/>
    <w:qFormat/>
    <w:uiPriority w:val="0"/>
    <w:rPr>
      <w:rFonts w:hint="default" w:ascii="Times New Roman" w:hAnsi="Times New Roman" w:cs="Times New Roman"/>
    </w:rPr>
  </w:style>
  <w:style w:type="character" w:customStyle="1" w:styleId="77">
    <w:name w:val="10"/>
    <w:basedOn w:val="28"/>
    <w:qFormat/>
    <w:uiPriority w:val="0"/>
    <w:rPr>
      <w:rFonts w:hint="default" w:ascii="Times New Roman" w:hAnsi="Times New Roman" w:cs="Times New Roman"/>
    </w:rPr>
  </w:style>
  <w:style w:type="character" w:customStyle="1" w:styleId="78">
    <w:name w:val="批注文字 Char"/>
    <w:link w:val="11"/>
    <w:qFormat/>
    <w:locked/>
    <w:uiPriority w:val="0"/>
    <w:rPr>
      <w:rFonts w:ascii="Times New Roman" w:hAnsi="Times New Roman" w:eastAsia="宋体"/>
      <w:sz w:val="24"/>
    </w:rPr>
  </w:style>
  <w:style w:type="character" w:customStyle="1" w:styleId="79">
    <w:name w:val="普通(网站) Char"/>
    <w:link w:val="23"/>
    <w:qFormat/>
    <w:locked/>
    <w:uiPriority w:val="0"/>
    <w:rPr>
      <w:rFonts w:ascii="宋体" w:hAnsi="宋体" w:eastAsia="宋体"/>
      <w:sz w:val="24"/>
    </w:rPr>
  </w:style>
  <w:style w:type="character" w:customStyle="1" w:styleId="80">
    <w:name w:val="日期 字符"/>
    <w:semiHidden/>
    <w:qFormat/>
    <w:uiPriority w:val="0"/>
    <w:rPr>
      <w:rFonts w:ascii="Times New Roman" w:hAnsi="Times New Roman" w:eastAsia="宋体"/>
      <w:sz w:val="24"/>
    </w:rPr>
  </w:style>
  <w:style w:type="character" w:customStyle="1" w:styleId="81">
    <w:name w:val="正文文本 Char"/>
    <w:link w:val="12"/>
    <w:qFormat/>
    <w:locked/>
    <w:uiPriority w:val="0"/>
    <w:rPr>
      <w:sz w:val="18"/>
    </w:rPr>
  </w:style>
  <w:style w:type="character" w:customStyle="1" w:styleId="82">
    <w:name w:val="页眉 Char"/>
    <w:link w:val="19"/>
    <w:qFormat/>
    <w:locked/>
    <w:uiPriority w:val="0"/>
    <w:rPr>
      <w:sz w:val="18"/>
    </w:rPr>
  </w:style>
  <w:style w:type="character" w:customStyle="1" w:styleId="83">
    <w:name w:val="批注文字 字符1"/>
    <w:semiHidden/>
    <w:qFormat/>
    <w:uiPriority w:val="0"/>
    <w:rPr>
      <w:rFonts w:ascii="Times New Roman" w:hAnsi="Times New Roman" w:eastAsia="宋体"/>
      <w:sz w:val="24"/>
    </w:rPr>
  </w:style>
  <w:style w:type="character" w:customStyle="1" w:styleId="84">
    <w:name w:val="页脚 字符"/>
    <w:basedOn w:val="28"/>
    <w:qFormat/>
    <w:uiPriority w:val="99"/>
  </w:style>
  <w:style w:type="character" w:customStyle="1" w:styleId="85">
    <w:name w:val="正文文本 字符1"/>
    <w:semiHidden/>
    <w:qFormat/>
    <w:uiPriority w:val="0"/>
    <w:rPr>
      <w:rFonts w:ascii="Times New Roman" w:hAnsi="Times New Roman" w:eastAsia="宋体"/>
      <w:sz w:val="24"/>
    </w:rPr>
  </w:style>
  <w:style w:type="character" w:customStyle="1" w:styleId="86">
    <w:name w:val="font01"/>
    <w:basedOn w:val="28"/>
    <w:qFormat/>
    <w:uiPriority w:val="0"/>
    <w:rPr>
      <w:rFonts w:hint="eastAsia" w:ascii="宋体" w:hAnsi="宋体" w:eastAsia="宋体" w:cs="宋体"/>
      <w:color w:val="000000"/>
      <w:sz w:val="22"/>
      <w:szCs w:val="22"/>
      <w:u w:val="none"/>
    </w:rPr>
  </w:style>
  <w:style w:type="character" w:customStyle="1" w:styleId="87">
    <w:name w:val="font21"/>
    <w:qFormat/>
    <w:uiPriority w:val="0"/>
    <w:rPr>
      <w:rFonts w:hint="eastAsia" w:ascii="宋体" w:hAnsi="宋体" w:eastAsia="宋体" w:cs="宋体"/>
      <w:color w:val="000000"/>
      <w:kern w:val="0"/>
      <w:sz w:val="21"/>
      <w:szCs w:val="21"/>
      <w:u w:val="none"/>
    </w:rPr>
  </w:style>
  <w:style w:type="paragraph" w:customStyle="1" w:styleId="88">
    <w:name w:val="表格文字1.0"/>
    <w:basedOn w:val="1"/>
    <w:qFormat/>
    <w:uiPriority w:val="0"/>
    <w:pPr>
      <w:adjustRightInd w:val="0"/>
      <w:snapToGrid w:val="0"/>
      <w:jc w:val="center"/>
    </w:pPr>
    <w:rPr>
      <w:kern w:val="0"/>
    </w:rPr>
  </w:style>
  <w:style w:type="paragraph" w:customStyle="1" w:styleId="89">
    <w:name w:val="格正文"/>
    <w:basedOn w:val="1"/>
    <w:qFormat/>
    <w:uiPriority w:val="0"/>
    <w:pPr>
      <w:adjustRightInd w:val="0"/>
      <w:snapToGrid w:val="0"/>
      <w:jc w:val="center"/>
    </w:pPr>
    <w:rPr>
      <w:color w:val="000000"/>
      <w:szCs w:val="21"/>
    </w:rPr>
  </w:style>
  <w:style w:type="paragraph" w:customStyle="1" w:styleId="90">
    <w:name w:val="Table Paragraph"/>
    <w:basedOn w:val="1"/>
    <w:qFormat/>
    <w:uiPriority w:val="1"/>
    <w:pPr>
      <w:jc w:val="center"/>
    </w:pPr>
    <w:rPr>
      <w:rFonts w:ascii="宋体" w:hAnsi="宋体" w:cs="宋体"/>
      <w:lang w:val="zh-CN" w:bidi="zh-CN"/>
    </w:rPr>
  </w:style>
  <w:style w:type="paragraph" w:customStyle="1" w:styleId="91">
    <w:name w:val="谏壁正文chen"/>
    <w:basedOn w:val="1"/>
    <w:qFormat/>
    <w:uiPriority w:val="0"/>
    <w:pPr>
      <w:spacing w:line="360" w:lineRule="auto"/>
      <w:ind w:firstLine="200" w:firstLineChars="200"/>
    </w:pPr>
    <w:rPr>
      <w:sz w:val="24"/>
    </w:rPr>
  </w:style>
  <w:style w:type="paragraph" w:customStyle="1" w:styleId="92">
    <w:name w:val="正文 首行缩进:  2 字符"/>
    <w:basedOn w:val="1"/>
    <w:qFormat/>
    <w:uiPriority w:val="0"/>
    <w:pPr>
      <w:snapToGrid w:val="0"/>
      <w:spacing w:line="500" w:lineRule="exact"/>
      <w:ind w:firstLine="480" w:firstLineChars="200"/>
      <w:jc w:val="left"/>
    </w:pPr>
    <w:rPr>
      <w:rFonts w:cs="宋体"/>
      <w:sz w:val="24"/>
    </w:rPr>
  </w:style>
  <w:style w:type="paragraph" w:customStyle="1" w:styleId="93">
    <w:name w:val="正文文体"/>
    <w:basedOn w:val="1"/>
    <w:qFormat/>
    <w:uiPriority w:val="0"/>
    <w:pPr>
      <w:spacing w:line="500" w:lineRule="exact"/>
      <w:ind w:firstLine="200" w:firstLineChars="200"/>
    </w:pPr>
    <w:rPr>
      <w:sz w:val="28"/>
      <w:szCs w:val="28"/>
    </w:rPr>
  </w:style>
  <w:style w:type="character" w:customStyle="1" w:styleId="94">
    <w:name w:val="正文缩进 Char"/>
    <w:link w:val="9"/>
    <w:qFormat/>
    <w:uiPriority w:val="0"/>
    <w:rPr>
      <w:sz w:val="28"/>
      <w:szCs w:val="24"/>
    </w:rPr>
  </w:style>
  <w:style w:type="paragraph" w:customStyle="1" w:styleId="95">
    <w:name w:val="环保表内字（五号）"/>
    <w:basedOn w:val="1"/>
    <w:qFormat/>
    <w:uiPriority w:val="0"/>
    <w:pPr>
      <w:adjustRightInd w:val="0"/>
      <w:snapToGrid w:val="0"/>
      <w:spacing w:line="360" w:lineRule="auto"/>
    </w:pPr>
    <w:rPr>
      <w:snapToGrid w:val="0"/>
      <w:kern w:val="0"/>
      <w:sz w:val="21"/>
    </w:rPr>
  </w:style>
  <w:style w:type="paragraph" w:customStyle="1" w:styleId="96">
    <w:name w:val="表格内容"/>
    <w:basedOn w:val="1"/>
    <w:qFormat/>
    <w:uiPriority w:val="0"/>
    <w:pPr>
      <w:adjustRightInd w:val="0"/>
      <w:jc w:val="center"/>
      <w:textAlignment w:val="baseline"/>
    </w:pPr>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16.png"/><Relationship Id="rId28" Type="http://schemas.openxmlformats.org/officeDocument/2006/relationships/image" Target="media/image15.png"/><Relationship Id="rId27" Type="http://schemas.openxmlformats.org/officeDocument/2006/relationships/image" Target="media/image14.png"/><Relationship Id="rId26" Type="http://schemas.openxmlformats.org/officeDocument/2006/relationships/hyperlink" Target="http://www.biaozhi.net/eNews/news/200602/0029_0000000910.shtml" TargetMode="External"/><Relationship Id="rId25" Type="http://schemas.openxmlformats.org/officeDocument/2006/relationships/image" Target="media/image13.png"/><Relationship Id="rId24" Type="http://schemas.openxmlformats.org/officeDocument/2006/relationships/hyperlink" Target="http://www.biaozhi.net/eNews/news/200602/0029_0000000909.shtml" TargetMode="External"/><Relationship Id="rId23" Type="http://schemas.openxmlformats.org/officeDocument/2006/relationships/image" Target="media/image12.png"/><Relationship Id="rId22" Type="http://schemas.openxmlformats.org/officeDocument/2006/relationships/hyperlink" Target="http://www.biaozhi.net/eNews/news/200602/0029_0000000908.shtml" TargetMode="External"/><Relationship Id="rId21" Type="http://schemas.openxmlformats.org/officeDocument/2006/relationships/image" Target="media/image11.png"/><Relationship Id="rId20" Type="http://schemas.openxmlformats.org/officeDocument/2006/relationships/hyperlink" Target="http://www.biaozhi.net/eNews/news/200602/0029_0000000907.shtml" TargetMode="Externa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22110</Words>
  <Characters>24117</Characters>
  <Lines>219</Lines>
  <Paragraphs>61</Paragraphs>
  <TotalTime>3</TotalTime>
  <ScaleCrop>false</ScaleCrop>
  <LinksUpToDate>false</LinksUpToDate>
  <CharactersWithSpaces>24371</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2020-12-25T01:29:00Z</dcterms:created>
  <dc:creator>lhj</dc:creator>
  <cp:lastModifiedBy>Administrator</cp:lastModifiedBy>
  <cp:lastPrinted>2020-12-30T02:43:00Z</cp:lastPrinted>
  <dcterms:modified xsi:type="dcterms:W3CDTF">2022-08-29T06:03:48Z</dcterms:modified>
  <dc:title>附件2</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753062A72E404FEF88BF7F2E0CC44513</vt:lpwstr>
  </property>
</Properties>
</file>