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D89668">
      <w:pPr>
        <w:rPr>
          <w:rFonts w:hint="default" w:ascii="Times New Roman" w:hAnsi="Times New Roman" w:eastAsia="仿宋_GB2312" w:cs="Times New Roman"/>
          <w:sz w:val="36"/>
          <w:szCs w:val="36"/>
          <w:highlight w:val="none"/>
        </w:rPr>
      </w:pPr>
    </w:p>
    <w:p w14:paraId="4B0F0FDD">
      <w:pPr>
        <w:pStyle w:val="46"/>
        <w:ind w:firstLine="720"/>
        <w:rPr>
          <w:rFonts w:hint="default" w:ascii="Times New Roman" w:hAnsi="Times New Roman" w:eastAsia="仿宋_GB2312" w:cs="Times New Roman"/>
          <w:sz w:val="36"/>
          <w:szCs w:val="36"/>
          <w:highlight w:val="none"/>
        </w:rPr>
      </w:pPr>
    </w:p>
    <w:p w14:paraId="1BE06356">
      <w:pPr>
        <w:rPr>
          <w:rFonts w:hint="default" w:ascii="Times New Roman" w:hAnsi="Times New Roman" w:eastAsia="仿宋_GB2312" w:cs="Times New Roman"/>
          <w:sz w:val="36"/>
          <w:szCs w:val="36"/>
          <w:highlight w:val="none"/>
        </w:rPr>
      </w:pPr>
    </w:p>
    <w:p w14:paraId="0A4F89C0">
      <w:pPr>
        <w:pStyle w:val="46"/>
        <w:ind w:firstLine="720"/>
        <w:rPr>
          <w:rFonts w:hint="default" w:ascii="Times New Roman" w:hAnsi="Times New Roman" w:eastAsia="仿宋_GB2312" w:cs="Times New Roman"/>
          <w:sz w:val="36"/>
          <w:szCs w:val="36"/>
          <w:highlight w:val="none"/>
        </w:rPr>
      </w:pPr>
    </w:p>
    <w:p w14:paraId="2864445F">
      <w:pPr>
        <w:widowControl/>
        <w:spacing w:before="100" w:beforeAutospacing="1" w:after="100" w:afterAutospacing="1"/>
        <w:jc w:val="center"/>
        <w:rPr>
          <w:rFonts w:hint="default" w:ascii="Times New Roman" w:hAnsi="Times New Roman" w:eastAsia="方正小标宋_GBK" w:cs="Times New Roman"/>
          <w:bCs/>
          <w:sz w:val="72"/>
          <w:szCs w:val="72"/>
          <w:highlight w:val="none"/>
        </w:rPr>
      </w:pPr>
      <w:r>
        <w:rPr>
          <w:rFonts w:hint="default" w:ascii="Times New Roman" w:hAnsi="Times New Roman" w:eastAsia="方正小标宋_GBK" w:cs="Times New Roman"/>
          <w:bCs/>
          <w:sz w:val="72"/>
          <w:szCs w:val="72"/>
          <w:highlight w:val="none"/>
        </w:rPr>
        <w:t>建设项目环境影响报告表</w:t>
      </w:r>
    </w:p>
    <w:p w14:paraId="299FBE24">
      <w:pPr>
        <w:adjustRightInd w:val="0"/>
        <w:snapToGrid w:val="0"/>
        <w:spacing w:before="192" w:beforeLines="80"/>
        <w:jc w:val="center"/>
        <w:rPr>
          <w:rFonts w:hint="default" w:ascii="Times New Roman" w:hAnsi="Times New Roman" w:eastAsia="楷体_GB2312" w:cs="Times New Roman"/>
          <w:bCs/>
          <w:sz w:val="48"/>
          <w:szCs w:val="48"/>
          <w:highlight w:val="none"/>
        </w:rPr>
      </w:pPr>
      <w:r>
        <w:rPr>
          <w:rFonts w:hint="default" w:ascii="Times New Roman" w:hAnsi="Times New Roman" w:eastAsia="楷体_GB2312" w:cs="Times New Roman"/>
          <w:bCs/>
          <w:sz w:val="48"/>
          <w:szCs w:val="48"/>
          <w:highlight w:val="none"/>
        </w:rPr>
        <w:t>（污染影响类）</w:t>
      </w:r>
    </w:p>
    <w:p w14:paraId="704E2572">
      <w:pPr>
        <w:jc w:val="center"/>
        <w:rPr>
          <w:rFonts w:hint="default" w:ascii="Times New Roman" w:hAnsi="Times New Roman" w:eastAsia="仿宋" w:cs="Times New Roman"/>
          <w:sz w:val="52"/>
          <w:szCs w:val="52"/>
          <w:highlight w:val="none"/>
        </w:rPr>
      </w:pPr>
    </w:p>
    <w:p w14:paraId="00FF735D">
      <w:pPr>
        <w:ind w:firstLine="1040"/>
        <w:rPr>
          <w:rFonts w:hint="default" w:ascii="Times New Roman" w:hAnsi="Times New Roman" w:eastAsia="仿宋" w:cs="Times New Roman"/>
          <w:sz w:val="44"/>
          <w:szCs w:val="44"/>
          <w:highlight w:val="none"/>
        </w:rPr>
      </w:pPr>
    </w:p>
    <w:p w14:paraId="62F96E74">
      <w:pPr>
        <w:ind w:firstLine="1040"/>
        <w:rPr>
          <w:rFonts w:hint="default" w:ascii="Times New Roman" w:hAnsi="Times New Roman" w:eastAsia="仿宋" w:cs="Times New Roman"/>
          <w:sz w:val="44"/>
          <w:szCs w:val="44"/>
          <w:highlight w:val="none"/>
        </w:rPr>
      </w:pPr>
    </w:p>
    <w:p w14:paraId="160F56C6">
      <w:pPr>
        <w:pStyle w:val="46"/>
        <w:rPr>
          <w:rFonts w:hint="default" w:ascii="Times New Roman" w:hAnsi="Times New Roman" w:cs="Times New Roman"/>
          <w:highlight w:val="none"/>
        </w:rPr>
      </w:pPr>
    </w:p>
    <w:p w14:paraId="001C54ED">
      <w:pPr>
        <w:spacing w:line="560" w:lineRule="exact"/>
        <w:ind w:left="4155" w:leftChars="912" w:hanging="2240" w:hangingChars="700"/>
        <w:rPr>
          <w:rFonts w:hint="default" w:eastAsia="仿宋_GB2312" w:cs="Times New Roman"/>
          <w:sz w:val="32"/>
          <w:szCs w:val="32"/>
          <w:highlight w:val="none"/>
          <w:u w:val="single"/>
          <w:lang w:val="en-US" w:eastAsia="zh-CN"/>
        </w:rPr>
      </w:pPr>
      <w:r>
        <w:rPr>
          <w:rFonts w:hint="default" w:ascii="Times New Roman" w:hAnsi="Times New Roman" w:eastAsia="仿宋_GB2312" w:cs="Times New Roman"/>
          <w:sz w:val="32"/>
          <w:szCs w:val="32"/>
          <w:highlight w:val="none"/>
        </w:rPr>
        <w:t>项目名称：</w:t>
      </w:r>
      <w:r>
        <w:rPr>
          <w:rFonts w:hint="eastAsia" w:eastAsia="仿宋_GB2312" w:cs="Times New Roman"/>
          <w:sz w:val="32"/>
          <w:szCs w:val="32"/>
          <w:highlight w:val="none"/>
          <w:u w:val="single"/>
          <w:lang w:val="en-US" w:eastAsia="zh-CN"/>
        </w:rPr>
        <w:t xml:space="preserve"> </w:t>
      </w:r>
      <w:r>
        <w:rPr>
          <w:rFonts w:hint="eastAsia" w:eastAsia="仿宋_GB2312" w:cs="Times New Roman"/>
          <w:sz w:val="32"/>
          <w:szCs w:val="32"/>
          <w:highlight w:val="none"/>
          <w:u w:val="single"/>
          <w:lang w:eastAsia="zh-CN"/>
        </w:rPr>
        <w:t>淄博齐钰达塑业有限公司</w:t>
      </w:r>
      <w:r>
        <w:rPr>
          <w:rFonts w:hint="eastAsia" w:eastAsia="仿宋_GB2312" w:cs="Times New Roman"/>
          <w:sz w:val="32"/>
          <w:szCs w:val="32"/>
          <w:highlight w:val="none"/>
          <w:u w:val="single"/>
          <w:lang w:val="en-US" w:eastAsia="zh-CN"/>
        </w:rPr>
        <w:t xml:space="preserve">    </w:t>
      </w:r>
    </w:p>
    <w:p w14:paraId="6580A7D2">
      <w:pPr>
        <w:spacing w:line="560" w:lineRule="exact"/>
        <w:ind w:firstLine="3520" w:firstLineChars="1100"/>
        <w:rPr>
          <w:rFonts w:hint="default" w:ascii="Times New Roman" w:hAnsi="Times New Roman" w:eastAsia="仿宋_GB2312" w:cs="Times New Roman"/>
          <w:highlight w:val="none"/>
          <w:lang w:val="en-US" w:eastAsia="zh-CN"/>
        </w:rPr>
      </w:pPr>
      <w:r>
        <w:rPr>
          <w:rFonts w:hint="eastAsia" w:eastAsia="仿宋_GB2312" w:cs="Times New Roman"/>
          <w:sz w:val="32"/>
          <w:szCs w:val="32"/>
          <w:highlight w:val="none"/>
          <w:u w:val="single"/>
          <w:lang w:eastAsia="zh-CN"/>
        </w:rPr>
        <w:t>年产30万套塑料桶制品项目</w:t>
      </w:r>
      <w:r>
        <w:rPr>
          <w:rFonts w:hint="eastAsia" w:eastAsia="仿宋_GB2312" w:cs="Times New Roman"/>
          <w:sz w:val="32"/>
          <w:szCs w:val="32"/>
          <w:highlight w:val="none"/>
          <w:u w:val="single"/>
          <w:lang w:val="en-US" w:eastAsia="zh-CN"/>
        </w:rPr>
        <w:t xml:space="preserve">  </w:t>
      </w:r>
    </w:p>
    <w:p w14:paraId="13B2FE7B">
      <w:pPr>
        <w:adjustRightInd w:val="0"/>
        <w:snapToGrid w:val="0"/>
        <w:spacing w:line="288" w:lineRule="auto"/>
        <w:ind w:firstLine="1920" w:firstLineChars="600"/>
        <w:rPr>
          <w:rFonts w:hint="default" w:ascii="Times New Roman" w:hAnsi="Times New Roman" w:eastAsia="仿宋_GB2312" w:cs="Times New Roman"/>
          <w:sz w:val="32"/>
          <w:szCs w:val="32"/>
          <w:highlight w:val="none"/>
        </w:rPr>
      </w:pPr>
    </w:p>
    <w:p w14:paraId="54D96A55">
      <w:pPr>
        <w:adjustRightInd w:val="0"/>
        <w:snapToGrid w:val="0"/>
        <w:spacing w:line="288" w:lineRule="auto"/>
        <w:ind w:firstLine="1920" w:firstLineChars="600"/>
        <w:rPr>
          <w:rFonts w:hint="default" w:ascii="Times New Roman" w:hAnsi="Times New Roman" w:eastAsia="仿宋_GB2312" w:cs="Times New Roman"/>
          <w:sz w:val="32"/>
          <w:szCs w:val="32"/>
          <w:highlight w:val="none"/>
          <w:u w:val="single"/>
          <w:lang w:val="en-US" w:eastAsia="zh-CN"/>
        </w:rPr>
      </w:pPr>
      <w:r>
        <w:rPr>
          <w:rFonts w:hint="default" w:ascii="Times New Roman" w:hAnsi="Times New Roman" w:eastAsia="仿宋_GB2312" w:cs="Times New Roman"/>
          <w:sz w:val="32"/>
          <w:szCs w:val="32"/>
          <w:highlight w:val="none"/>
        </w:rPr>
        <w:t>建设单位：</w:t>
      </w:r>
      <w:r>
        <w:rPr>
          <w:rFonts w:hint="eastAsia" w:eastAsia="仿宋_GB2312" w:cs="Times New Roman"/>
          <w:sz w:val="32"/>
          <w:szCs w:val="32"/>
          <w:highlight w:val="none"/>
          <w:u w:val="single"/>
          <w:lang w:val="en-US" w:eastAsia="zh-CN"/>
        </w:rPr>
        <w:t xml:space="preserve">  </w:t>
      </w:r>
      <w:r>
        <w:rPr>
          <w:rFonts w:hint="eastAsia" w:eastAsia="仿宋_GB2312" w:cs="Times New Roman"/>
          <w:sz w:val="32"/>
          <w:szCs w:val="32"/>
          <w:highlight w:val="none"/>
          <w:u w:val="single"/>
          <w:lang w:eastAsia="zh-CN"/>
        </w:rPr>
        <w:t>淄博齐钰达塑业有限公司</w:t>
      </w:r>
      <w:r>
        <w:rPr>
          <w:rFonts w:hint="eastAsia" w:eastAsia="仿宋_GB2312" w:cs="Times New Roman"/>
          <w:sz w:val="32"/>
          <w:szCs w:val="32"/>
          <w:highlight w:val="none"/>
          <w:u w:val="single"/>
          <w:lang w:val="en-US" w:eastAsia="zh-CN"/>
        </w:rPr>
        <w:t xml:space="preserve">   </w:t>
      </w:r>
    </w:p>
    <w:p w14:paraId="33D11AD1">
      <w:pPr>
        <w:pStyle w:val="46"/>
        <w:rPr>
          <w:rFonts w:hint="default" w:ascii="Times New Roman" w:hAnsi="Times New Roman" w:cs="Times New Roman"/>
          <w:highlight w:val="none"/>
        </w:rPr>
      </w:pPr>
    </w:p>
    <w:p w14:paraId="77FE98E4">
      <w:pPr>
        <w:adjustRightInd w:val="0"/>
        <w:snapToGrid w:val="0"/>
        <w:spacing w:line="288" w:lineRule="auto"/>
        <w:ind w:firstLine="1920" w:firstLineChars="600"/>
        <w:jc w:val="left"/>
        <w:rPr>
          <w:rFonts w:hint="default" w:ascii="Times New Roman" w:hAnsi="Times New Roman" w:eastAsia="仿宋_GB2312" w:cs="Times New Roman"/>
          <w:sz w:val="32"/>
          <w:szCs w:val="32"/>
          <w:highlight w:val="none"/>
          <w:u w:val="single"/>
        </w:rPr>
      </w:pPr>
      <w:r>
        <w:rPr>
          <w:rFonts w:hint="default" w:ascii="Times New Roman" w:hAnsi="Times New Roman" w:eastAsia="仿宋_GB2312" w:cs="Times New Roman"/>
          <w:sz w:val="32"/>
          <w:szCs w:val="32"/>
          <w:highlight w:val="none"/>
        </w:rPr>
        <w:t>编制日期：</w:t>
      </w:r>
      <w:r>
        <w:rPr>
          <w:rFonts w:hint="default" w:ascii="Times New Roman" w:hAnsi="Times New Roman" w:eastAsia="仿宋_GB2312" w:cs="Times New Roman"/>
          <w:sz w:val="32"/>
          <w:szCs w:val="32"/>
          <w:highlight w:val="none"/>
          <w:u w:val="single"/>
        </w:rPr>
        <w:t xml:space="preserve">      202</w:t>
      </w:r>
      <w:r>
        <w:rPr>
          <w:rFonts w:hint="eastAsia" w:eastAsia="仿宋_GB2312" w:cs="Times New Roman"/>
          <w:sz w:val="32"/>
          <w:szCs w:val="32"/>
          <w:highlight w:val="none"/>
          <w:u w:val="single"/>
          <w:lang w:val="en-US" w:eastAsia="zh-CN"/>
        </w:rPr>
        <w:t>6</w:t>
      </w:r>
      <w:r>
        <w:rPr>
          <w:rFonts w:hint="default" w:ascii="Times New Roman" w:hAnsi="Times New Roman" w:eastAsia="仿宋_GB2312" w:cs="Times New Roman"/>
          <w:sz w:val="32"/>
          <w:szCs w:val="32"/>
          <w:highlight w:val="none"/>
          <w:u w:val="single"/>
        </w:rPr>
        <w:t>年</w:t>
      </w:r>
      <w:r>
        <w:rPr>
          <w:rFonts w:hint="eastAsia" w:eastAsia="仿宋_GB2312" w:cs="Times New Roman"/>
          <w:sz w:val="32"/>
          <w:szCs w:val="32"/>
          <w:highlight w:val="none"/>
          <w:u w:val="single"/>
          <w:lang w:val="en-US" w:eastAsia="zh-CN"/>
        </w:rPr>
        <w:t>1</w:t>
      </w:r>
      <w:r>
        <w:rPr>
          <w:rFonts w:hint="default" w:ascii="Times New Roman" w:hAnsi="Times New Roman" w:eastAsia="仿宋_GB2312" w:cs="Times New Roman"/>
          <w:sz w:val="32"/>
          <w:szCs w:val="32"/>
          <w:highlight w:val="none"/>
          <w:u w:val="single"/>
        </w:rPr>
        <w:t>月</w:t>
      </w:r>
      <w:bookmarkStart w:id="0" w:name="_Hlk57884087"/>
      <w:r>
        <w:rPr>
          <w:rFonts w:hint="default" w:ascii="Times New Roman" w:hAnsi="Times New Roman" w:eastAsia="仿宋_GB2312" w:cs="Times New Roman"/>
          <w:sz w:val="32"/>
          <w:szCs w:val="32"/>
          <w:highlight w:val="none"/>
          <w:u w:val="single"/>
        </w:rPr>
        <w:t xml:space="preserve">        </w:t>
      </w:r>
      <w:r>
        <w:rPr>
          <w:rFonts w:hint="eastAsia" w:eastAsia="仿宋_GB2312" w:cs="Times New Roman"/>
          <w:sz w:val="32"/>
          <w:szCs w:val="32"/>
          <w:highlight w:val="none"/>
          <w:u w:val="single"/>
          <w:lang w:val="en-US" w:eastAsia="zh-CN"/>
        </w:rPr>
        <w:t xml:space="preserve"> </w:t>
      </w:r>
      <w:r>
        <w:rPr>
          <w:rFonts w:hint="default" w:ascii="Times New Roman" w:hAnsi="Times New Roman" w:eastAsia="仿宋_GB2312" w:cs="Times New Roman"/>
          <w:sz w:val="32"/>
          <w:szCs w:val="32"/>
          <w:highlight w:val="none"/>
          <w:u w:val="single"/>
        </w:rPr>
        <w:t xml:space="preserve">  </w:t>
      </w:r>
    </w:p>
    <w:p w14:paraId="7D3C6247">
      <w:pPr>
        <w:adjustRightInd w:val="0"/>
        <w:snapToGrid w:val="0"/>
        <w:spacing w:line="288" w:lineRule="auto"/>
        <w:ind w:firstLine="1040"/>
        <w:rPr>
          <w:rFonts w:hint="default" w:ascii="Times New Roman" w:hAnsi="Times New Roman" w:eastAsia="仿宋_GB2312" w:cs="Times New Roman"/>
          <w:sz w:val="36"/>
          <w:szCs w:val="36"/>
          <w:highlight w:val="none"/>
        </w:rPr>
      </w:pPr>
    </w:p>
    <w:p w14:paraId="10933CF3">
      <w:pPr>
        <w:adjustRightInd w:val="0"/>
        <w:snapToGrid w:val="0"/>
        <w:spacing w:line="288" w:lineRule="auto"/>
        <w:ind w:firstLine="1040"/>
        <w:rPr>
          <w:rFonts w:hint="default" w:ascii="Times New Roman" w:hAnsi="Times New Roman" w:eastAsia="仿宋_GB2312" w:cs="Times New Roman"/>
          <w:sz w:val="36"/>
          <w:szCs w:val="36"/>
          <w:highlight w:val="none"/>
        </w:rPr>
      </w:pPr>
    </w:p>
    <w:p w14:paraId="7B95F331">
      <w:pPr>
        <w:adjustRightInd w:val="0"/>
        <w:snapToGrid w:val="0"/>
        <w:spacing w:line="288" w:lineRule="auto"/>
        <w:ind w:firstLine="1040"/>
        <w:rPr>
          <w:rFonts w:hint="default" w:ascii="Times New Roman" w:hAnsi="Times New Roman" w:eastAsia="仿宋_GB2312" w:cs="Times New Roman"/>
          <w:sz w:val="36"/>
          <w:szCs w:val="36"/>
          <w:highlight w:val="none"/>
        </w:rPr>
      </w:pPr>
    </w:p>
    <w:p w14:paraId="429F927D">
      <w:pPr>
        <w:pStyle w:val="46"/>
        <w:ind w:firstLine="720"/>
        <w:rPr>
          <w:rFonts w:hint="default" w:ascii="Times New Roman" w:hAnsi="Times New Roman" w:eastAsia="仿宋_GB2312" w:cs="Times New Roman"/>
          <w:sz w:val="36"/>
          <w:szCs w:val="36"/>
          <w:highlight w:val="none"/>
        </w:rPr>
      </w:pPr>
    </w:p>
    <w:p w14:paraId="7EC3B0A1">
      <w:pPr>
        <w:rPr>
          <w:rFonts w:hint="default" w:ascii="Times New Roman" w:hAnsi="Times New Roman" w:eastAsia="仿宋_GB2312" w:cs="Times New Roman"/>
          <w:sz w:val="36"/>
          <w:szCs w:val="36"/>
          <w:highlight w:val="none"/>
        </w:rPr>
      </w:pPr>
    </w:p>
    <w:p w14:paraId="345C0DEB">
      <w:pPr>
        <w:pStyle w:val="46"/>
        <w:rPr>
          <w:rFonts w:hint="default" w:ascii="Times New Roman" w:hAnsi="Times New Roman" w:cs="Times New Roman"/>
          <w:highlight w:val="none"/>
        </w:rPr>
      </w:pPr>
    </w:p>
    <w:bookmarkEnd w:id="0"/>
    <w:p w14:paraId="4A8ECCE8">
      <w:pPr>
        <w:adjustRightInd w:val="0"/>
        <w:snapToGrid w:val="0"/>
        <w:spacing w:line="288" w:lineRule="auto"/>
        <w:jc w:val="center"/>
        <w:rPr>
          <w:rFonts w:hint="default" w:ascii="Times New Roman" w:hAnsi="Times New Roman" w:eastAsia="楷体_GB2312" w:cs="Times New Roman"/>
          <w:sz w:val="36"/>
          <w:szCs w:val="36"/>
          <w:highlight w:val="none"/>
        </w:rPr>
      </w:pPr>
      <w:r>
        <w:rPr>
          <w:rFonts w:hint="default" w:ascii="Times New Roman" w:hAnsi="Times New Roman" w:eastAsia="楷体_GB2312" w:cs="Times New Roman"/>
          <w:sz w:val="36"/>
          <w:szCs w:val="36"/>
          <w:highlight w:val="none"/>
        </w:rPr>
        <w:t>中华人民共和国生态环境部制</w:t>
      </w:r>
    </w:p>
    <w:p w14:paraId="6357C6A2">
      <w:pPr>
        <w:adjustRightInd w:val="0"/>
        <w:snapToGrid w:val="0"/>
        <w:spacing w:line="288" w:lineRule="auto"/>
        <w:ind w:firstLine="1040"/>
        <w:rPr>
          <w:rFonts w:hint="default" w:ascii="Times New Roman" w:hAnsi="Times New Roman" w:eastAsia="仿宋_GB2312" w:cs="Times New Roman"/>
          <w:sz w:val="36"/>
          <w:szCs w:val="36"/>
          <w:highlight w:val="none"/>
        </w:rPr>
        <w:sectPr>
          <w:headerReference r:id="rId3" w:type="default"/>
          <w:headerReference r:id="rId4" w:type="even"/>
          <w:footerReference r:id="rId5" w:type="even"/>
          <w:type w:val="continuous"/>
          <w:pgSz w:w="11906" w:h="16838"/>
          <w:pgMar w:top="1440" w:right="1080" w:bottom="1440" w:left="1080" w:header="851" w:footer="1077" w:gutter="0"/>
          <w:pgNumType w:start="3"/>
          <w:cols w:space="720" w:num="1"/>
          <w:docGrid w:linePitch="312" w:charSpace="0"/>
        </w:sectPr>
      </w:pPr>
    </w:p>
    <w:p w14:paraId="396C1356">
      <w:pPr>
        <w:pStyle w:val="42"/>
        <w:spacing w:before="0" w:beforeAutospacing="0" w:after="0" w:afterAutospacing="0" w:line="360" w:lineRule="auto"/>
        <w:jc w:val="center"/>
        <w:outlineLvl w:val="0"/>
        <w:rPr>
          <w:rFonts w:hint="default" w:ascii="Times New Roman" w:hAnsi="Times New Roman" w:eastAsia="黑体" w:cs="Times New Roman"/>
          <w:snapToGrid w:val="0"/>
          <w:sz w:val="32"/>
          <w:szCs w:val="32"/>
          <w:highlight w:val="none"/>
        </w:rPr>
      </w:pPr>
      <w:r>
        <w:rPr>
          <w:rFonts w:hint="default" w:ascii="Times New Roman" w:hAnsi="Times New Roman" w:eastAsia="黑体" w:cs="Times New Roman"/>
          <w:snapToGrid w:val="0"/>
          <w:sz w:val="32"/>
          <w:szCs w:val="32"/>
          <w:highlight w:val="none"/>
        </w:rPr>
        <w:t>一、建设项目基本情况</w:t>
      </w:r>
    </w:p>
    <w:tbl>
      <w:tblPr>
        <w:tblStyle w:val="47"/>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43"/>
        <w:gridCol w:w="832"/>
        <w:gridCol w:w="2858"/>
        <w:gridCol w:w="2439"/>
        <w:gridCol w:w="3077"/>
      </w:tblGrid>
      <w:tr w14:paraId="152239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022EA5F5">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建设项目名称</w:t>
            </w:r>
          </w:p>
        </w:tc>
        <w:tc>
          <w:tcPr>
            <w:tcW w:w="4294" w:type="pct"/>
            <w:gridSpan w:val="3"/>
            <w:vAlign w:val="center"/>
          </w:tcPr>
          <w:p w14:paraId="52A16811">
            <w:pPr>
              <w:spacing w:line="360" w:lineRule="auto"/>
              <w:jc w:val="center"/>
              <w:rPr>
                <w:rFonts w:hint="eastAsia" w:ascii="Times New Roman" w:hAnsi="Times New Roman" w:eastAsia="宋体" w:cs="Times New Roman"/>
                <w:sz w:val="24"/>
                <w:highlight w:val="none"/>
                <w:lang w:eastAsia="zh-CN"/>
              </w:rPr>
            </w:pPr>
            <w:r>
              <w:rPr>
                <w:rFonts w:hint="eastAsia" w:cs="Times New Roman"/>
                <w:sz w:val="24"/>
                <w:highlight w:val="none"/>
                <w:lang w:eastAsia="zh-CN"/>
              </w:rPr>
              <w:t>淄博齐钰达塑业有限公司年产30万套塑料桶制品项目</w:t>
            </w:r>
          </w:p>
        </w:tc>
      </w:tr>
      <w:tr w14:paraId="4EBCC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5" w:hRule="atLeast"/>
          <w:jc w:val="center"/>
        </w:trPr>
        <w:tc>
          <w:tcPr>
            <w:tcW w:w="705" w:type="pct"/>
            <w:gridSpan w:val="2"/>
            <w:tcMar>
              <w:top w:w="16" w:type="dxa"/>
              <w:left w:w="16" w:type="dxa"/>
              <w:right w:w="16" w:type="dxa"/>
            </w:tcMar>
            <w:vAlign w:val="center"/>
          </w:tcPr>
          <w:p w14:paraId="5D09C415">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项目代码</w:t>
            </w:r>
          </w:p>
        </w:tc>
        <w:tc>
          <w:tcPr>
            <w:tcW w:w="4294" w:type="pct"/>
            <w:gridSpan w:val="3"/>
            <w:vAlign w:val="center"/>
          </w:tcPr>
          <w:p w14:paraId="5AB4375D">
            <w:pPr>
              <w:spacing w:line="360" w:lineRule="exact"/>
              <w:jc w:val="center"/>
              <w:rPr>
                <w:rFonts w:hint="eastAsia" w:ascii="Times New Roman" w:hAnsi="Times New Roman" w:eastAsia="宋体" w:cs="Times New Roman"/>
                <w:kern w:val="0"/>
                <w:sz w:val="24"/>
                <w:highlight w:val="none"/>
                <w:lang w:eastAsia="zh-CN"/>
              </w:rPr>
            </w:pPr>
            <w:r>
              <w:rPr>
                <w:rFonts w:hint="eastAsia" w:cs="Times New Roman"/>
                <w:sz w:val="24"/>
                <w:highlight w:val="none"/>
                <w:lang w:eastAsia="zh-CN"/>
              </w:rPr>
              <w:t>2601-370305-89-01-906055</w:t>
            </w:r>
          </w:p>
        </w:tc>
      </w:tr>
      <w:tr w14:paraId="4ECC97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05" w:type="pct"/>
            <w:gridSpan w:val="2"/>
            <w:tcMar>
              <w:top w:w="16" w:type="dxa"/>
              <w:left w:w="16" w:type="dxa"/>
              <w:right w:w="16" w:type="dxa"/>
            </w:tcMar>
            <w:vAlign w:val="center"/>
          </w:tcPr>
          <w:p w14:paraId="3C261068">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建设单位联系人</w:t>
            </w:r>
          </w:p>
        </w:tc>
        <w:tc>
          <w:tcPr>
            <w:tcW w:w="1465" w:type="pct"/>
            <w:vAlign w:val="center"/>
          </w:tcPr>
          <w:p w14:paraId="1B50477E">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武登峰</w:t>
            </w:r>
          </w:p>
        </w:tc>
        <w:tc>
          <w:tcPr>
            <w:tcW w:w="1251" w:type="pct"/>
            <w:vAlign w:val="center"/>
          </w:tcPr>
          <w:p w14:paraId="71D35ADA">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联系方式</w:t>
            </w:r>
          </w:p>
        </w:tc>
        <w:tc>
          <w:tcPr>
            <w:tcW w:w="1578" w:type="pct"/>
            <w:vAlign w:val="center"/>
          </w:tcPr>
          <w:p w14:paraId="5451523B">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13589508086</w:t>
            </w:r>
          </w:p>
        </w:tc>
      </w:tr>
      <w:tr w14:paraId="4E10D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19CF4DFF">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建设地点</w:t>
            </w:r>
          </w:p>
        </w:tc>
        <w:tc>
          <w:tcPr>
            <w:tcW w:w="4294" w:type="pct"/>
            <w:gridSpan w:val="3"/>
            <w:vAlign w:val="center"/>
          </w:tcPr>
          <w:p w14:paraId="40EFE429">
            <w:pPr>
              <w:jc w:val="center"/>
              <w:rPr>
                <w:rFonts w:hint="eastAsia" w:ascii="Times New Roman" w:hAnsi="Times New Roman" w:eastAsia="宋体" w:cs="Times New Roman"/>
                <w:sz w:val="24"/>
                <w:highlight w:val="none"/>
                <w:lang w:eastAsia="zh-CN"/>
              </w:rPr>
            </w:pPr>
            <w:r>
              <w:rPr>
                <w:rFonts w:hint="eastAsia" w:cs="Times New Roman"/>
                <w:sz w:val="24"/>
                <w:highlight w:val="none"/>
                <w:lang w:eastAsia="zh-CN"/>
              </w:rPr>
              <w:t>山东省淄博市临淄区凤凰镇土桥村辛河路与梧台路交叉口东400米</w:t>
            </w:r>
          </w:p>
        </w:tc>
      </w:tr>
      <w:tr w14:paraId="2F792B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705" w:type="pct"/>
            <w:gridSpan w:val="2"/>
            <w:tcMar>
              <w:top w:w="16" w:type="dxa"/>
              <w:left w:w="16" w:type="dxa"/>
              <w:right w:w="16" w:type="dxa"/>
            </w:tcMar>
            <w:vAlign w:val="center"/>
          </w:tcPr>
          <w:p w14:paraId="7857121C">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地理坐标</w:t>
            </w:r>
          </w:p>
        </w:tc>
        <w:tc>
          <w:tcPr>
            <w:tcW w:w="4294" w:type="pct"/>
            <w:gridSpan w:val="3"/>
            <w:vAlign w:val="center"/>
          </w:tcPr>
          <w:p w14:paraId="3F5EB601">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（东经</w:t>
            </w:r>
            <w:r>
              <w:rPr>
                <w:rFonts w:hint="default" w:ascii="Times New Roman" w:hAnsi="Times New Roman" w:cs="Times New Roman"/>
                <w:sz w:val="24"/>
                <w:highlight w:val="none"/>
                <w:u w:val="single"/>
              </w:rPr>
              <w:t xml:space="preserve"> 118</w:t>
            </w:r>
            <w:r>
              <w:rPr>
                <w:rFonts w:hint="default" w:ascii="Times New Roman" w:hAnsi="Times New Roman" w:cs="Times New Roman"/>
                <w:sz w:val="24"/>
                <w:highlight w:val="none"/>
              </w:rPr>
              <w:t>度</w:t>
            </w:r>
            <w:r>
              <w:rPr>
                <w:rFonts w:hint="eastAsia" w:cs="Times New Roman"/>
                <w:sz w:val="24"/>
                <w:highlight w:val="none"/>
                <w:u w:val="single"/>
                <w:lang w:val="en-US" w:eastAsia="zh-CN"/>
              </w:rPr>
              <w:t>18</w:t>
            </w:r>
            <w:r>
              <w:rPr>
                <w:rFonts w:hint="default" w:ascii="Times New Roman" w:hAnsi="Times New Roman" w:cs="Times New Roman"/>
                <w:sz w:val="24"/>
                <w:highlight w:val="none"/>
              </w:rPr>
              <w:t>分</w:t>
            </w:r>
            <w:r>
              <w:rPr>
                <w:rFonts w:hint="eastAsia" w:cs="Times New Roman"/>
                <w:sz w:val="24"/>
                <w:highlight w:val="none"/>
                <w:u w:val="single"/>
                <w:lang w:val="en-US" w:eastAsia="zh-CN"/>
              </w:rPr>
              <w:t>32.401</w:t>
            </w:r>
            <w:r>
              <w:rPr>
                <w:rFonts w:hint="default" w:ascii="Times New Roman" w:hAnsi="Times New Roman" w:cs="Times New Roman"/>
                <w:sz w:val="24"/>
                <w:highlight w:val="none"/>
              </w:rPr>
              <w:t>秒，北纬</w:t>
            </w:r>
            <w:r>
              <w:rPr>
                <w:rFonts w:hint="default" w:ascii="Times New Roman" w:hAnsi="Times New Roman" w:cs="Times New Roman"/>
                <w:sz w:val="24"/>
                <w:highlight w:val="none"/>
                <w:u w:val="single"/>
              </w:rPr>
              <w:t xml:space="preserve"> 36 </w:t>
            </w:r>
            <w:r>
              <w:rPr>
                <w:rFonts w:hint="default" w:ascii="Times New Roman" w:hAnsi="Times New Roman" w:cs="Times New Roman"/>
                <w:sz w:val="24"/>
                <w:highlight w:val="none"/>
              </w:rPr>
              <w:t>度</w:t>
            </w:r>
            <w:r>
              <w:rPr>
                <w:rFonts w:hint="eastAsia" w:cs="Times New Roman"/>
                <w:sz w:val="24"/>
                <w:highlight w:val="none"/>
                <w:u w:val="single"/>
                <w:lang w:val="en-US" w:eastAsia="zh-CN"/>
              </w:rPr>
              <w:t>53</w:t>
            </w:r>
            <w:r>
              <w:rPr>
                <w:rFonts w:hint="default" w:ascii="Times New Roman" w:hAnsi="Times New Roman" w:cs="Times New Roman"/>
                <w:sz w:val="24"/>
                <w:highlight w:val="none"/>
              </w:rPr>
              <w:t>分</w:t>
            </w:r>
            <w:r>
              <w:rPr>
                <w:rFonts w:hint="eastAsia" w:cs="Times New Roman"/>
                <w:sz w:val="24"/>
                <w:highlight w:val="none"/>
                <w:u w:val="single"/>
                <w:lang w:val="en-US" w:eastAsia="zh-CN"/>
              </w:rPr>
              <w:t>16.8</w:t>
            </w:r>
            <w:r>
              <w:rPr>
                <w:rFonts w:hint="default" w:ascii="Times New Roman" w:hAnsi="Times New Roman" w:cs="Times New Roman"/>
                <w:sz w:val="24"/>
                <w:highlight w:val="none"/>
                <w:u w:val="single"/>
              </w:rPr>
              <w:t>58</w:t>
            </w:r>
            <w:r>
              <w:rPr>
                <w:rFonts w:hint="default" w:ascii="Times New Roman" w:hAnsi="Times New Roman" w:cs="Times New Roman"/>
                <w:sz w:val="24"/>
                <w:highlight w:val="none"/>
              </w:rPr>
              <w:t>秒）</w:t>
            </w:r>
          </w:p>
        </w:tc>
      </w:tr>
      <w:tr w14:paraId="543749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1" w:hRule="atLeast"/>
          <w:jc w:val="center"/>
        </w:trPr>
        <w:tc>
          <w:tcPr>
            <w:tcW w:w="705" w:type="pct"/>
            <w:gridSpan w:val="2"/>
            <w:tcMar>
              <w:top w:w="16" w:type="dxa"/>
              <w:left w:w="16" w:type="dxa"/>
              <w:right w:w="16" w:type="dxa"/>
            </w:tcMar>
            <w:vAlign w:val="center"/>
          </w:tcPr>
          <w:p w14:paraId="568DEB48">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国民经济</w:t>
            </w:r>
          </w:p>
          <w:p w14:paraId="1D881C06">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p>
        </w:tc>
        <w:tc>
          <w:tcPr>
            <w:tcW w:w="1465" w:type="pct"/>
            <w:vAlign w:val="center"/>
          </w:tcPr>
          <w:p w14:paraId="09A7D71E">
            <w:pPr>
              <w:jc w:val="center"/>
              <w:textAlignment w:val="baseline"/>
              <w:rPr>
                <w:rFonts w:hint="default" w:ascii="Times New Roman" w:hAnsi="Times New Roman" w:cs="Times New Roman"/>
                <w:sz w:val="24"/>
                <w:highlight w:val="none"/>
                <w:lang w:val="en-US"/>
              </w:rPr>
            </w:pPr>
            <w:r>
              <w:rPr>
                <w:rFonts w:hint="default" w:ascii="Times New Roman" w:hAnsi="Times New Roman" w:cs="Times New Roman"/>
                <w:sz w:val="24"/>
                <w:highlight w:val="none"/>
                <w:lang w:val="zh-CN"/>
              </w:rPr>
              <w:t>C</w:t>
            </w:r>
            <w:r>
              <w:rPr>
                <w:rFonts w:hint="eastAsia" w:cs="Times New Roman"/>
                <w:sz w:val="24"/>
                <w:highlight w:val="none"/>
                <w:lang w:val="en-US" w:eastAsia="zh-CN"/>
              </w:rPr>
              <w:t>2926塑料包装箱及容器制造</w:t>
            </w:r>
          </w:p>
        </w:tc>
        <w:tc>
          <w:tcPr>
            <w:tcW w:w="1251" w:type="pct"/>
            <w:vAlign w:val="center"/>
          </w:tcPr>
          <w:p w14:paraId="06F45193">
            <w:pPr>
              <w:spacing w:line="360" w:lineRule="exact"/>
              <w:jc w:val="center"/>
              <w:rPr>
                <w:rFonts w:hint="default" w:ascii="Times New Roman" w:hAnsi="Times New Roman" w:cs="Times New Roman"/>
                <w:sz w:val="24"/>
                <w:highlight w:val="none"/>
              </w:rPr>
            </w:pPr>
            <w:bookmarkStart w:id="1" w:name="_Hlk49843745"/>
            <w:r>
              <w:rPr>
                <w:rFonts w:hint="default" w:ascii="Times New Roman" w:hAnsi="Times New Roman" w:cs="Times New Roman"/>
                <w:sz w:val="24"/>
                <w:highlight w:val="none"/>
              </w:rPr>
              <w:t>建设项目</w:t>
            </w:r>
          </w:p>
          <w:p w14:paraId="65EA264D">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bookmarkEnd w:id="1"/>
          </w:p>
        </w:tc>
        <w:tc>
          <w:tcPr>
            <w:tcW w:w="1578" w:type="pct"/>
            <w:vAlign w:val="center"/>
          </w:tcPr>
          <w:p w14:paraId="1DBCDE4B">
            <w:pPr>
              <w:autoSpaceDE w:val="0"/>
              <w:autoSpaceDN w:val="0"/>
              <w:adjustRightInd w:val="0"/>
              <w:jc w:val="center"/>
              <w:rPr>
                <w:rFonts w:hint="default" w:ascii="Times New Roman" w:hAnsi="Times New Roman" w:cs="Times New Roman"/>
                <w:kern w:val="0"/>
                <w:sz w:val="24"/>
                <w:highlight w:val="none"/>
              </w:rPr>
            </w:pPr>
            <w:r>
              <w:rPr>
                <w:rFonts w:hint="eastAsia" w:cs="Times New Roman"/>
                <w:kern w:val="0"/>
                <w:sz w:val="24"/>
                <w:highlight w:val="none"/>
                <w:lang w:eastAsia="zh-CN"/>
              </w:rPr>
              <w:t>“</w:t>
            </w:r>
            <w:r>
              <w:rPr>
                <w:rFonts w:hint="eastAsia" w:cs="Times New Roman"/>
                <w:kern w:val="0"/>
                <w:sz w:val="24"/>
                <w:highlight w:val="none"/>
                <w:lang w:val="en-US" w:eastAsia="zh-CN"/>
              </w:rPr>
              <w:t>53</w:t>
            </w:r>
            <w:r>
              <w:rPr>
                <w:rFonts w:hint="default" w:ascii="Times New Roman" w:hAnsi="Times New Roman" w:cs="Times New Roman"/>
                <w:kern w:val="0"/>
                <w:sz w:val="24"/>
                <w:highlight w:val="none"/>
              </w:rPr>
              <w:t>.塑料制品业 292</w:t>
            </w:r>
            <w:r>
              <w:rPr>
                <w:rFonts w:hint="eastAsia" w:cs="Times New Roman"/>
                <w:kern w:val="0"/>
                <w:sz w:val="24"/>
                <w:highlight w:val="none"/>
                <w:lang w:eastAsia="zh-CN"/>
              </w:rPr>
              <w:t>”</w:t>
            </w:r>
            <w:r>
              <w:rPr>
                <w:rFonts w:hint="default" w:ascii="Times New Roman" w:hAnsi="Times New Roman" w:cs="Times New Roman"/>
                <w:kern w:val="0"/>
                <w:sz w:val="24"/>
                <w:highlight w:val="none"/>
              </w:rPr>
              <w:t>中</w:t>
            </w:r>
            <w:r>
              <w:rPr>
                <w:rFonts w:hint="eastAsia" w:cs="Times New Roman"/>
                <w:kern w:val="0"/>
                <w:sz w:val="24"/>
                <w:highlight w:val="none"/>
                <w:lang w:eastAsia="zh-CN"/>
              </w:rPr>
              <w:t>“</w:t>
            </w:r>
            <w:r>
              <w:rPr>
                <w:rFonts w:hint="default" w:ascii="Times New Roman" w:hAnsi="Times New Roman" w:cs="Times New Roman"/>
                <w:kern w:val="0"/>
                <w:sz w:val="24"/>
                <w:highlight w:val="none"/>
              </w:rPr>
              <w:t>其他（年用非溶剂型低VOCs含</w:t>
            </w:r>
          </w:p>
          <w:p w14:paraId="62CC5720">
            <w:pPr>
              <w:autoSpaceDE w:val="0"/>
              <w:autoSpaceDN w:val="0"/>
              <w:adjustRightInd w:val="0"/>
              <w:jc w:val="center"/>
              <w:rPr>
                <w:rFonts w:hint="eastAsia" w:ascii="Times New Roman" w:hAnsi="Times New Roman" w:eastAsia="宋体" w:cs="Times New Roman"/>
                <w:kern w:val="0"/>
                <w:sz w:val="24"/>
                <w:highlight w:val="none"/>
                <w:lang w:eastAsia="zh-CN"/>
              </w:rPr>
            </w:pPr>
            <w:r>
              <w:rPr>
                <w:rFonts w:hint="default" w:ascii="Times New Roman" w:hAnsi="Times New Roman" w:cs="Times New Roman"/>
                <w:kern w:val="0"/>
                <w:sz w:val="24"/>
                <w:highlight w:val="none"/>
              </w:rPr>
              <w:t>量涂料10吨以下的除外）</w:t>
            </w:r>
            <w:r>
              <w:rPr>
                <w:rFonts w:hint="eastAsia" w:cs="Times New Roman"/>
                <w:kern w:val="0"/>
                <w:sz w:val="24"/>
                <w:highlight w:val="none"/>
                <w:lang w:eastAsia="zh-CN"/>
              </w:rPr>
              <w:t>”</w:t>
            </w:r>
          </w:p>
        </w:tc>
      </w:tr>
      <w:tr w14:paraId="66267E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705" w:type="pct"/>
            <w:gridSpan w:val="2"/>
            <w:tcMar>
              <w:top w:w="16" w:type="dxa"/>
              <w:left w:w="16" w:type="dxa"/>
              <w:right w:w="16" w:type="dxa"/>
            </w:tcMar>
            <w:vAlign w:val="center"/>
          </w:tcPr>
          <w:p w14:paraId="681836BC">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建设性质</w:t>
            </w:r>
          </w:p>
        </w:tc>
        <w:tc>
          <w:tcPr>
            <w:tcW w:w="1465" w:type="pct"/>
            <w:vAlign w:val="center"/>
          </w:tcPr>
          <w:p w14:paraId="03F8B9A5">
            <w:pPr>
              <w:spacing w:line="360" w:lineRule="exact"/>
              <w:jc w:val="left"/>
              <w:rPr>
                <w:rFonts w:hint="default" w:ascii="Times New Roman" w:hAnsi="Times New Roman" w:cs="Times New Roman"/>
                <w:sz w:val="24"/>
                <w:highlight w:val="none"/>
              </w:rPr>
            </w:pPr>
            <w:r>
              <w:rPr>
                <w:rFonts w:hint="eastAsia" w:cs="Times New Roman"/>
                <w:sz w:val="24"/>
                <w:highlight w:val="none"/>
                <w:lang w:eastAsia="zh-CN"/>
              </w:rPr>
              <w:t>☑</w:t>
            </w:r>
            <w:r>
              <w:rPr>
                <w:rFonts w:hint="default" w:ascii="Times New Roman" w:hAnsi="Times New Roman" w:cs="Times New Roman"/>
                <w:sz w:val="24"/>
                <w:highlight w:val="none"/>
              </w:rPr>
              <w:t>新建（迁建）</w:t>
            </w:r>
          </w:p>
          <w:p w14:paraId="77F69F44">
            <w:pPr>
              <w:spacing w:line="360" w:lineRule="exact"/>
              <w:jc w:val="left"/>
              <w:rPr>
                <w:rFonts w:hint="default" w:ascii="Times New Roman" w:hAnsi="Times New Roman" w:cs="Times New Roman"/>
                <w:sz w:val="24"/>
                <w:highlight w:val="none"/>
              </w:rPr>
            </w:pPr>
            <w:r>
              <w:rPr>
                <w:rFonts w:hint="eastAsia" w:cs="Times New Roman"/>
                <w:sz w:val="24"/>
                <w:highlight w:val="none"/>
                <w:lang w:eastAsia="zh-CN"/>
              </w:rPr>
              <w:t>□</w:t>
            </w:r>
            <w:r>
              <w:rPr>
                <w:rFonts w:hint="default" w:ascii="Times New Roman" w:hAnsi="Times New Roman" w:cs="Times New Roman"/>
                <w:sz w:val="24"/>
                <w:highlight w:val="none"/>
              </w:rPr>
              <w:t>改、扩建</w:t>
            </w:r>
          </w:p>
          <w:p w14:paraId="4B48F9F9">
            <w:pPr>
              <w:spacing w:line="360" w:lineRule="exact"/>
              <w:jc w:val="left"/>
              <w:rPr>
                <w:rFonts w:hint="default" w:ascii="Times New Roman" w:hAnsi="Times New Roman" w:cs="Times New Roman"/>
                <w:sz w:val="24"/>
                <w:highlight w:val="none"/>
              </w:rPr>
            </w:pPr>
            <w:r>
              <w:rPr>
                <w:rFonts w:hint="eastAsia" w:cs="Times New Roman"/>
                <w:sz w:val="24"/>
                <w:highlight w:val="none"/>
                <w:lang w:eastAsia="zh-CN"/>
              </w:rPr>
              <w:t>□</w:t>
            </w:r>
            <w:r>
              <w:rPr>
                <w:rFonts w:hint="default" w:ascii="Times New Roman" w:hAnsi="Times New Roman" w:cs="Times New Roman"/>
                <w:sz w:val="24"/>
                <w:highlight w:val="none"/>
              </w:rPr>
              <w:t>技改</w:t>
            </w:r>
          </w:p>
        </w:tc>
        <w:tc>
          <w:tcPr>
            <w:tcW w:w="1251" w:type="pct"/>
            <w:vAlign w:val="center"/>
          </w:tcPr>
          <w:p w14:paraId="49AAB27A">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建设项目</w:t>
            </w:r>
          </w:p>
          <w:p w14:paraId="348DD72D">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申报情形</w:t>
            </w:r>
          </w:p>
        </w:tc>
        <w:tc>
          <w:tcPr>
            <w:tcW w:w="1578" w:type="pct"/>
            <w:vAlign w:val="center"/>
          </w:tcPr>
          <w:p w14:paraId="40849F8E">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52"/>
            </w:r>
            <w:r>
              <w:rPr>
                <w:rFonts w:hint="default" w:ascii="Times New Roman" w:hAnsi="Times New Roman" w:cs="Times New Roman"/>
                <w:sz w:val="24"/>
                <w:highlight w:val="none"/>
              </w:rPr>
              <w:t>首次申报项目</w:t>
            </w:r>
          </w:p>
          <w:p w14:paraId="3AE9EBFE">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不予批准后再次申报项目</w:t>
            </w:r>
          </w:p>
          <w:p w14:paraId="3B0F4E35">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超五年重新审核项目</w:t>
            </w:r>
          </w:p>
          <w:p w14:paraId="55382669">
            <w:pPr>
              <w:spacing w:line="360" w:lineRule="exact"/>
              <w:jc w:val="left"/>
              <w:rPr>
                <w:rFonts w:hint="default" w:ascii="Times New Roman" w:hAnsi="Times New Roman" w:cs="Times New Roman"/>
                <w:sz w:val="24"/>
                <w:highlight w:val="none"/>
              </w:rPr>
            </w:pPr>
            <w:r>
              <w:rPr>
                <w:rFonts w:hint="eastAsia" w:cs="Times New Roman"/>
                <w:sz w:val="24"/>
                <w:highlight w:val="none"/>
                <w:lang w:eastAsia="zh-CN"/>
              </w:rPr>
              <w:t>□</w:t>
            </w:r>
            <w:r>
              <w:rPr>
                <w:rFonts w:hint="default" w:ascii="Times New Roman" w:hAnsi="Times New Roman" w:cs="Times New Roman"/>
                <w:sz w:val="24"/>
                <w:highlight w:val="none"/>
              </w:rPr>
              <w:t>重大变动重新报批项目</w:t>
            </w:r>
          </w:p>
        </w:tc>
      </w:tr>
      <w:tr w14:paraId="626692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705" w:type="pct"/>
            <w:gridSpan w:val="2"/>
            <w:tcMar>
              <w:top w:w="16" w:type="dxa"/>
              <w:left w:w="16" w:type="dxa"/>
              <w:right w:w="16" w:type="dxa"/>
            </w:tcMar>
            <w:vAlign w:val="center"/>
          </w:tcPr>
          <w:p w14:paraId="6DC49EF4">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项目审批（核准/备案）部门（选填）</w:t>
            </w:r>
          </w:p>
        </w:tc>
        <w:tc>
          <w:tcPr>
            <w:tcW w:w="1465" w:type="pct"/>
            <w:vAlign w:val="center"/>
          </w:tcPr>
          <w:p w14:paraId="2B12DF78">
            <w:pPr>
              <w:contextualSpacing/>
              <w:jc w:val="center"/>
              <w:rPr>
                <w:rFonts w:hint="default" w:ascii="Times New Roman" w:hAnsi="Times New Roman" w:cs="Times New Roman"/>
                <w:sz w:val="24"/>
                <w:highlight w:val="none"/>
              </w:rPr>
            </w:pPr>
            <w:r>
              <w:rPr>
                <w:rFonts w:hint="default" w:ascii="Times New Roman" w:hAnsi="Times New Roman" w:cs="Times New Roman"/>
                <w:sz w:val="24"/>
                <w:highlight w:val="none"/>
              </w:rPr>
              <w:t>临淄区审批服务局</w:t>
            </w:r>
          </w:p>
        </w:tc>
        <w:tc>
          <w:tcPr>
            <w:tcW w:w="1251" w:type="pct"/>
            <w:vAlign w:val="center"/>
          </w:tcPr>
          <w:p w14:paraId="0E13B692">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项目审批（核准/</w:t>
            </w:r>
          </w:p>
          <w:p w14:paraId="254FA674">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备案）文号（选填）</w:t>
            </w:r>
          </w:p>
        </w:tc>
        <w:tc>
          <w:tcPr>
            <w:tcW w:w="1578" w:type="pct"/>
            <w:vAlign w:val="center"/>
          </w:tcPr>
          <w:p w14:paraId="7BB17871">
            <w:pPr>
              <w:spacing w:line="360" w:lineRule="exact"/>
              <w:jc w:val="center"/>
              <w:rPr>
                <w:rFonts w:hint="eastAsia" w:ascii="Times New Roman" w:hAnsi="Times New Roman" w:eastAsia="宋体" w:cs="Times New Roman"/>
                <w:sz w:val="24"/>
                <w:highlight w:val="none"/>
                <w:lang w:eastAsia="zh-CN"/>
              </w:rPr>
            </w:pPr>
            <w:r>
              <w:rPr>
                <w:rFonts w:hint="eastAsia" w:cs="Times New Roman"/>
                <w:sz w:val="24"/>
                <w:highlight w:val="none"/>
                <w:lang w:eastAsia="zh-CN"/>
              </w:rPr>
              <w:t>2601-370305-89-01-906055</w:t>
            </w:r>
          </w:p>
        </w:tc>
      </w:tr>
      <w:tr w14:paraId="32B7AD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14006789">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总投资（万元）</w:t>
            </w:r>
          </w:p>
        </w:tc>
        <w:tc>
          <w:tcPr>
            <w:tcW w:w="1465" w:type="pct"/>
            <w:vAlign w:val="center"/>
          </w:tcPr>
          <w:p w14:paraId="6E90B60D">
            <w:pPr>
              <w:spacing w:line="360" w:lineRule="exact"/>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532</w:t>
            </w:r>
          </w:p>
        </w:tc>
        <w:tc>
          <w:tcPr>
            <w:tcW w:w="1251" w:type="pct"/>
            <w:tcMar>
              <w:top w:w="16" w:type="dxa"/>
              <w:left w:w="16" w:type="dxa"/>
              <w:right w:w="16" w:type="dxa"/>
            </w:tcMar>
            <w:vAlign w:val="center"/>
          </w:tcPr>
          <w:p w14:paraId="40A51545">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环保投资（万元）</w:t>
            </w:r>
          </w:p>
        </w:tc>
        <w:tc>
          <w:tcPr>
            <w:tcW w:w="1578" w:type="pct"/>
            <w:vAlign w:val="center"/>
          </w:tcPr>
          <w:p w14:paraId="182DDE59">
            <w:pPr>
              <w:spacing w:line="360" w:lineRule="exact"/>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20</w:t>
            </w:r>
          </w:p>
        </w:tc>
      </w:tr>
      <w:tr w14:paraId="7FD5A1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705" w:type="pct"/>
            <w:gridSpan w:val="2"/>
            <w:tcMar>
              <w:top w:w="16" w:type="dxa"/>
              <w:left w:w="16" w:type="dxa"/>
              <w:right w:w="16" w:type="dxa"/>
            </w:tcMar>
            <w:vAlign w:val="center"/>
          </w:tcPr>
          <w:p w14:paraId="4B874DE1">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环保投资占比（%）</w:t>
            </w:r>
          </w:p>
        </w:tc>
        <w:tc>
          <w:tcPr>
            <w:tcW w:w="1465" w:type="pct"/>
            <w:vAlign w:val="center"/>
          </w:tcPr>
          <w:p w14:paraId="20C396CB">
            <w:pPr>
              <w:spacing w:line="360" w:lineRule="exact"/>
              <w:jc w:val="center"/>
              <w:rPr>
                <w:rFonts w:hint="default" w:ascii="Times New Roman" w:hAnsi="Times New Roman" w:cs="Times New Roman"/>
                <w:sz w:val="24"/>
                <w:highlight w:val="none"/>
              </w:rPr>
            </w:pPr>
            <w:r>
              <w:rPr>
                <w:rFonts w:hint="eastAsia" w:cs="Times New Roman"/>
                <w:sz w:val="24"/>
                <w:highlight w:val="none"/>
                <w:lang w:val="en-US" w:eastAsia="zh-CN"/>
              </w:rPr>
              <w:t>3.8</w:t>
            </w:r>
            <w:r>
              <w:rPr>
                <w:rFonts w:hint="default" w:ascii="Times New Roman" w:hAnsi="Times New Roman" w:cs="Times New Roman"/>
                <w:sz w:val="24"/>
                <w:highlight w:val="none"/>
              </w:rPr>
              <w:t>%</w:t>
            </w:r>
          </w:p>
        </w:tc>
        <w:tc>
          <w:tcPr>
            <w:tcW w:w="1251" w:type="pct"/>
            <w:tcMar>
              <w:top w:w="16" w:type="dxa"/>
              <w:left w:w="16" w:type="dxa"/>
              <w:right w:w="16" w:type="dxa"/>
            </w:tcMar>
            <w:vAlign w:val="center"/>
          </w:tcPr>
          <w:p w14:paraId="0A7CAC5C">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施工工期</w:t>
            </w:r>
          </w:p>
        </w:tc>
        <w:tc>
          <w:tcPr>
            <w:tcW w:w="1578" w:type="pct"/>
            <w:vAlign w:val="center"/>
          </w:tcPr>
          <w:p w14:paraId="6BED0B41">
            <w:pPr>
              <w:spacing w:line="360" w:lineRule="exact"/>
              <w:jc w:val="center"/>
              <w:rPr>
                <w:rFonts w:hint="default" w:ascii="Times New Roman" w:hAnsi="Times New Roman" w:cs="Times New Roman"/>
                <w:sz w:val="24"/>
                <w:highlight w:val="none"/>
              </w:rPr>
            </w:pPr>
            <w:r>
              <w:rPr>
                <w:rFonts w:hint="eastAsia" w:cs="Times New Roman"/>
                <w:sz w:val="24"/>
                <w:highlight w:val="none"/>
                <w:lang w:val="en-US" w:eastAsia="zh-CN"/>
              </w:rPr>
              <w:t>3</w:t>
            </w:r>
            <w:r>
              <w:rPr>
                <w:rFonts w:hint="default" w:ascii="Times New Roman" w:hAnsi="Times New Roman" w:cs="Times New Roman"/>
                <w:sz w:val="24"/>
                <w:highlight w:val="none"/>
              </w:rPr>
              <w:t>个月</w:t>
            </w:r>
          </w:p>
        </w:tc>
      </w:tr>
      <w:tr w14:paraId="24B4B6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41A31EBF">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是否开工建设</w:t>
            </w:r>
          </w:p>
        </w:tc>
        <w:tc>
          <w:tcPr>
            <w:tcW w:w="1465" w:type="pct"/>
            <w:vAlign w:val="center"/>
          </w:tcPr>
          <w:p w14:paraId="29DF69B8">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52"/>
            </w:r>
            <w:r>
              <w:rPr>
                <w:rFonts w:hint="default" w:ascii="Times New Roman" w:hAnsi="Times New Roman" w:cs="Times New Roman"/>
                <w:sz w:val="24"/>
                <w:highlight w:val="none"/>
              </w:rPr>
              <w:t>否</w:t>
            </w:r>
          </w:p>
          <w:p w14:paraId="7AE773A2">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是</w:t>
            </w:r>
          </w:p>
        </w:tc>
        <w:tc>
          <w:tcPr>
            <w:tcW w:w="1251" w:type="pct"/>
            <w:tcMar>
              <w:top w:w="16" w:type="dxa"/>
              <w:left w:w="16" w:type="dxa"/>
              <w:right w:w="16" w:type="dxa"/>
            </w:tcMar>
            <w:vAlign w:val="center"/>
          </w:tcPr>
          <w:p w14:paraId="1C4C0C1C">
            <w:pPr>
              <w:spacing w:line="360" w:lineRule="exact"/>
              <w:jc w:val="center"/>
              <w:rPr>
                <w:rFonts w:hint="default" w:ascii="Times New Roman" w:hAnsi="Times New Roman" w:cs="Times New Roman"/>
                <w:spacing w:val="-6"/>
                <w:sz w:val="24"/>
                <w:highlight w:val="none"/>
              </w:rPr>
            </w:pPr>
            <w:r>
              <w:rPr>
                <w:rFonts w:hint="default" w:ascii="Times New Roman" w:hAnsi="Times New Roman" w:cs="Times New Roman"/>
                <w:spacing w:val="-6"/>
                <w:sz w:val="24"/>
                <w:highlight w:val="none"/>
              </w:rPr>
              <w:t>用地（用海）</w:t>
            </w:r>
          </w:p>
          <w:p w14:paraId="2C794432">
            <w:pPr>
              <w:spacing w:line="360" w:lineRule="exact"/>
              <w:jc w:val="center"/>
              <w:rPr>
                <w:rFonts w:hint="default" w:ascii="Times New Roman" w:hAnsi="Times New Roman" w:cs="Times New Roman"/>
                <w:sz w:val="24"/>
                <w:highlight w:val="none"/>
              </w:rPr>
            </w:pPr>
            <w:r>
              <w:rPr>
                <w:rFonts w:hint="default" w:ascii="Times New Roman" w:hAnsi="Times New Roman" w:cs="Times New Roman"/>
                <w:spacing w:val="-6"/>
                <w:sz w:val="24"/>
                <w:highlight w:val="none"/>
              </w:rPr>
              <w:t>面积（m</w:t>
            </w:r>
            <w:r>
              <w:rPr>
                <w:rFonts w:hint="default" w:ascii="Times New Roman" w:hAnsi="Times New Roman" w:cs="Times New Roman"/>
                <w:spacing w:val="-6"/>
                <w:sz w:val="24"/>
                <w:highlight w:val="none"/>
                <w:vertAlign w:val="superscript"/>
              </w:rPr>
              <w:t>2</w:t>
            </w:r>
            <w:r>
              <w:rPr>
                <w:rFonts w:hint="default" w:ascii="Times New Roman" w:hAnsi="Times New Roman" w:cs="Times New Roman"/>
                <w:spacing w:val="-6"/>
                <w:sz w:val="24"/>
                <w:highlight w:val="none"/>
              </w:rPr>
              <w:t>）</w:t>
            </w:r>
          </w:p>
        </w:tc>
        <w:tc>
          <w:tcPr>
            <w:tcW w:w="1578" w:type="pct"/>
            <w:vAlign w:val="center"/>
          </w:tcPr>
          <w:p w14:paraId="433A0A94">
            <w:pPr>
              <w:spacing w:line="360" w:lineRule="exact"/>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1549.4</w:t>
            </w:r>
          </w:p>
        </w:tc>
      </w:tr>
      <w:tr w14:paraId="5066AD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78" w:type="pct"/>
            <w:vAlign w:val="center"/>
          </w:tcPr>
          <w:p w14:paraId="43C9DABD">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专项评价设置情况</w:t>
            </w:r>
          </w:p>
        </w:tc>
        <w:tc>
          <w:tcPr>
            <w:tcW w:w="4721" w:type="pct"/>
            <w:gridSpan w:val="4"/>
            <w:vAlign w:val="center"/>
          </w:tcPr>
          <w:p w14:paraId="31D94BC5">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根据《建设项目环境影响报告表编制技术指南（污染影响类）》（试行）中表总体要求，结合本项目实际，无需开展大气、地表水、环境风险、生态、海洋、地下水、土壤、声环境专项评价。具体见下表：</w:t>
            </w:r>
          </w:p>
          <w:p w14:paraId="783C8680">
            <w:pPr>
              <w:pStyle w:val="172"/>
              <w:ind w:firstLine="0" w:firstLineChars="0"/>
              <w:jc w:val="center"/>
              <w:rPr>
                <w:rFonts w:hint="default" w:ascii="Times New Roman" w:hAnsi="Times New Roman" w:cs="Times New Roman"/>
                <w:highlight w:val="none"/>
              </w:rPr>
            </w:pPr>
            <w:r>
              <w:rPr>
                <w:rFonts w:hint="default" w:ascii="Times New Roman" w:hAnsi="Times New Roman" w:cs="Times New Roman"/>
                <w:b/>
                <w:bCs/>
                <w:highlight w:val="none"/>
              </w:rPr>
              <w:t>表1-1  项目专项评价设置情况一览表</w:t>
            </w:r>
          </w:p>
          <w:tbl>
            <w:tblPr>
              <w:tblStyle w:val="47"/>
              <w:tblW w:w="88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5"/>
              <w:gridCol w:w="3544"/>
              <w:gridCol w:w="2515"/>
              <w:gridCol w:w="1073"/>
            </w:tblGrid>
            <w:tr w14:paraId="105DE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675" w:type="dxa"/>
                  <w:tcMar>
                    <w:top w:w="0" w:type="dxa"/>
                    <w:left w:w="57" w:type="dxa"/>
                    <w:bottom w:w="0" w:type="dxa"/>
                    <w:right w:w="57" w:type="dxa"/>
                  </w:tcMar>
                  <w:vAlign w:val="center"/>
                </w:tcPr>
                <w:p w14:paraId="4500D6B5">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专项评价的类别</w:t>
                  </w:r>
                </w:p>
              </w:tc>
              <w:tc>
                <w:tcPr>
                  <w:tcW w:w="3544" w:type="dxa"/>
                  <w:tcMar>
                    <w:top w:w="0" w:type="dxa"/>
                    <w:left w:w="57" w:type="dxa"/>
                    <w:bottom w:w="0" w:type="dxa"/>
                    <w:right w:w="57" w:type="dxa"/>
                  </w:tcMar>
                  <w:vAlign w:val="center"/>
                </w:tcPr>
                <w:p w14:paraId="4C39C17C">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设置原则</w:t>
                  </w:r>
                </w:p>
              </w:tc>
              <w:tc>
                <w:tcPr>
                  <w:tcW w:w="2515" w:type="dxa"/>
                  <w:tcMar>
                    <w:top w:w="0" w:type="dxa"/>
                    <w:left w:w="57" w:type="dxa"/>
                    <w:bottom w:w="0" w:type="dxa"/>
                    <w:right w:w="57" w:type="dxa"/>
                  </w:tcMar>
                  <w:vAlign w:val="center"/>
                </w:tcPr>
                <w:p w14:paraId="5EC082D1">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本项目情况</w:t>
                  </w:r>
                </w:p>
              </w:tc>
              <w:tc>
                <w:tcPr>
                  <w:tcW w:w="1073" w:type="dxa"/>
                  <w:tcMar>
                    <w:top w:w="0" w:type="dxa"/>
                    <w:left w:w="57" w:type="dxa"/>
                    <w:bottom w:w="0" w:type="dxa"/>
                    <w:right w:w="57" w:type="dxa"/>
                  </w:tcMar>
                  <w:vAlign w:val="center"/>
                </w:tcPr>
                <w:p w14:paraId="1A6784CA">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是否设置专项</w:t>
                  </w:r>
                </w:p>
              </w:tc>
            </w:tr>
            <w:tr w14:paraId="398AC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1675" w:type="dxa"/>
                  <w:tcMar>
                    <w:top w:w="0" w:type="dxa"/>
                    <w:left w:w="57" w:type="dxa"/>
                    <w:bottom w:w="0" w:type="dxa"/>
                    <w:right w:w="57" w:type="dxa"/>
                  </w:tcMar>
                  <w:vAlign w:val="center"/>
                </w:tcPr>
                <w:p w14:paraId="7E40667F">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w:t>
                  </w:r>
                </w:p>
              </w:tc>
              <w:tc>
                <w:tcPr>
                  <w:tcW w:w="3544" w:type="dxa"/>
                  <w:tcMar>
                    <w:top w:w="0" w:type="dxa"/>
                    <w:left w:w="57" w:type="dxa"/>
                    <w:bottom w:w="0" w:type="dxa"/>
                    <w:right w:w="57" w:type="dxa"/>
                  </w:tcMar>
                  <w:vAlign w:val="center"/>
                </w:tcPr>
                <w:p w14:paraId="07A90C61">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排放废气含有毒有害污染物、二噁英、苯并[</w:t>
                  </w:r>
                  <w:r>
                    <w:rPr>
                      <w:rFonts w:hint="default" w:ascii="Times New Roman" w:hAnsi="Times New Roman" w:cs="Times New Roman"/>
                      <w:i/>
                      <w:sz w:val="21"/>
                      <w:szCs w:val="21"/>
                      <w:highlight w:val="none"/>
                    </w:rPr>
                    <w:t>a</w:t>
                  </w:r>
                  <w:r>
                    <w:rPr>
                      <w:rFonts w:hint="default" w:ascii="Times New Roman" w:hAnsi="Times New Roman" w:cs="Times New Roman"/>
                      <w:sz w:val="21"/>
                      <w:szCs w:val="21"/>
                      <w:highlight w:val="none"/>
                    </w:rPr>
                    <w:t>]芘、氰化物、氯气且厂界外500米范围内有环境空气保护目标的建设项目</w:t>
                  </w:r>
                </w:p>
              </w:tc>
              <w:tc>
                <w:tcPr>
                  <w:tcW w:w="2515" w:type="dxa"/>
                  <w:tcMar>
                    <w:top w:w="0" w:type="dxa"/>
                    <w:left w:w="57" w:type="dxa"/>
                    <w:bottom w:w="0" w:type="dxa"/>
                    <w:right w:w="57" w:type="dxa"/>
                  </w:tcMar>
                  <w:vAlign w:val="center"/>
                </w:tcPr>
                <w:p w14:paraId="7B4C8AA0">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本项目不涉及前述有毒有害污染物</w:t>
                  </w:r>
                </w:p>
              </w:tc>
              <w:tc>
                <w:tcPr>
                  <w:tcW w:w="1073" w:type="dxa"/>
                  <w:tcMar>
                    <w:top w:w="0" w:type="dxa"/>
                    <w:left w:w="57" w:type="dxa"/>
                    <w:bottom w:w="0" w:type="dxa"/>
                    <w:right w:w="57" w:type="dxa"/>
                  </w:tcMar>
                  <w:vAlign w:val="center"/>
                </w:tcPr>
                <w:p w14:paraId="426F0E77">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3622B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675" w:type="dxa"/>
                  <w:tcMar>
                    <w:top w:w="0" w:type="dxa"/>
                    <w:left w:w="57" w:type="dxa"/>
                    <w:bottom w:w="0" w:type="dxa"/>
                    <w:right w:w="57" w:type="dxa"/>
                  </w:tcMar>
                  <w:vAlign w:val="center"/>
                </w:tcPr>
                <w:p w14:paraId="1CCB08CC">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3544" w:type="dxa"/>
                  <w:tcMar>
                    <w:top w:w="0" w:type="dxa"/>
                    <w:left w:w="57" w:type="dxa"/>
                    <w:bottom w:w="0" w:type="dxa"/>
                    <w:right w:w="57" w:type="dxa"/>
                  </w:tcMar>
                  <w:vAlign w:val="center"/>
                </w:tcPr>
                <w:p w14:paraId="341D4783">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新增工业废水直排建设项目（槽罐车外送污水处理厂的除外）；新增废水直排的污水集中处理厂</w:t>
                  </w:r>
                </w:p>
              </w:tc>
              <w:tc>
                <w:tcPr>
                  <w:tcW w:w="2515" w:type="dxa"/>
                  <w:tcMar>
                    <w:top w:w="0" w:type="dxa"/>
                    <w:left w:w="57" w:type="dxa"/>
                    <w:bottom w:w="0" w:type="dxa"/>
                    <w:right w:w="57" w:type="dxa"/>
                  </w:tcMar>
                  <w:vAlign w:val="center"/>
                </w:tcPr>
                <w:p w14:paraId="624D386A">
                  <w:pPr>
                    <w:pStyle w:val="119"/>
                    <w:jc w:val="both"/>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本项目生活污水经厂区化粪池处理后由环卫部门定期处理，不属于新增工业废水直排的建设项目</w:t>
                  </w:r>
                </w:p>
              </w:tc>
              <w:tc>
                <w:tcPr>
                  <w:tcW w:w="1073" w:type="dxa"/>
                  <w:tcMar>
                    <w:top w:w="0" w:type="dxa"/>
                    <w:left w:w="57" w:type="dxa"/>
                    <w:bottom w:w="0" w:type="dxa"/>
                    <w:right w:w="57" w:type="dxa"/>
                  </w:tcMar>
                  <w:vAlign w:val="center"/>
                </w:tcPr>
                <w:p w14:paraId="477A33D1">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43927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675" w:type="dxa"/>
                  <w:tcMar>
                    <w:top w:w="0" w:type="dxa"/>
                    <w:left w:w="57" w:type="dxa"/>
                    <w:bottom w:w="0" w:type="dxa"/>
                    <w:right w:w="57" w:type="dxa"/>
                  </w:tcMar>
                  <w:vAlign w:val="center"/>
                </w:tcPr>
                <w:p w14:paraId="6CA0F5D4">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环境风险</w:t>
                  </w:r>
                </w:p>
              </w:tc>
              <w:tc>
                <w:tcPr>
                  <w:tcW w:w="3544" w:type="dxa"/>
                  <w:tcMar>
                    <w:top w:w="0" w:type="dxa"/>
                    <w:left w:w="57" w:type="dxa"/>
                    <w:bottom w:w="0" w:type="dxa"/>
                    <w:right w:w="57" w:type="dxa"/>
                  </w:tcMar>
                  <w:vAlign w:val="center"/>
                </w:tcPr>
                <w:p w14:paraId="7603BE7F">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有毒有害和易燃易爆危险物质存储量超过临界量的建设项目</w:t>
                  </w:r>
                </w:p>
              </w:tc>
              <w:tc>
                <w:tcPr>
                  <w:tcW w:w="2515" w:type="dxa"/>
                  <w:tcMar>
                    <w:top w:w="0" w:type="dxa"/>
                    <w:left w:w="57" w:type="dxa"/>
                    <w:bottom w:w="0" w:type="dxa"/>
                    <w:right w:w="57" w:type="dxa"/>
                  </w:tcMar>
                  <w:vAlign w:val="center"/>
                </w:tcPr>
                <w:p w14:paraId="08B01157">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本项目不涉及上述危险物质</w:t>
                  </w:r>
                </w:p>
              </w:tc>
              <w:tc>
                <w:tcPr>
                  <w:tcW w:w="1073" w:type="dxa"/>
                  <w:tcMar>
                    <w:top w:w="0" w:type="dxa"/>
                    <w:left w:w="57" w:type="dxa"/>
                    <w:bottom w:w="0" w:type="dxa"/>
                    <w:right w:w="57" w:type="dxa"/>
                  </w:tcMar>
                  <w:vAlign w:val="center"/>
                </w:tcPr>
                <w:p w14:paraId="6595EC2D">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34D5F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1675" w:type="dxa"/>
                  <w:tcMar>
                    <w:top w:w="0" w:type="dxa"/>
                    <w:left w:w="57" w:type="dxa"/>
                    <w:bottom w:w="0" w:type="dxa"/>
                    <w:right w:w="57" w:type="dxa"/>
                  </w:tcMar>
                  <w:vAlign w:val="center"/>
                </w:tcPr>
                <w:p w14:paraId="64B96D4C">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生态</w:t>
                  </w:r>
                </w:p>
              </w:tc>
              <w:tc>
                <w:tcPr>
                  <w:tcW w:w="3544" w:type="dxa"/>
                  <w:tcMar>
                    <w:top w:w="0" w:type="dxa"/>
                    <w:left w:w="57" w:type="dxa"/>
                    <w:bottom w:w="0" w:type="dxa"/>
                    <w:right w:w="57" w:type="dxa"/>
                  </w:tcMar>
                  <w:vAlign w:val="center"/>
                </w:tcPr>
                <w:p w14:paraId="38A2FBB0">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取水口下游500米范围内有重要水生生物的自然产卵场、索饵场、越冬场和洄游通道的新增河道取水的污染类建设项目</w:t>
                  </w:r>
                </w:p>
              </w:tc>
              <w:tc>
                <w:tcPr>
                  <w:tcW w:w="2515" w:type="dxa"/>
                  <w:tcMar>
                    <w:top w:w="0" w:type="dxa"/>
                    <w:left w:w="57" w:type="dxa"/>
                    <w:bottom w:w="0" w:type="dxa"/>
                    <w:right w:w="57" w:type="dxa"/>
                  </w:tcMar>
                  <w:vAlign w:val="center"/>
                </w:tcPr>
                <w:p w14:paraId="5F9E6B2C">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本项目不设取水口</w:t>
                  </w:r>
                </w:p>
              </w:tc>
              <w:tc>
                <w:tcPr>
                  <w:tcW w:w="1073" w:type="dxa"/>
                  <w:tcMar>
                    <w:top w:w="0" w:type="dxa"/>
                    <w:left w:w="57" w:type="dxa"/>
                    <w:bottom w:w="0" w:type="dxa"/>
                    <w:right w:w="57" w:type="dxa"/>
                  </w:tcMar>
                  <w:vAlign w:val="center"/>
                </w:tcPr>
                <w:p w14:paraId="5B8267D3">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38B9C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675" w:type="dxa"/>
                  <w:tcMar>
                    <w:top w:w="0" w:type="dxa"/>
                    <w:left w:w="57" w:type="dxa"/>
                    <w:bottom w:w="0" w:type="dxa"/>
                    <w:right w:w="57" w:type="dxa"/>
                  </w:tcMar>
                  <w:vAlign w:val="center"/>
                </w:tcPr>
                <w:p w14:paraId="0FAFC5FB">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海洋</w:t>
                  </w:r>
                </w:p>
              </w:tc>
              <w:tc>
                <w:tcPr>
                  <w:tcW w:w="3544" w:type="dxa"/>
                  <w:tcMar>
                    <w:top w:w="0" w:type="dxa"/>
                    <w:left w:w="57" w:type="dxa"/>
                    <w:bottom w:w="0" w:type="dxa"/>
                    <w:right w:w="57" w:type="dxa"/>
                  </w:tcMar>
                  <w:vAlign w:val="center"/>
                </w:tcPr>
                <w:p w14:paraId="654AD5F8">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直接向海排放污染物的海洋工程建设项目</w:t>
                  </w:r>
                </w:p>
              </w:tc>
              <w:tc>
                <w:tcPr>
                  <w:tcW w:w="2515" w:type="dxa"/>
                  <w:tcMar>
                    <w:top w:w="0" w:type="dxa"/>
                    <w:left w:w="57" w:type="dxa"/>
                    <w:bottom w:w="0" w:type="dxa"/>
                    <w:right w:w="57" w:type="dxa"/>
                  </w:tcMar>
                  <w:vAlign w:val="center"/>
                </w:tcPr>
                <w:p w14:paraId="02FF763F">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本项目不属于海洋工程项目</w:t>
                  </w:r>
                </w:p>
              </w:tc>
              <w:tc>
                <w:tcPr>
                  <w:tcW w:w="1073" w:type="dxa"/>
                  <w:tcMar>
                    <w:top w:w="0" w:type="dxa"/>
                    <w:left w:w="57" w:type="dxa"/>
                    <w:bottom w:w="0" w:type="dxa"/>
                    <w:right w:w="57" w:type="dxa"/>
                  </w:tcMar>
                  <w:vAlign w:val="center"/>
                </w:tcPr>
                <w:p w14:paraId="1D67F8A0">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bl>
          <w:p w14:paraId="4ADE621C">
            <w:pPr>
              <w:autoSpaceDE w:val="0"/>
              <w:autoSpaceDN w:val="0"/>
              <w:spacing w:line="360" w:lineRule="exact"/>
              <w:jc w:val="center"/>
              <w:rPr>
                <w:rFonts w:hint="default" w:ascii="Times New Roman" w:hAnsi="Times New Roman" w:cs="Times New Roman"/>
                <w:kern w:val="0"/>
                <w:sz w:val="24"/>
                <w:highlight w:val="none"/>
              </w:rPr>
            </w:pPr>
          </w:p>
        </w:tc>
      </w:tr>
      <w:tr w14:paraId="7E7D76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1" w:hRule="atLeast"/>
          <w:jc w:val="center"/>
        </w:trPr>
        <w:tc>
          <w:tcPr>
            <w:tcW w:w="278" w:type="pct"/>
            <w:vAlign w:val="center"/>
          </w:tcPr>
          <w:p w14:paraId="0E154617">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sz w:val="24"/>
                <w:highlight w:val="none"/>
              </w:rPr>
              <w:t>规划情况</w:t>
            </w:r>
          </w:p>
        </w:tc>
        <w:tc>
          <w:tcPr>
            <w:tcW w:w="4721" w:type="pct"/>
            <w:gridSpan w:val="4"/>
            <w:vAlign w:val="center"/>
          </w:tcPr>
          <w:p w14:paraId="612EA583">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1.名称：</w:t>
            </w:r>
            <w:r>
              <w:rPr>
                <w:rFonts w:hint="default" w:ascii="Times New Roman" w:hAnsi="Times New Roman" w:eastAsia="宋体" w:cs="Times New Roman"/>
                <w:kern w:val="0"/>
                <w:sz w:val="24"/>
                <w:highlight w:val="none"/>
                <w:lang w:val="en-US" w:eastAsia="zh-CN" w:bidi="ar"/>
              </w:rPr>
              <w:t>凤凰镇</w:t>
            </w:r>
            <w:r>
              <w:rPr>
                <w:rFonts w:hint="eastAsia" w:cs="Times New Roman"/>
                <w:kern w:val="0"/>
                <w:sz w:val="24"/>
                <w:highlight w:val="none"/>
                <w:lang w:val="en-US" w:eastAsia="zh-CN" w:bidi="ar"/>
              </w:rPr>
              <w:t>梧台</w:t>
            </w:r>
            <w:r>
              <w:rPr>
                <w:rFonts w:hint="default" w:ascii="Times New Roman" w:hAnsi="Times New Roman" w:eastAsia="宋体" w:cs="Times New Roman"/>
                <w:kern w:val="0"/>
                <w:sz w:val="24"/>
                <w:highlight w:val="none"/>
                <w:lang w:val="en-US" w:eastAsia="zh-CN" w:bidi="ar"/>
              </w:rPr>
              <w:t>工业集聚区</w:t>
            </w:r>
            <w:r>
              <w:rPr>
                <w:rFonts w:hint="default" w:ascii="Times New Roman" w:hAnsi="Times New Roman" w:cs="Times New Roman"/>
                <w:kern w:val="0"/>
                <w:sz w:val="24"/>
                <w:highlight w:val="none"/>
                <w:lang w:bidi="ar"/>
              </w:rPr>
              <w:t>；</w:t>
            </w:r>
          </w:p>
          <w:p w14:paraId="55908587">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2.审批机关：临淄区人民政府；</w:t>
            </w:r>
          </w:p>
          <w:p w14:paraId="245F7E50">
            <w:pPr>
              <w:widowControl/>
              <w:spacing w:line="360" w:lineRule="auto"/>
              <w:ind w:firstLine="480" w:firstLineChars="200"/>
              <w:jc w:val="left"/>
              <w:rPr>
                <w:rFonts w:hint="eastAsia" w:ascii="Times New Roman" w:hAnsi="Times New Roman" w:eastAsia="宋体" w:cs="Times New Roman"/>
                <w:kern w:val="0"/>
                <w:sz w:val="24"/>
                <w:highlight w:val="none"/>
                <w:lang w:eastAsia="zh-CN" w:bidi="ar"/>
              </w:rPr>
            </w:pPr>
            <w:r>
              <w:rPr>
                <w:rFonts w:hint="default" w:ascii="Times New Roman" w:hAnsi="Times New Roman" w:cs="Times New Roman"/>
                <w:kern w:val="0"/>
                <w:sz w:val="24"/>
                <w:highlight w:val="none"/>
                <w:lang w:bidi="ar"/>
              </w:rPr>
              <w:t>3.审批文件名称及文号：《临淄区人民政府关于设立齐都镇、敬仲镇、皇城镇、凤凰镇工业集聚区和调整金山镇、稷下街道、齐陵街道工业集聚区范围的通知》（临政字[2022]116号）</w:t>
            </w:r>
            <w:r>
              <w:rPr>
                <w:rFonts w:hint="eastAsia" w:cs="Times New Roman"/>
                <w:kern w:val="0"/>
                <w:sz w:val="24"/>
                <w:highlight w:val="none"/>
                <w:lang w:eastAsia="zh-CN" w:bidi="ar"/>
              </w:rPr>
              <w:t>。</w:t>
            </w:r>
          </w:p>
        </w:tc>
      </w:tr>
      <w:tr w14:paraId="5A9ADC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5" w:hRule="atLeast"/>
          <w:jc w:val="center"/>
        </w:trPr>
        <w:tc>
          <w:tcPr>
            <w:tcW w:w="543" w:type="dxa"/>
            <w:vAlign w:val="center"/>
          </w:tcPr>
          <w:p w14:paraId="60014C0F">
            <w:pPr>
              <w:autoSpaceDE w:val="0"/>
              <w:autoSpaceDN w:val="0"/>
              <w:spacing w:line="360" w:lineRule="exact"/>
              <w:jc w:val="center"/>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规划环境影响</w:t>
            </w:r>
          </w:p>
          <w:p w14:paraId="38677076">
            <w:pPr>
              <w:autoSpaceDE w:val="0"/>
              <w:autoSpaceDN w:val="0"/>
              <w:spacing w:line="360" w:lineRule="exact"/>
              <w:jc w:val="center"/>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评价情况</w:t>
            </w:r>
          </w:p>
        </w:tc>
        <w:tc>
          <w:tcPr>
            <w:tcW w:w="4721" w:type="pct"/>
            <w:gridSpan w:val="4"/>
            <w:vAlign w:val="center"/>
          </w:tcPr>
          <w:p w14:paraId="1EBCBD22">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1.名称：</w:t>
            </w:r>
            <w:r>
              <w:rPr>
                <w:rFonts w:hint="default" w:ascii="Times New Roman" w:hAnsi="Times New Roman" w:eastAsia="宋体" w:cs="Times New Roman"/>
                <w:kern w:val="0"/>
                <w:sz w:val="24"/>
                <w:highlight w:val="none"/>
                <w:lang w:val="en-US" w:eastAsia="zh-CN" w:bidi="ar"/>
              </w:rPr>
              <w:t>凤凰镇梧台工业集聚区总体发展规划</w:t>
            </w:r>
            <w:r>
              <w:rPr>
                <w:rFonts w:hint="eastAsia" w:cs="Times New Roman"/>
                <w:kern w:val="0"/>
                <w:sz w:val="24"/>
                <w:highlight w:val="none"/>
                <w:lang w:val="en-US" w:eastAsia="zh-CN" w:bidi="ar"/>
              </w:rPr>
              <w:t>（</w:t>
            </w:r>
            <w:r>
              <w:rPr>
                <w:rFonts w:hint="default" w:ascii="Times New Roman" w:hAnsi="Times New Roman" w:eastAsia="宋体" w:cs="Times New Roman"/>
                <w:kern w:val="0"/>
                <w:sz w:val="24"/>
                <w:highlight w:val="none"/>
                <w:lang w:val="en-US" w:eastAsia="zh-CN" w:bidi="ar"/>
              </w:rPr>
              <w:t>2024一2035年</w:t>
            </w:r>
            <w:r>
              <w:rPr>
                <w:rFonts w:hint="eastAsia" w:cs="Times New Roman"/>
                <w:kern w:val="0"/>
                <w:sz w:val="24"/>
                <w:highlight w:val="none"/>
                <w:lang w:val="en-US" w:eastAsia="zh-CN" w:bidi="ar"/>
              </w:rPr>
              <w:t>）</w:t>
            </w:r>
            <w:r>
              <w:rPr>
                <w:rFonts w:hint="default" w:ascii="Times New Roman" w:hAnsi="Times New Roman" w:eastAsia="宋体" w:cs="Times New Roman"/>
                <w:kern w:val="0"/>
                <w:sz w:val="24"/>
                <w:highlight w:val="none"/>
                <w:lang w:val="en-US" w:eastAsia="zh-CN" w:bidi="ar"/>
              </w:rPr>
              <w:t>环境影响报告书</w:t>
            </w:r>
            <w:r>
              <w:rPr>
                <w:rFonts w:hint="default" w:ascii="Times New Roman" w:hAnsi="Times New Roman" w:cs="Times New Roman"/>
                <w:kern w:val="0"/>
                <w:sz w:val="24"/>
                <w:highlight w:val="none"/>
                <w:lang w:bidi="ar"/>
              </w:rPr>
              <w:t>；</w:t>
            </w:r>
          </w:p>
          <w:p w14:paraId="434B9E53">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2.审批机关：淄博市生态环境局临淄分局；</w:t>
            </w:r>
          </w:p>
          <w:p w14:paraId="02498C5F">
            <w:pPr>
              <w:widowControl/>
              <w:spacing w:line="360" w:lineRule="auto"/>
              <w:ind w:firstLine="480" w:firstLineChars="200"/>
              <w:jc w:val="left"/>
              <w:rPr>
                <w:rFonts w:hint="eastAsia" w:ascii="Times New Roman" w:hAnsi="Times New Roman" w:eastAsia="宋体" w:cs="Times New Roman"/>
                <w:highlight w:val="none"/>
                <w:lang w:eastAsia="zh-CN"/>
              </w:rPr>
            </w:pPr>
            <w:r>
              <w:rPr>
                <w:rFonts w:hint="default" w:ascii="Times New Roman" w:hAnsi="Times New Roman" w:cs="Times New Roman"/>
                <w:kern w:val="0"/>
                <w:sz w:val="24"/>
                <w:highlight w:val="none"/>
                <w:lang w:bidi="ar"/>
              </w:rPr>
              <w:t>3.审批文件名称及文号：关于转发凤凰镇梧台工业集聚区总体发展规划</w:t>
            </w:r>
            <w:r>
              <w:rPr>
                <w:rFonts w:hint="eastAsia" w:cs="Times New Roman"/>
                <w:kern w:val="0"/>
                <w:sz w:val="24"/>
                <w:highlight w:val="none"/>
                <w:lang w:eastAsia="zh-CN" w:bidi="ar"/>
              </w:rPr>
              <w:t>（</w:t>
            </w:r>
            <w:r>
              <w:rPr>
                <w:rFonts w:hint="default" w:ascii="Times New Roman" w:hAnsi="Times New Roman" w:cs="Times New Roman"/>
                <w:kern w:val="0"/>
                <w:sz w:val="24"/>
                <w:highlight w:val="none"/>
                <w:lang w:bidi="ar"/>
              </w:rPr>
              <w:t>2024一2035年</w:t>
            </w:r>
            <w:r>
              <w:rPr>
                <w:rFonts w:hint="eastAsia" w:cs="Times New Roman"/>
                <w:kern w:val="0"/>
                <w:sz w:val="24"/>
                <w:highlight w:val="none"/>
                <w:lang w:eastAsia="zh-CN" w:bidi="ar"/>
              </w:rPr>
              <w:t>）</w:t>
            </w:r>
            <w:r>
              <w:rPr>
                <w:rFonts w:hint="default" w:ascii="Times New Roman" w:hAnsi="Times New Roman" w:cs="Times New Roman"/>
                <w:kern w:val="0"/>
                <w:sz w:val="24"/>
                <w:highlight w:val="none"/>
                <w:lang w:bidi="ar"/>
              </w:rPr>
              <w:t>环境影响报告书的审查意见的函</w:t>
            </w:r>
            <w:r>
              <w:rPr>
                <w:rFonts w:hint="eastAsia" w:cs="Times New Roman"/>
                <w:kern w:val="0"/>
                <w:sz w:val="24"/>
                <w:highlight w:val="none"/>
                <w:lang w:eastAsia="zh-CN" w:bidi="ar"/>
              </w:rPr>
              <w:t>。</w:t>
            </w:r>
          </w:p>
        </w:tc>
      </w:tr>
      <w:tr w14:paraId="2F48E6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40" w:hRule="atLeast"/>
          <w:jc w:val="center"/>
        </w:trPr>
        <w:tc>
          <w:tcPr>
            <w:tcW w:w="543" w:type="dxa"/>
            <w:vAlign w:val="center"/>
          </w:tcPr>
          <w:p w14:paraId="3567B027">
            <w:pPr>
              <w:autoSpaceDE w:val="0"/>
              <w:autoSpaceDN w:val="0"/>
              <w:spacing w:line="360" w:lineRule="exact"/>
              <w:jc w:val="center"/>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规划及规划环境</w:t>
            </w:r>
          </w:p>
          <w:p w14:paraId="74F29603">
            <w:pPr>
              <w:autoSpaceDE w:val="0"/>
              <w:autoSpaceDN w:val="0"/>
              <w:spacing w:line="360" w:lineRule="exact"/>
              <w:jc w:val="center"/>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影响评价符合性分析</w:t>
            </w:r>
          </w:p>
        </w:tc>
        <w:tc>
          <w:tcPr>
            <w:tcW w:w="4721" w:type="pct"/>
            <w:gridSpan w:val="4"/>
            <w:vAlign w:val="center"/>
          </w:tcPr>
          <w:p w14:paraId="7CD7335B">
            <w:pPr>
              <w:widowControl/>
              <w:spacing w:line="360" w:lineRule="auto"/>
              <w:ind w:firstLine="482" w:firstLineChars="200"/>
              <w:jc w:val="left"/>
              <w:rPr>
                <w:rFonts w:hint="default" w:ascii="Times New Roman" w:hAnsi="Times New Roman" w:cs="Times New Roman"/>
                <w:b/>
                <w:bCs/>
                <w:kern w:val="0"/>
                <w:sz w:val="24"/>
                <w:highlight w:val="none"/>
              </w:rPr>
            </w:pPr>
            <w:r>
              <w:rPr>
                <w:rFonts w:hint="default" w:ascii="Times New Roman" w:hAnsi="Times New Roman" w:cs="Times New Roman"/>
                <w:b/>
                <w:bCs/>
                <w:kern w:val="0"/>
                <w:sz w:val="24"/>
                <w:highlight w:val="none"/>
              </w:rPr>
              <w:t>1.土地利用规划符合性</w:t>
            </w:r>
          </w:p>
          <w:p w14:paraId="24A29B5A">
            <w:pPr>
              <w:widowControl/>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本项目位于</w:t>
            </w:r>
            <w:r>
              <w:rPr>
                <w:rFonts w:hint="eastAsia" w:cs="Times New Roman"/>
                <w:sz w:val="24"/>
                <w:highlight w:val="none"/>
                <w:lang w:eastAsia="zh-CN"/>
              </w:rPr>
              <w:t>山东省淄博市临淄区凤凰镇土桥村辛河路与梧台路交叉口东400米</w:t>
            </w:r>
            <w:r>
              <w:rPr>
                <w:rFonts w:hint="default" w:ascii="Times New Roman" w:hAnsi="Times New Roman" w:cs="Times New Roman"/>
                <w:kern w:val="0"/>
                <w:sz w:val="24"/>
                <w:highlight w:val="none"/>
              </w:rPr>
              <w:t>，在凤凰镇工业用地上进行建设。租赁车间东侧、</w:t>
            </w:r>
            <w:r>
              <w:rPr>
                <w:rFonts w:hint="eastAsia" w:cs="Times New Roman"/>
                <w:kern w:val="0"/>
                <w:sz w:val="24"/>
                <w:highlight w:val="none"/>
                <w:lang w:val="en-US" w:eastAsia="zh-CN"/>
              </w:rPr>
              <w:t>北</w:t>
            </w:r>
            <w:r>
              <w:rPr>
                <w:rFonts w:hint="default" w:ascii="Times New Roman" w:hAnsi="Times New Roman" w:cs="Times New Roman"/>
                <w:kern w:val="0"/>
                <w:sz w:val="24"/>
                <w:highlight w:val="none"/>
              </w:rPr>
              <w:t>侧为</w:t>
            </w:r>
            <w:r>
              <w:rPr>
                <w:rFonts w:hint="eastAsia" w:cs="Times New Roman"/>
                <w:kern w:val="0"/>
                <w:sz w:val="24"/>
                <w:highlight w:val="none"/>
                <w:lang w:val="en-US" w:eastAsia="zh-CN"/>
              </w:rPr>
              <w:t>农田，西侧为其他企业，南</w:t>
            </w:r>
            <w:r>
              <w:rPr>
                <w:rFonts w:hint="default" w:ascii="Times New Roman" w:hAnsi="Times New Roman" w:cs="Times New Roman"/>
                <w:kern w:val="0"/>
                <w:sz w:val="24"/>
                <w:highlight w:val="none"/>
              </w:rPr>
              <w:t>侧为</w:t>
            </w:r>
            <w:r>
              <w:rPr>
                <w:rFonts w:hint="eastAsia" w:cs="Times New Roman"/>
                <w:kern w:val="0"/>
                <w:sz w:val="24"/>
                <w:highlight w:val="none"/>
                <w:lang w:val="en-US" w:eastAsia="zh-CN"/>
              </w:rPr>
              <w:t>道路</w:t>
            </w:r>
            <w:r>
              <w:rPr>
                <w:rFonts w:hint="default" w:ascii="Times New Roman" w:hAnsi="Times New Roman" w:cs="Times New Roman"/>
                <w:kern w:val="0"/>
                <w:sz w:val="24"/>
                <w:highlight w:val="none"/>
              </w:rPr>
              <w:t>。</w:t>
            </w:r>
          </w:p>
          <w:p w14:paraId="6DCE3DA1">
            <w:pPr>
              <w:widowControl/>
              <w:spacing w:line="360" w:lineRule="auto"/>
              <w:ind w:firstLine="480" w:firstLineChars="200"/>
              <w:jc w:val="left"/>
              <w:rPr>
                <w:rFonts w:hint="eastAsia" w:cs="Times New Roman"/>
                <w:kern w:val="0"/>
                <w:sz w:val="24"/>
                <w:highlight w:val="none"/>
                <w:lang w:val="en-US" w:eastAsia="zh-CN"/>
              </w:rPr>
            </w:pPr>
            <w:r>
              <w:rPr>
                <w:rFonts w:hint="default" w:ascii="Times New Roman" w:hAnsi="Times New Roman" w:cs="Times New Roman"/>
                <w:kern w:val="0"/>
                <w:sz w:val="24"/>
                <w:highlight w:val="none"/>
              </w:rPr>
              <w:t>本项目用地不属于《限制用地项目目录（2012年本）》和《禁止用地项目目录（2012年本）》中相应用地，不属于《山东省禁止限制供地项目目录及建设用地集约利用控制标准》中山东省禁止、限制供地项目用地。</w:t>
            </w:r>
            <w:r>
              <w:rPr>
                <w:rFonts w:hint="eastAsia" w:cs="Times New Roman"/>
                <w:kern w:val="0"/>
                <w:sz w:val="24"/>
                <w:highlight w:val="none"/>
                <w:lang w:val="en-US" w:eastAsia="zh-CN"/>
              </w:rPr>
              <w:t>根据《</w:t>
            </w:r>
            <w:r>
              <w:rPr>
                <w:rFonts w:hint="default" w:ascii="Times New Roman" w:hAnsi="Times New Roman" w:cs="Times New Roman"/>
                <w:kern w:val="0"/>
                <w:sz w:val="24"/>
                <w:highlight w:val="none"/>
              </w:rPr>
              <w:t>淄博市国土空间总体规划（2021-2035年）</w:t>
            </w:r>
            <w:r>
              <w:rPr>
                <w:rFonts w:hint="eastAsia" w:cs="Times New Roman"/>
                <w:kern w:val="0"/>
                <w:sz w:val="24"/>
                <w:highlight w:val="none"/>
                <w:lang w:val="en-US" w:eastAsia="zh-CN"/>
              </w:rPr>
              <w:t>》</w:t>
            </w:r>
            <w:r>
              <w:rPr>
                <w:rFonts w:hint="eastAsia" w:cs="Times New Roman"/>
                <w:kern w:val="0"/>
                <w:sz w:val="24"/>
                <w:highlight w:val="none"/>
                <w:lang w:eastAsia="zh-CN"/>
              </w:rPr>
              <w:t>，</w:t>
            </w:r>
            <w:r>
              <w:rPr>
                <w:rFonts w:hint="eastAsia" w:cs="Times New Roman"/>
                <w:kern w:val="0"/>
                <w:sz w:val="24"/>
                <w:highlight w:val="none"/>
                <w:lang w:val="en-US" w:eastAsia="zh-CN"/>
              </w:rPr>
              <w:t>项目用地为工业用地。根据《凤凰镇梧台工业集聚区总体发展规划（2024年-2035年）-土地使用规划图》项目用地为二类工业用地。</w:t>
            </w:r>
          </w:p>
          <w:p w14:paraId="7A4D6606">
            <w:pPr>
              <w:widowControl/>
              <w:spacing w:line="360" w:lineRule="auto"/>
              <w:ind w:firstLine="480" w:firstLineChars="200"/>
              <w:jc w:val="left"/>
              <w:rPr>
                <w:rFonts w:hint="default" w:cs="Times New Roman"/>
                <w:kern w:val="0"/>
                <w:sz w:val="24"/>
                <w:highlight w:val="none"/>
                <w:lang w:val="en-US" w:eastAsia="zh-CN"/>
              </w:rPr>
            </w:pPr>
          </w:p>
          <w:p w14:paraId="107B25EC">
            <w:pPr>
              <w:widowControl/>
              <w:spacing w:line="360" w:lineRule="auto"/>
              <w:ind w:firstLine="482" w:firstLineChars="200"/>
              <w:jc w:val="left"/>
              <w:rPr>
                <w:rFonts w:hint="default" w:ascii="Times New Roman" w:hAnsi="Times New Roman" w:cs="Times New Roman"/>
                <w:b/>
                <w:bCs/>
                <w:kern w:val="0"/>
                <w:sz w:val="24"/>
                <w:highlight w:val="none"/>
              </w:rPr>
            </w:pPr>
            <w:r>
              <w:rPr>
                <w:rFonts w:hint="default" w:ascii="Times New Roman" w:hAnsi="Times New Roman" w:cs="Times New Roman"/>
                <w:b/>
                <w:bCs/>
                <w:kern w:val="0"/>
                <w:sz w:val="24"/>
                <w:highlight w:val="none"/>
              </w:rPr>
              <w:t>2.规划符合性</w:t>
            </w:r>
          </w:p>
          <w:p w14:paraId="3D0B3B8A">
            <w:pPr>
              <w:widowControl/>
              <w:spacing w:line="360" w:lineRule="auto"/>
              <w:ind w:firstLine="480" w:firstLineChars="200"/>
              <w:jc w:val="left"/>
              <w:rPr>
                <w:rFonts w:hint="default" w:cs="Times New Roman"/>
                <w:kern w:val="0"/>
                <w:sz w:val="24"/>
                <w:highlight w:val="none"/>
                <w:lang w:val="en-US" w:eastAsia="zh-CN"/>
              </w:rPr>
            </w:pPr>
            <w:r>
              <w:rPr>
                <w:rFonts w:hint="default" w:ascii="Times New Roman" w:hAnsi="Times New Roman" w:cs="Times New Roman"/>
                <w:kern w:val="0"/>
                <w:sz w:val="24"/>
                <w:highlight w:val="none"/>
              </w:rPr>
              <w:t>本项目为</w:t>
            </w:r>
            <w:r>
              <w:rPr>
                <w:rFonts w:hint="default" w:ascii="Times New Roman" w:hAnsi="Times New Roman" w:cs="Times New Roman"/>
                <w:kern w:val="0"/>
                <w:sz w:val="24"/>
                <w:highlight w:val="none"/>
                <w:lang w:val="en-US" w:eastAsia="zh-CN"/>
              </w:rPr>
              <w:t>塑料包装箱及容器制造</w:t>
            </w:r>
            <w:r>
              <w:rPr>
                <w:rFonts w:hint="default" w:ascii="Times New Roman" w:hAnsi="Times New Roman" w:cs="Times New Roman"/>
                <w:kern w:val="0"/>
                <w:sz w:val="24"/>
                <w:highlight w:val="none"/>
              </w:rPr>
              <w:t>项目，位于</w:t>
            </w:r>
            <w:r>
              <w:rPr>
                <w:rFonts w:hint="eastAsia" w:cs="Times New Roman"/>
                <w:sz w:val="24"/>
                <w:highlight w:val="none"/>
                <w:lang w:eastAsia="zh-CN"/>
              </w:rPr>
              <w:t>临淄区凤凰镇土桥村辛河路与梧台路交叉口东400米</w:t>
            </w:r>
            <w:r>
              <w:rPr>
                <w:rFonts w:hint="default" w:ascii="Times New Roman" w:hAnsi="Times New Roman" w:cs="Times New Roman"/>
                <w:kern w:val="0"/>
                <w:sz w:val="24"/>
                <w:highlight w:val="none"/>
              </w:rPr>
              <w:t>，</w:t>
            </w:r>
          </w:p>
          <w:p w14:paraId="133777DA">
            <w:pPr>
              <w:widowControl/>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eastAsia="宋体" w:cs="Times New Roman"/>
                <w:kern w:val="0"/>
                <w:sz w:val="24"/>
                <w:highlight w:val="none"/>
                <w:lang w:val="en-US" w:eastAsia="zh-CN" w:bidi="ar"/>
              </w:rPr>
              <w:t>凤凰镇</w:t>
            </w:r>
            <w:r>
              <w:rPr>
                <w:rFonts w:hint="eastAsia" w:cs="Times New Roman"/>
                <w:kern w:val="0"/>
                <w:sz w:val="24"/>
                <w:highlight w:val="none"/>
                <w:lang w:val="en-US" w:eastAsia="zh-CN" w:bidi="ar"/>
              </w:rPr>
              <w:t>梧台</w:t>
            </w:r>
            <w:r>
              <w:rPr>
                <w:rFonts w:hint="default" w:ascii="Times New Roman" w:hAnsi="Times New Roman" w:eastAsia="宋体" w:cs="Times New Roman"/>
                <w:kern w:val="0"/>
                <w:sz w:val="24"/>
                <w:highlight w:val="none"/>
                <w:lang w:val="en-US" w:eastAsia="zh-CN" w:bidi="ar"/>
              </w:rPr>
              <w:t>工业集聚区</w:t>
            </w:r>
            <w:r>
              <w:rPr>
                <w:rFonts w:hint="eastAsia" w:ascii="Times New Roman" w:hAnsi="Times New Roman" w:eastAsia="宋体" w:cs="Times New Roman"/>
                <w:kern w:val="0"/>
                <w:sz w:val="24"/>
                <w:highlight w:val="none"/>
                <w:lang w:val="en-US" w:eastAsia="zh-CN" w:bidi="ar"/>
              </w:rPr>
              <w:t>于</w:t>
            </w:r>
            <w:r>
              <w:rPr>
                <w:rFonts w:hint="eastAsia" w:cs="Times New Roman"/>
                <w:kern w:val="0"/>
                <w:sz w:val="24"/>
                <w:highlight w:val="none"/>
                <w:lang w:val="en-US" w:eastAsia="zh-CN"/>
              </w:rPr>
              <w:t>2022年9月5日成立，审批文件名称及文号：《临淄区人民政府关于设立齐都镇、敬仲镇、皇城镇、凤凰镇工业集聚区和调整金山镇、稷下街道、齐陵街道工业集聚区范围的通知》（临政字[2022]116号），凤凰镇是淄博市国土空间规划的一部分，没有单独的国土空间规划，根据《凤凰镇梧台工业集聚区区域图》，项目位于凤凰镇梧台工业集聚区内。</w:t>
            </w:r>
            <w:r>
              <w:rPr>
                <w:rFonts w:hint="default" w:ascii="Times New Roman" w:hAnsi="Times New Roman" w:cs="Times New Roman"/>
                <w:kern w:val="0"/>
                <w:sz w:val="24"/>
                <w:highlight w:val="none"/>
              </w:rPr>
              <w:t>临淄区</w:t>
            </w:r>
            <w:r>
              <w:rPr>
                <w:rFonts w:hint="eastAsia" w:cs="Times New Roman"/>
                <w:kern w:val="0"/>
                <w:sz w:val="24"/>
                <w:highlight w:val="none"/>
                <w:lang w:val="en-US" w:eastAsia="zh-CN"/>
              </w:rPr>
              <w:t>凤凰镇人民政府</w:t>
            </w:r>
            <w:r>
              <w:rPr>
                <w:rFonts w:hint="default" w:ascii="Times New Roman" w:hAnsi="Times New Roman" w:cs="Times New Roman"/>
                <w:kern w:val="0"/>
                <w:sz w:val="24"/>
                <w:highlight w:val="none"/>
              </w:rPr>
              <w:t>出具了相关的证明</w:t>
            </w:r>
            <w:r>
              <w:rPr>
                <w:rFonts w:hint="eastAsia" w:cs="Times New Roman"/>
                <w:kern w:val="0"/>
                <w:sz w:val="24"/>
                <w:highlight w:val="none"/>
                <w:lang w:eastAsia="zh-CN"/>
              </w:rPr>
              <w:t>（</w:t>
            </w:r>
            <w:r>
              <w:rPr>
                <w:rFonts w:hint="eastAsia" w:cs="Times New Roman"/>
                <w:kern w:val="0"/>
                <w:sz w:val="24"/>
                <w:highlight w:val="none"/>
                <w:lang w:val="en-US" w:eastAsia="zh-CN"/>
              </w:rPr>
              <w:t>见附件</w:t>
            </w:r>
            <w:r>
              <w:rPr>
                <w:rFonts w:hint="eastAsia" w:cs="Times New Roman"/>
                <w:kern w:val="0"/>
                <w:sz w:val="24"/>
                <w:highlight w:val="none"/>
                <w:lang w:eastAsia="zh-CN"/>
              </w:rPr>
              <w:t>）</w:t>
            </w:r>
            <w:r>
              <w:rPr>
                <w:rFonts w:hint="default" w:ascii="Times New Roman" w:hAnsi="Times New Roman" w:cs="Times New Roman"/>
                <w:kern w:val="0"/>
                <w:sz w:val="24"/>
                <w:highlight w:val="none"/>
              </w:rPr>
              <w:t>，证明</w:t>
            </w:r>
            <w:r>
              <w:rPr>
                <w:rFonts w:hint="eastAsia" w:cs="Times New Roman"/>
                <w:kern w:val="0"/>
                <w:sz w:val="24"/>
                <w:highlight w:val="none"/>
                <w:lang w:val="en-US" w:eastAsia="zh-CN"/>
              </w:rPr>
              <w:t>本</w:t>
            </w:r>
            <w:r>
              <w:rPr>
                <w:rFonts w:hint="default" w:ascii="Times New Roman" w:hAnsi="Times New Roman" w:cs="Times New Roman"/>
                <w:kern w:val="0"/>
                <w:sz w:val="24"/>
                <w:highlight w:val="none"/>
              </w:rPr>
              <w:t>项目位于凤凰镇</w:t>
            </w:r>
            <w:r>
              <w:rPr>
                <w:rFonts w:hint="eastAsia" w:cs="Times New Roman"/>
                <w:kern w:val="0"/>
                <w:sz w:val="24"/>
                <w:highlight w:val="none"/>
                <w:lang w:eastAsia="zh-CN"/>
              </w:rPr>
              <w:t>梧台工业集聚区</w:t>
            </w:r>
            <w:r>
              <w:rPr>
                <w:rFonts w:hint="default" w:ascii="Times New Roman" w:hAnsi="Times New Roman" w:cs="Times New Roman"/>
                <w:kern w:val="0"/>
                <w:sz w:val="24"/>
                <w:highlight w:val="none"/>
              </w:rPr>
              <w:t>内，并符合</w:t>
            </w:r>
            <w:r>
              <w:rPr>
                <w:rFonts w:hint="eastAsia" w:cs="Times New Roman"/>
                <w:kern w:val="0"/>
                <w:sz w:val="24"/>
                <w:highlight w:val="none"/>
                <w:lang w:val="en-US" w:eastAsia="zh-CN"/>
              </w:rPr>
              <w:t>淄博市国土空间规划</w:t>
            </w:r>
            <w:r>
              <w:rPr>
                <w:rFonts w:hint="default" w:ascii="Times New Roman" w:hAnsi="Times New Roman" w:cs="Times New Roman"/>
                <w:kern w:val="0"/>
                <w:sz w:val="24"/>
                <w:highlight w:val="none"/>
              </w:rPr>
              <w:t>。</w:t>
            </w:r>
          </w:p>
          <w:p w14:paraId="6D7728B0">
            <w:pPr>
              <w:widowControl/>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综上所述，本项目的建设选址符合省市相关规定要求。</w:t>
            </w:r>
          </w:p>
          <w:p w14:paraId="5F5623C3">
            <w:pPr>
              <w:widowControl/>
              <w:spacing w:line="360" w:lineRule="auto"/>
              <w:ind w:firstLine="482" w:firstLineChars="200"/>
              <w:jc w:val="left"/>
              <w:rPr>
                <w:rFonts w:hint="eastAsia" w:ascii="Times New Roman" w:hAnsi="Times New Roman" w:eastAsia="宋体" w:cs="Times New Roman"/>
                <w:b/>
                <w:bCs/>
                <w:kern w:val="0"/>
                <w:sz w:val="24"/>
                <w:highlight w:val="none"/>
                <w:lang w:val="en-US" w:eastAsia="zh-CN"/>
              </w:rPr>
            </w:pPr>
            <w:r>
              <w:rPr>
                <w:rFonts w:hint="eastAsia" w:cs="Times New Roman"/>
                <w:b/>
                <w:bCs/>
                <w:kern w:val="0"/>
                <w:sz w:val="24"/>
                <w:highlight w:val="none"/>
                <w:lang w:val="en-US" w:eastAsia="zh-CN"/>
              </w:rPr>
              <w:t>3、规划环境影响评价符合性</w:t>
            </w:r>
          </w:p>
          <w:p w14:paraId="4F9BAB44">
            <w:pPr>
              <w:widowControl/>
              <w:spacing w:line="360" w:lineRule="auto"/>
              <w:ind w:firstLine="480" w:firstLineChars="200"/>
              <w:jc w:val="left"/>
              <w:rPr>
                <w:rFonts w:hint="eastAsia" w:cs="Times New Roman"/>
                <w:kern w:val="0"/>
                <w:sz w:val="24"/>
                <w:highlight w:val="none"/>
                <w:lang w:val="en-US" w:eastAsia="zh-CN"/>
              </w:rPr>
            </w:pPr>
            <w:r>
              <w:rPr>
                <w:rFonts w:hint="eastAsia" w:cs="Times New Roman"/>
                <w:kern w:val="0"/>
                <w:sz w:val="24"/>
                <w:highlight w:val="none"/>
                <w:lang w:eastAsia="zh-CN"/>
              </w:rPr>
              <w:t>《</w:t>
            </w:r>
            <w:r>
              <w:rPr>
                <w:rFonts w:hint="default" w:ascii="Times New Roman" w:hAnsi="Times New Roman" w:eastAsia="宋体" w:cs="Times New Roman"/>
                <w:kern w:val="0"/>
                <w:sz w:val="24"/>
                <w:highlight w:val="none"/>
                <w:lang w:val="en-US" w:eastAsia="zh-CN" w:bidi="ar"/>
              </w:rPr>
              <w:t>凤凰镇梧台工业集聚区总体发展规划</w:t>
            </w:r>
            <w:r>
              <w:rPr>
                <w:rFonts w:hint="eastAsia" w:cs="Times New Roman"/>
                <w:kern w:val="0"/>
                <w:sz w:val="24"/>
                <w:highlight w:val="none"/>
                <w:lang w:val="en-US" w:eastAsia="zh-CN" w:bidi="ar"/>
              </w:rPr>
              <w:t>（</w:t>
            </w:r>
            <w:r>
              <w:rPr>
                <w:rFonts w:hint="default" w:ascii="Times New Roman" w:hAnsi="Times New Roman" w:eastAsia="宋体" w:cs="Times New Roman"/>
                <w:kern w:val="0"/>
                <w:sz w:val="24"/>
                <w:highlight w:val="none"/>
                <w:lang w:val="en-US" w:eastAsia="zh-CN" w:bidi="ar"/>
              </w:rPr>
              <w:t>2024一2035年</w:t>
            </w:r>
            <w:r>
              <w:rPr>
                <w:rFonts w:hint="eastAsia" w:cs="Times New Roman"/>
                <w:kern w:val="0"/>
                <w:sz w:val="24"/>
                <w:highlight w:val="none"/>
                <w:lang w:val="en-US" w:eastAsia="zh-CN" w:bidi="ar"/>
              </w:rPr>
              <w:t>）</w:t>
            </w:r>
            <w:r>
              <w:rPr>
                <w:rFonts w:hint="default" w:ascii="Times New Roman" w:hAnsi="Times New Roman" w:eastAsia="宋体" w:cs="Times New Roman"/>
                <w:kern w:val="0"/>
                <w:sz w:val="24"/>
                <w:highlight w:val="none"/>
                <w:lang w:val="en-US" w:eastAsia="zh-CN" w:bidi="ar"/>
              </w:rPr>
              <w:t>环境影响报告书</w:t>
            </w:r>
            <w:r>
              <w:rPr>
                <w:rFonts w:hint="eastAsia" w:cs="Times New Roman"/>
                <w:kern w:val="0"/>
                <w:sz w:val="24"/>
                <w:highlight w:val="none"/>
                <w:lang w:eastAsia="zh-CN"/>
              </w:rPr>
              <w:t>》</w:t>
            </w:r>
            <w:r>
              <w:rPr>
                <w:rFonts w:hint="eastAsia" w:cs="Times New Roman"/>
                <w:kern w:val="0"/>
                <w:sz w:val="24"/>
                <w:highlight w:val="none"/>
                <w:lang w:val="en-US" w:eastAsia="zh-CN"/>
              </w:rPr>
              <w:t>中项目准入条件见下表。</w:t>
            </w:r>
          </w:p>
          <w:p w14:paraId="06E69AC6">
            <w:pPr>
              <w:pStyle w:val="94"/>
              <w:spacing w:beforeLines="0" w:afterLines="0" w:line="240" w:lineRule="auto"/>
              <w:rPr>
                <w:rFonts w:hint="eastAsia"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表</w:t>
            </w:r>
            <w:r>
              <w:rPr>
                <w:rFonts w:hint="eastAsia" w:ascii="Times New Roman" w:cs="Times New Roman"/>
                <w:b/>
                <w:bCs/>
                <w:sz w:val="24"/>
                <w:szCs w:val="24"/>
                <w:highlight w:val="none"/>
                <w:lang w:val="en-US" w:eastAsia="zh-CN"/>
              </w:rPr>
              <w:t>1-2</w:t>
            </w:r>
            <w:r>
              <w:rPr>
                <w:rFonts w:hint="eastAsia" w:ascii="Times New Roman" w:hAnsi="Times New Roman" w:cs="Times New Roman"/>
                <w:b/>
                <w:bCs/>
                <w:sz w:val="24"/>
                <w:szCs w:val="24"/>
                <w:highlight w:val="none"/>
                <w:lang w:val="en-US" w:eastAsia="zh-CN"/>
              </w:rPr>
              <w:t xml:space="preserve">  集聚区生态环境准入清单</w:t>
            </w:r>
          </w:p>
          <w:tbl>
            <w:tblPr>
              <w:tblStyle w:val="47"/>
              <w:tblW w:w="901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35"/>
              <w:gridCol w:w="1529"/>
              <w:gridCol w:w="3805"/>
              <w:gridCol w:w="2184"/>
              <w:gridCol w:w="666"/>
            </w:tblGrid>
            <w:tr w14:paraId="47C33A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835" w:type="dxa"/>
                  <w:noWrap w:val="0"/>
                  <w:vAlign w:val="center"/>
                </w:tcPr>
                <w:p w14:paraId="3C09DC8C">
                  <w:pPr>
                    <w:jc w:val="center"/>
                    <w:rPr>
                      <w:rFonts w:hint="eastAsia" w:ascii="Times New Roman" w:hAnsi="Times New Roman" w:cs="Times New Roman"/>
                      <w:szCs w:val="21"/>
                      <w:highlight w:val="none"/>
                    </w:rPr>
                  </w:pPr>
                  <w:bookmarkStart w:id="2" w:name="_Hlk89089541"/>
                  <w:r>
                    <w:rPr>
                      <w:rFonts w:hint="eastAsia" w:ascii="Times New Roman" w:hAnsi="Times New Roman" w:cs="Times New Roman"/>
                      <w:szCs w:val="21"/>
                      <w:highlight w:val="none"/>
                    </w:rPr>
                    <w:t>维度</w:t>
                  </w:r>
                </w:p>
              </w:tc>
              <w:tc>
                <w:tcPr>
                  <w:tcW w:w="1529" w:type="dxa"/>
                  <w:tcBorders>
                    <w:right w:val="single" w:color="auto" w:sz="4" w:space="0"/>
                  </w:tcBorders>
                  <w:noWrap w:val="0"/>
                  <w:vAlign w:val="center"/>
                </w:tcPr>
                <w:p w14:paraId="2A54E16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清单编制要求</w:t>
                  </w:r>
                </w:p>
              </w:tc>
              <w:tc>
                <w:tcPr>
                  <w:tcW w:w="3805" w:type="dxa"/>
                  <w:noWrap w:val="0"/>
                  <w:vAlign w:val="center"/>
                </w:tcPr>
                <w:p w14:paraId="50BE9CF1">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表达方式</w:t>
                  </w:r>
                </w:p>
              </w:tc>
              <w:tc>
                <w:tcPr>
                  <w:tcW w:w="2184" w:type="dxa"/>
                  <w:noWrap w:val="0"/>
                  <w:vAlign w:val="center"/>
                </w:tcPr>
                <w:p w14:paraId="70F8D006">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本项目情况</w:t>
                  </w:r>
                </w:p>
              </w:tc>
              <w:tc>
                <w:tcPr>
                  <w:tcW w:w="666" w:type="dxa"/>
                  <w:noWrap w:val="0"/>
                  <w:vAlign w:val="center"/>
                </w:tcPr>
                <w:p w14:paraId="7F15209D">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符合性</w:t>
                  </w:r>
                </w:p>
              </w:tc>
            </w:tr>
            <w:tr w14:paraId="40E2133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602" w:hRule="atLeast"/>
                <w:jc w:val="center"/>
              </w:trPr>
              <w:tc>
                <w:tcPr>
                  <w:tcW w:w="835" w:type="dxa"/>
                  <w:vMerge w:val="restart"/>
                  <w:shd w:val="clear" w:color="auto" w:fill="auto"/>
                  <w:noWrap w:val="0"/>
                  <w:vAlign w:val="center"/>
                </w:tcPr>
                <w:p w14:paraId="744E6182">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空间布局约束</w:t>
                  </w:r>
                </w:p>
              </w:tc>
              <w:tc>
                <w:tcPr>
                  <w:tcW w:w="1529" w:type="dxa"/>
                  <w:tcBorders>
                    <w:right w:val="single" w:color="auto" w:sz="4" w:space="0"/>
                  </w:tcBorders>
                  <w:shd w:val="clear" w:color="000000" w:fill="FFFFFF"/>
                  <w:noWrap w:val="0"/>
                  <w:vAlign w:val="center"/>
                </w:tcPr>
                <w:p w14:paraId="7BEB51BB">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禁止开发建设活动的要求</w:t>
                  </w:r>
                </w:p>
              </w:tc>
              <w:tc>
                <w:tcPr>
                  <w:tcW w:w="3805" w:type="dxa"/>
                  <w:shd w:val="clear" w:color="000000" w:fill="FFFFFF"/>
                  <w:noWrap w:val="0"/>
                  <w:vAlign w:val="center"/>
                </w:tcPr>
                <w:p w14:paraId="165F88D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禁止新建《产业结构调整指导目录》规定的淘汰类产业，对《市场准入负面清单》、《外商投资准入特别管理措施（负面清单）》中禁止准入事项，不得进入。新、改、扩建项目不得使用《产业结构调整指导目录》规定的淘汰类设备和工艺；</w:t>
                  </w:r>
                </w:p>
                <w:p w14:paraId="5EA1FC6E">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禁止在规划的建设用地范围外实施开发建设活动；</w:t>
                  </w:r>
                </w:p>
                <w:p w14:paraId="4915E581">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禁止建设严重危及生产安全、环境污染严重、产品质量不符合国家标准、原材料和能源消耗高及国家法律法规规定的禁止投资的项目</w:t>
                  </w:r>
                </w:p>
              </w:tc>
              <w:tc>
                <w:tcPr>
                  <w:tcW w:w="2184" w:type="dxa"/>
                  <w:shd w:val="clear" w:color="000000" w:fill="FFFFFF"/>
                  <w:noWrap w:val="0"/>
                  <w:vAlign w:val="center"/>
                </w:tcPr>
                <w:p w14:paraId="2BB7C36C">
                  <w:pPr>
                    <w:jc w:val="center"/>
                    <w:rPr>
                      <w:rFonts w:hint="eastAsia" w:cs="Times New Roman"/>
                      <w:szCs w:val="21"/>
                      <w:highlight w:val="none"/>
                      <w:lang w:eastAsia="zh-CN"/>
                    </w:rPr>
                  </w:pPr>
                  <w:r>
                    <w:rPr>
                      <w:rFonts w:hint="eastAsia" w:ascii="Times New Roman" w:hAnsi="Times New Roman" w:cs="Times New Roman"/>
                      <w:szCs w:val="21"/>
                      <w:highlight w:val="none"/>
                    </w:rPr>
                    <w:t>项目</w:t>
                  </w:r>
                  <w:r>
                    <w:rPr>
                      <w:rFonts w:hint="eastAsia" w:cs="Times New Roman"/>
                      <w:szCs w:val="21"/>
                      <w:highlight w:val="none"/>
                      <w:lang w:val="en-US" w:eastAsia="zh-CN"/>
                    </w:rPr>
                    <w:t>不</w:t>
                  </w:r>
                  <w:r>
                    <w:rPr>
                      <w:rFonts w:hint="eastAsia" w:ascii="Times New Roman" w:hAnsi="Times New Roman" w:cs="Times New Roman"/>
                      <w:szCs w:val="21"/>
                      <w:highlight w:val="none"/>
                    </w:rPr>
                    <w:t>属于国家发展改革委发布的《产业结构调整指导目录（2024年本）》中淘汰类</w:t>
                  </w:r>
                  <w:r>
                    <w:rPr>
                      <w:rFonts w:hint="eastAsia" w:cs="Times New Roman"/>
                      <w:szCs w:val="21"/>
                      <w:highlight w:val="none"/>
                      <w:lang w:val="en-US" w:eastAsia="zh-CN"/>
                    </w:rPr>
                    <w:t>产业</w:t>
                  </w:r>
                  <w:r>
                    <w:rPr>
                      <w:rFonts w:hint="eastAsia" w:ascii="Times New Roman" w:hAnsi="Times New Roman" w:cs="Times New Roman"/>
                      <w:szCs w:val="21"/>
                      <w:highlight w:val="none"/>
                    </w:rPr>
                    <w:t>，</w:t>
                  </w:r>
                  <w:r>
                    <w:rPr>
                      <w:rFonts w:hint="eastAsia" w:cs="Times New Roman"/>
                      <w:szCs w:val="21"/>
                      <w:highlight w:val="none"/>
                      <w:lang w:val="en-US" w:eastAsia="zh-CN"/>
                    </w:rPr>
                    <w:t>项目不</w:t>
                  </w:r>
                  <w:r>
                    <w:rPr>
                      <w:rFonts w:hint="eastAsia" w:ascii="Times New Roman" w:hAnsi="Times New Roman" w:cs="Times New Roman"/>
                      <w:szCs w:val="21"/>
                      <w:highlight w:val="none"/>
                    </w:rPr>
                    <w:t>使用《产业结构调整指导目录》规定的淘汰类设备和工艺</w:t>
                  </w:r>
                  <w:r>
                    <w:rPr>
                      <w:rFonts w:hint="eastAsia" w:cs="Times New Roman"/>
                      <w:szCs w:val="21"/>
                      <w:highlight w:val="none"/>
                      <w:lang w:eastAsia="zh-CN"/>
                    </w:rPr>
                    <w:t>；</w:t>
                  </w:r>
                </w:p>
                <w:p w14:paraId="2094F49F">
                  <w:pPr>
                    <w:jc w:val="center"/>
                    <w:rPr>
                      <w:rFonts w:hint="eastAsia" w:cs="Times New Roman"/>
                      <w:szCs w:val="21"/>
                      <w:highlight w:val="none"/>
                      <w:lang w:val="en-US" w:eastAsia="zh-CN"/>
                    </w:rPr>
                  </w:pPr>
                  <w:r>
                    <w:rPr>
                      <w:rFonts w:hint="eastAsia" w:cs="Times New Roman"/>
                      <w:szCs w:val="21"/>
                      <w:highlight w:val="none"/>
                      <w:lang w:val="en-US" w:eastAsia="zh-CN"/>
                    </w:rPr>
                    <w:t>项目用地为工业用地</w:t>
                  </w:r>
                </w:p>
                <w:p w14:paraId="4FC53DDA">
                  <w:pPr>
                    <w:jc w:val="center"/>
                    <w:rPr>
                      <w:rFonts w:hint="default" w:cs="Times New Roman"/>
                      <w:szCs w:val="21"/>
                      <w:highlight w:val="none"/>
                      <w:lang w:val="en-US" w:eastAsia="zh-CN"/>
                    </w:rPr>
                  </w:pPr>
                  <w:r>
                    <w:rPr>
                      <w:rFonts w:hint="eastAsia" w:cs="Times New Roman"/>
                      <w:szCs w:val="21"/>
                      <w:highlight w:val="none"/>
                      <w:lang w:val="en-US" w:eastAsia="zh-CN"/>
                    </w:rPr>
                    <w:t>项目不属于禁止投资的项目</w:t>
                  </w:r>
                </w:p>
              </w:tc>
              <w:tc>
                <w:tcPr>
                  <w:tcW w:w="666" w:type="dxa"/>
                  <w:shd w:val="clear" w:color="000000" w:fill="FFFFFF"/>
                  <w:noWrap w:val="0"/>
                  <w:vAlign w:val="center"/>
                </w:tcPr>
                <w:p w14:paraId="1816D92D">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符合</w:t>
                  </w:r>
                </w:p>
              </w:tc>
            </w:tr>
            <w:tr w14:paraId="05C066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05509A3F">
                  <w:pPr>
                    <w:jc w:val="center"/>
                    <w:rPr>
                      <w:rFonts w:hint="eastAsia" w:ascii="Times New Roman" w:hAnsi="Times New Roman" w:cs="Times New Roman"/>
                      <w:szCs w:val="21"/>
                      <w:highlight w:val="none"/>
                    </w:rPr>
                  </w:pPr>
                </w:p>
              </w:tc>
              <w:tc>
                <w:tcPr>
                  <w:tcW w:w="1529" w:type="dxa"/>
                  <w:vMerge w:val="restart"/>
                  <w:shd w:val="clear" w:color="000000" w:fill="FFFFFF"/>
                  <w:noWrap w:val="0"/>
                  <w:vAlign w:val="center"/>
                </w:tcPr>
                <w:p w14:paraId="3DE5415A">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限制开发建设活动的要求</w:t>
                  </w:r>
                </w:p>
              </w:tc>
              <w:tc>
                <w:tcPr>
                  <w:tcW w:w="3805" w:type="dxa"/>
                  <w:shd w:val="clear" w:color="000000" w:fill="FFFFFF"/>
                  <w:noWrap w:val="0"/>
                  <w:vAlign w:val="center"/>
                </w:tcPr>
                <w:p w14:paraId="33C6AB15">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工业项目应在规划的工业用地上建设</w:t>
                  </w:r>
                </w:p>
              </w:tc>
              <w:tc>
                <w:tcPr>
                  <w:tcW w:w="2184" w:type="dxa"/>
                  <w:shd w:val="clear" w:color="000000" w:fill="FFFFFF"/>
                  <w:noWrap w:val="0"/>
                  <w:vAlign w:val="center"/>
                </w:tcPr>
                <w:p w14:paraId="7A720FAB">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项目用地为二类工业用地</w:t>
                  </w:r>
                </w:p>
              </w:tc>
              <w:tc>
                <w:tcPr>
                  <w:tcW w:w="666" w:type="dxa"/>
                  <w:shd w:val="clear" w:color="000000" w:fill="FFFFFF"/>
                  <w:noWrap w:val="0"/>
                  <w:vAlign w:val="center"/>
                </w:tcPr>
                <w:p w14:paraId="758F305B">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符合</w:t>
                  </w:r>
                </w:p>
              </w:tc>
            </w:tr>
            <w:tr w14:paraId="34BB82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26749299">
                  <w:pPr>
                    <w:jc w:val="center"/>
                    <w:rPr>
                      <w:rFonts w:hint="eastAsia" w:ascii="Times New Roman" w:hAnsi="Times New Roman" w:cs="Times New Roman"/>
                      <w:szCs w:val="21"/>
                      <w:highlight w:val="none"/>
                    </w:rPr>
                  </w:pPr>
                </w:p>
              </w:tc>
              <w:tc>
                <w:tcPr>
                  <w:tcW w:w="1529" w:type="dxa"/>
                  <w:vMerge w:val="continue"/>
                  <w:shd w:val="clear" w:color="000000" w:fill="FFFFFF"/>
                  <w:noWrap w:val="0"/>
                  <w:vAlign w:val="center"/>
                </w:tcPr>
                <w:p w14:paraId="1B4DA027">
                  <w:pPr>
                    <w:jc w:val="center"/>
                    <w:rPr>
                      <w:rFonts w:hint="eastAsia" w:ascii="Times New Roman" w:hAnsi="Times New Roman" w:cs="Times New Roman"/>
                      <w:szCs w:val="21"/>
                      <w:highlight w:val="none"/>
                    </w:rPr>
                  </w:pPr>
                </w:p>
              </w:tc>
              <w:tc>
                <w:tcPr>
                  <w:tcW w:w="3805" w:type="dxa"/>
                  <w:shd w:val="clear" w:color="000000" w:fill="FFFFFF"/>
                  <w:noWrap w:val="0"/>
                  <w:vAlign w:val="center"/>
                </w:tcPr>
                <w:p w14:paraId="3391DCEA">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靠近周边近距离敏感点区域优先引入污染较小的项目</w:t>
                  </w:r>
                </w:p>
              </w:tc>
              <w:tc>
                <w:tcPr>
                  <w:tcW w:w="2184" w:type="dxa"/>
                  <w:shd w:val="clear" w:color="000000" w:fill="FFFFFF"/>
                  <w:noWrap w:val="0"/>
                  <w:vAlign w:val="center"/>
                </w:tcPr>
                <w:p w14:paraId="5A59F069">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项目近距离周边无敏感点。</w:t>
                  </w:r>
                </w:p>
              </w:tc>
              <w:tc>
                <w:tcPr>
                  <w:tcW w:w="666" w:type="dxa"/>
                  <w:shd w:val="clear" w:color="000000" w:fill="FFFFFF"/>
                  <w:noWrap w:val="0"/>
                  <w:vAlign w:val="center"/>
                </w:tcPr>
                <w:p w14:paraId="76587465">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33FB0E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2D19B8D7">
                  <w:pPr>
                    <w:jc w:val="center"/>
                    <w:rPr>
                      <w:rFonts w:hint="eastAsia" w:ascii="Times New Roman" w:hAnsi="Times New Roman" w:cs="Times New Roman"/>
                      <w:szCs w:val="21"/>
                      <w:highlight w:val="none"/>
                    </w:rPr>
                  </w:pPr>
                </w:p>
              </w:tc>
              <w:tc>
                <w:tcPr>
                  <w:tcW w:w="1529" w:type="dxa"/>
                  <w:vMerge w:val="continue"/>
                  <w:shd w:val="clear" w:color="000000" w:fill="FFFFFF"/>
                  <w:noWrap w:val="0"/>
                  <w:vAlign w:val="center"/>
                </w:tcPr>
                <w:p w14:paraId="355C10CF">
                  <w:pPr>
                    <w:jc w:val="center"/>
                    <w:rPr>
                      <w:rFonts w:hint="eastAsia" w:ascii="Times New Roman" w:hAnsi="Times New Roman" w:cs="Times New Roman"/>
                      <w:szCs w:val="21"/>
                      <w:highlight w:val="none"/>
                    </w:rPr>
                  </w:pPr>
                </w:p>
              </w:tc>
              <w:tc>
                <w:tcPr>
                  <w:tcW w:w="3805" w:type="dxa"/>
                  <w:shd w:val="clear" w:color="000000" w:fill="FFFFFF"/>
                  <w:noWrap w:val="0"/>
                  <w:vAlign w:val="center"/>
                </w:tcPr>
                <w:p w14:paraId="32DFBA12">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限制产能严重过剩，不利于节约资源和保护生态环境的投资项目</w:t>
                  </w:r>
                </w:p>
              </w:tc>
              <w:tc>
                <w:tcPr>
                  <w:tcW w:w="2184" w:type="dxa"/>
                  <w:shd w:val="clear" w:color="000000" w:fill="FFFFFF"/>
                  <w:noWrap w:val="0"/>
                  <w:vAlign w:val="center"/>
                </w:tcPr>
                <w:p w14:paraId="09FFD006">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项目不属于</w:t>
                  </w:r>
                  <w:r>
                    <w:rPr>
                      <w:rFonts w:hint="eastAsia" w:ascii="Times New Roman" w:hAnsi="Times New Roman" w:cs="Times New Roman"/>
                      <w:szCs w:val="21"/>
                      <w:highlight w:val="none"/>
                    </w:rPr>
                    <w:t>产能严重过剩，不利于节约资源和保护生态环境的投资项目</w:t>
                  </w:r>
                </w:p>
              </w:tc>
              <w:tc>
                <w:tcPr>
                  <w:tcW w:w="666" w:type="dxa"/>
                  <w:shd w:val="clear" w:color="000000" w:fill="FFFFFF"/>
                  <w:noWrap w:val="0"/>
                  <w:vAlign w:val="center"/>
                </w:tcPr>
                <w:p w14:paraId="74956D2C">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0B861F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5BB1AA48">
                  <w:pPr>
                    <w:jc w:val="center"/>
                    <w:rPr>
                      <w:rFonts w:hint="eastAsia" w:ascii="Times New Roman" w:hAnsi="Times New Roman" w:cs="Times New Roman"/>
                      <w:szCs w:val="21"/>
                      <w:highlight w:val="none"/>
                    </w:rPr>
                  </w:pPr>
                </w:p>
              </w:tc>
              <w:tc>
                <w:tcPr>
                  <w:tcW w:w="1529" w:type="dxa"/>
                  <w:vMerge w:val="continue"/>
                  <w:shd w:val="clear" w:color="000000" w:fill="FFFFFF"/>
                  <w:noWrap w:val="0"/>
                  <w:vAlign w:val="center"/>
                </w:tcPr>
                <w:p w14:paraId="5317780B">
                  <w:pPr>
                    <w:jc w:val="center"/>
                    <w:rPr>
                      <w:rFonts w:hint="eastAsia" w:ascii="Times New Roman" w:hAnsi="Times New Roman" w:cs="Times New Roman"/>
                      <w:szCs w:val="21"/>
                      <w:highlight w:val="none"/>
                    </w:rPr>
                  </w:pPr>
                </w:p>
              </w:tc>
              <w:tc>
                <w:tcPr>
                  <w:tcW w:w="3805" w:type="dxa"/>
                  <w:shd w:val="clear" w:color="000000" w:fill="FFFFFF"/>
                  <w:noWrap w:val="0"/>
                  <w:vAlign w:val="center"/>
                </w:tcPr>
                <w:p w14:paraId="1E3895D3">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从严审批高耗水、高污染物排放、产生有毒有害污染物的建设项目</w:t>
                  </w:r>
                </w:p>
              </w:tc>
              <w:tc>
                <w:tcPr>
                  <w:tcW w:w="2184" w:type="dxa"/>
                  <w:shd w:val="clear" w:color="000000" w:fill="FFFFFF"/>
                  <w:noWrap w:val="0"/>
                  <w:vAlign w:val="center"/>
                </w:tcPr>
                <w:p w14:paraId="77B76BC0">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项目不属于</w:t>
                  </w:r>
                  <w:r>
                    <w:rPr>
                      <w:rFonts w:hint="eastAsia" w:ascii="Times New Roman" w:hAnsi="Times New Roman" w:cs="Times New Roman"/>
                      <w:szCs w:val="21"/>
                      <w:highlight w:val="none"/>
                    </w:rPr>
                    <w:t>高耗水、高污染物排放、产生有毒有害污染物的建设项目</w:t>
                  </w:r>
                </w:p>
              </w:tc>
              <w:tc>
                <w:tcPr>
                  <w:tcW w:w="666" w:type="dxa"/>
                  <w:shd w:val="clear" w:color="000000" w:fill="FFFFFF"/>
                  <w:noWrap w:val="0"/>
                  <w:vAlign w:val="center"/>
                </w:tcPr>
                <w:p w14:paraId="03FB17C2">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478510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6C371D31">
                  <w:pPr>
                    <w:jc w:val="center"/>
                    <w:rPr>
                      <w:rFonts w:hint="eastAsia" w:ascii="Times New Roman" w:hAnsi="Times New Roman" w:cs="Times New Roman"/>
                      <w:szCs w:val="21"/>
                      <w:highlight w:val="none"/>
                    </w:rPr>
                  </w:pPr>
                </w:p>
              </w:tc>
              <w:tc>
                <w:tcPr>
                  <w:tcW w:w="1529" w:type="dxa"/>
                  <w:shd w:val="clear" w:color="000000" w:fill="FFFFFF"/>
                  <w:noWrap w:val="0"/>
                  <w:vAlign w:val="center"/>
                </w:tcPr>
                <w:p w14:paraId="2941303B">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不符合空间布局要求活动的退出要求</w:t>
                  </w:r>
                </w:p>
              </w:tc>
              <w:tc>
                <w:tcPr>
                  <w:tcW w:w="3805" w:type="dxa"/>
                  <w:shd w:val="clear" w:color="000000" w:fill="FFFFFF"/>
                  <w:noWrap w:val="0"/>
                  <w:vAlign w:val="center"/>
                </w:tcPr>
                <w:p w14:paraId="79766C85">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无</w:t>
                  </w:r>
                </w:p>
              </w:tc>
              <w:tc>
                <w:tcPr>
                  <w:tcW w:w="2184" w:type="dxa"/>
                  <w:shd w:val="clear" w:color="000000" w:fill="FFFFFF"/>
                  <w:noWrap w:val="0"/>
                  <w:vAlign w:val="center"/>
                </w:tcPr>
                <w:p w14:paraId="7AD95A21">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666" w:type="dxa"/>
                  <w:shd w:val="clear" w:color="000000" w:fill="FFFFFF"/>
                  <w:noWrap w:val="0"/>
                  <w:vAlign w:val="center"/>
                </w:tcPr>
                <w:p w14:paraId="72F42711">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69AAE0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shd w:val="clear" w:color="auto" w:fill="auto"/>
                  <w:noWrap w:val="0"/>
                  <w:vAlign w:val="center"/>
                </w:tcPr>
                <w:p w14:paraId="2FD1D32C">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污染物排放管控</w:t>
                  </w:r>
                </w:p>
              </w:tc>
              <w:tc>
                <w:tcPr>
                  <w:tcW w:w="1529" w:type="dxa"/>
                  <w:shd w:val="clear" w:color="000000" w:fill="FFFFFF"/>
                  <w:noWrap w:val="0"/>
                  <w:vAlign w:val="center"/>
                </w:tcPr>
                <w:p w14:paraId="3B4E2E08">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新增污染源</w:t>
                  </w:r>
                </w:p>
              </w:tc>
              <w:tc>
                <w:tcPr>
                  <w:tcW w:w="3805" w:type="dxa"/>
                  <w:shd w:val="clear" w:color="000000" w:fill="FFFFFF"/>
                  <w:noWrap w:val="0"/>
                  <w:vAlign w:val="center"/>
                </w:tcPr>
                <w:p w14:paraId="2A4849BE">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集聚区内新建、改扩建项目污染源应落实污染物总量指标和倍量替代制度，实现区域污染物排放量削减</w:t>
                  </w:r>
                </w:p>
              </w:tc>
              <w:tc>
                <w:tcPr>
                  <w:tcW w:w="2184" w:type="dxa"/>
                  <w:shd w:val="clear" w:color="000000" w:fill="FFFFFF"/>
                  <w:noWrap w:val="0"/>
                  <w:vAlign w:val="center"/>
                </w:tcPr>
                <w:p w14:paraId="6D83700A">
                  <w:pPr>
                    <w:jc w:val="center"/>
                    <w:rPr>
                      <w:rFonts w:hint="eastAsia" w:ascii="Times New Roman" w:hAnsi="Times New Roman" w:cs="Times New Roman"/>
                      <w:szCs w:val="21"/>
                      <w:highlight w:val="none"/>
                    </w:rPr>
                  </w:pPr>
                  <w:r>
                    <w:rPr>
                      <w:rFonts w:hint="eastAsia" w:cs="Times New Roman"/>
                      <w:bCs/>
                      <w:snapToGrid w:val="0"/>
                      <w:highlight w:val="none"/>
                      <w:lang w:val="en-US" w:eastAsia="zh-CN"/>
                    </w:rPr>
                    <w:t>项目位严格落实主要污染物总量控制和排污许可制度。</w:t>
                  </w:r>
                </w:p>
              </w:tc>
              <w:tc>
                <w:tcPr>
                  <w:tcW w:w="666" w:type="dxa"/>
                  <w:shd w:val="clear" w:color="000000" w:fill="FFFFFF"/>
                  <w:noWrap w:val="0"/>
                  <w:vAlign w:val="center"/>
                </w:tcPr>
                <w:p w14:paraId="646A22BA">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688787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shd w:val="clear" w:color="auto" w:fill="auto"/>
                  <w:noWrap w:val="0"/>
                  <w:vAlign w:val="center"/>
                </w:tcPr>
                <w:p w14:paraId="03D8FA83">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环境风险防控</w:t>
                  </w:r>
                </w:p>
              </w:tc>
              <w:tc>
                <w:tcPr>
                  <w:tcW w:w="1529" w:type="dxa"/>
                  <w:shd w:val="clear" w:color="000000" w:fill="FFFFFF"/>
                  <w:noWrap w:val="0"/>
                  <w:vAlign w:val="center"/>
                </w:tcPr>
                <w:p w14:paraId="7C1762CF">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联防联控要求</w:t>
                  </w:r>
                </w:p>
              </w:tc>
              <w:tc>
                <w:tcPr>
                  <w:tcW w:w="3805" w:type="dxa"/>
                  <w:shd w:val="clear" w:color="000000" w:fill="FFFFFF"/>
                  <w:noWrap w:val="0"/>
                  <w:vAlign w:val="center"/>
                </w:tcPr>
                <w:p w14:paraId="14F677E1">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园内各企业根据要求编制突发环境事件应急预案，预防环境污染事故的发生；各企业纳入园区风险管理体系，园区完善区内风险防控体系，联防联控，组织应急演练并完善应急物资储备体系</w:t>
                  </w:r>
                </w:p>
              </w:tc>
              <w:tc>
                <w:tcPr>
                  <w:tcW w:w="2184" w:type="dxa"/>
                  <w:shd w:val="clear" w:color="000000" w:fill="FFFFFF"/>
                  <w:noWrap w:val="0"/>
                  <w:vAlign w:val="center"/>
                </w:tcPr>
                <w:p w14:paraId="2A7608BD">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项目</w:t>
                  </w:r>
                  <w:r>
                    <w:rPr>
                      <w:rFonts w:hint="eastAsia" w:ascii="Times New Roman" w:hAnsi="Times New Roman" w:cs="Times New Roman"/>
                      <w:szCs w:val="21"/>
                      <w:highlight w:val="none"/>
                    </w:rPr>
                    <w:t>根据要求编制突发环境事件应急预案，组织应急演练并完善应急物资储备体系</w:t>
                  </w:r>
                </w:p>
              </w:tc>
              <w:tc>
                <w:tcPr>
                  <w:tcW w:w="666" w:type="dxa"/>
                  <w:shd w:val="clear" w:color="000000" w:fill="FFFFFF"/>
                  <w:noWrap w:val="0"/>
                  <w:vAlign w:val="center"/>
                </w:tcPr>
                <w:p w14:paraId="172F49C2">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3D0CBC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restart"/>
                  <w:shd w:val="clear" w:color="auto" w:fill="auto"/>
                  <w:noWrap w:val="0"/>
                  <w:vAlign w:val="center"/>
                </w:tcPr>
                <w:p w14:paraId="2971E4F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资源利用效率要求</w:t>
                  </w:r>
                </w:p>
              </w:tc>
              <w:tc>
                <w:tcPr>
                  <w:tcW w:w="1529" w:type="dxa"/>
                  <w:shd w:val="clear" w:color="000000" w:fill="FFFFFF"/>
                  <w:noWrap w:val="0"/>
                  <w:vAlign w:val="center"/>
                </w:tcPr>
                <w:p w14:paraId="20465A4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水资源利用总量要求</w:t>
                  </w:r>
                </w:p>
              </w:tc>
              <w:tc>
                <w:tcPr>
                  <w:tcW w:w="3805" w:type="dxa"/>
                  <w:shd w:val="clear" w:color="000000" w:fill="FFFFFF"/>
                  <w:noWrap w:val="0"/>
                  <w:vAlign w:val="center"/>
                </w:tcPr>
                <w:p w14:paraId="0B8A6349">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集聚区实现集中供水，污水集中处理率达到100%，园区道路洒水、绿化用水等用水优先采用敬仲污水处理厂中水；规划期新鲜水取水量控制在54.16万m3/a以内，园区企业禁止违规取用地下水</w:t>
                  </w:r>
                </w:p>
              </w:tc>
              <w:tc>
                <w:tcPr>
                  <w:tcW w:w="2184" w:type="dxa"/>
                  <w:shd w:val="clear" w:color="000000" w:fill="FFFFFF"/>
                  <w:noWrap w:val="0"/>
                  <w:vAlign w:val="center"/>
                </w:tcPr>
                <w:p w14:paraId="3651E0EF">
                  <w:pPr>
                    <w:jc w:val="center"/>
                    <w:rPr>
                      <w:rFonts w:hint="eastAsia" w:ascii="Times New Roman" w:hAnsi="Times New Roman" w:cs="Times New Roman"/>
                      <w:szCs w:val="21"/>
                      <w:highlight w:val="none"/>
                    </w:rPr>
                  </w:pPr>
                  <w:r>
                    <w:rPr>
                      <w:rFonts w:hint="eastAsia" w:cs="Times New Roman"/>
                      <w:szCs w:val="21"/>
                      <w:highlight w:val="none"/>
                      <w:lang w:val="en-US" w:eastAsia="zh-CN"/>
                    </w:rPr>
                    <w:t>项目</w:t>
                  </w:r>
                  <w:r>
                    <w:rPr>
                      <w:rFonts w:hint="eastAsia" w:ascii="Times New Roman" w:hAnsi="Times New Roman" w:cs="Times New Roman"/>
                      <w:szCs w:val="21"/>
                      <w:highlight w:val="none"/>
                    </w:rPr>
                    <w:t>用水由市政供水管网供给，去离子水由企业外购</w:t>
                  </w:r>
                </w:p>
              </w:tc>
              <w:tc>
                <w:tcPr>
                  <w:tcW w:w="666" w:type="dxa"/>
                  <w:shd w:val="clear" w:color="000000" w:fill="FFFFFF"/>
                  <w:noWrap w:val="0"/>
                  <w:vAlign w:val="center"/>
                </w:tcPr>
                <w:p w14:paraId="3C25ED6D">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101F39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0AB4A129">
                  <w:pPr>
                    <w:jc w:val="center"/>
                    <w:rPr>
                      <w:rFonts w:hint="eastAsia" w:ascii="Times New Roman" w:hAnsi="Times New Roman" w:cs="Times New Roman"/>
                      <w:szCs w:val="21"/>
                      <w:highlight w:val="none"/>
                    </w:rPr>
                  </w:pPr>
                </w:p>
              </w:tc>
              <w:tc>
                <w:tcPr>
                  <w:tcW w:w="1529" w:type="dxa"/>
                  <w:shd w:val="clear" w:color="000000" w:fill="FFFFFF"/>
                  <w:noWrap w:val="0"/>
                  <w:vAlign w:val="center"/>
                </w:tcPr>
                <w:p w14:paraId="260A7181">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能源利用总量及效率要求</w:t>
                  </w:r>
                </w:p>
              </w:tc>
              <w:tc>
                <w:tcPr>
                  <w:tcW w:w="3805" w:type="dxa"/>
                  <w:shd w:val="clear" w:color="000000" w:fill="FFFFFF"/>
                  <w:noWrap w:val="0"/>
                  <w:vAlign w:val="center"/>
                </w:tcPr>
                <w:p w14:paraId="54B64CFA">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园区内企业应达到清洁生产先进企业要求；提高区内企业资源利用效率，降低能耗指标，满足淄博市相关要求；集聚区内不新增燃煤炭消耗量</w:t>
                  </w:r>
                </w:p>
              </w:tc>
              <w:tc>
                <w:tcPr>
                  <w:tcW w:w="2184" w:type="dxa"/>
                  <w:shd w:val="clear" w:color="000000" w:fill="FFFFFF"/>
                  <w:noWrap w:val="0"/>
                  <w:vAlign w:val="center"/>
                </w:tcPr>
                <w:p w14:paraId="345B8F46">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项目不使用煤炭</w:t>
                  </w:r>
                </w:p>
              </w:tc>
              <w:tc>
                <w:tcPr>
                  <w:tcW w:w="666" w:type="dxa"/>
                  <w:shd w:val="clear" w:color="000000" w:fill="FFFFFF"/>
                  <w:noWrap w:val="0"/>
                  <w:vAlign w:val="center"/>
                </w:tcPr>
                <w:p w14:paraId="605B20D6">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735BC1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6DA56669">
                  <w:pPr>
                    <w:jc w:val="center"/>
                    <w:rPr>
                      <w:rFonts w:hint="eastAsia" w:ascii="Times New Roman" w:hAnsi="Times New Roman" w:cs="Times New Roman"/>
                      <w:szCs w:val="21"/>
                      <w:highlight w:val="none"/>
                    </w:rPr>
                  </w:pPr>
                </w:p>
              </w:tc>
              <w:tc>
                <w:tcPr>
                  <w:tcW w:w="1529" w:type="dxa"/>
                  <w:shd w:val="clear" w:color="000000" w:fill="FFFFFF"/>
                  <w:noWrap w:val="0"/>
                  <w:vAlign w:val="center"/>
                </w:tcPr>
                <w:p w14:paraId="78E6FC25">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禁燃区要求</w:t>
                  </w:r>
                </w:p>
              </w:tc>
              <w:tc>
                <w:tcPr>
                  <w:tcW w:w="3805" w:type="dxa"/>
                  <w:shd w:val="clear" w:color="000000" w:fill="FFFFFF"/>
                  <w:noWrap w:val="0"/>
                  <w:vAlign w:val="center"/>
                </w:tcPr>
                <w:p w14:paraId="3F58B9F0">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无（不属于高污染燃料禁燃区）</w:t>
                  </w:r>
                </w:p>
              </w:tc>
              <w:tc>
                <w:tcPr>
                  <w:tcW w:w="2184" w:type="dxa"/>
                  <w:shd w:val="clear" w:color="000000" w:fill="FFFFFF"/>
                  <w:noWrap w:val="0"/>
                  <w:vAlign w:val="center"/>
                </w:tcPr>
                <w:p w14:paraId="2BE32A01">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项目不使用高污染燃料</w:t>
                  </w:r>
                </w:p>
              </w:tc>
              <w:tc>
                <w:tcPr>
                  <w:tcW w:w="666" w:type="dxa"/>
                  <w:shd w:val="clear" w:color="000000" w:fill="FFFFFF"/>
                  <w:noWrap w:val="0"/>
                  <w:vAlign w:val="center"/>
                </w:tcPr>
                <w:p w14:paraId="796C4BA6">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tr w14:paraId="7DDBDB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35" w:type="dxa"/>
                  <w:vMerge w:val="continue"/>
                  <w:shd w:val="clear" w:color="auto" w:fill="auto"/>
                  <w:noWrap w:val="0"/>
                  <w:vAlign w:val="center"/>
                </w:tcPr>
                <w:p w14:paraId="2599DCED">
                  <w:pPr>
                    <w:jc w:val="center"/>
                    <w:rPr>
                      <w:rFonts w:hint="eastAsia" w:ascii="Times New Roman" w:hAnsi="Times New Roman" w:cs="Times New Roman"/>
                      <w:szCs w:val="21"/>
                      <w:highlight w:val="none"/>
                    </w:rPr>
                  </w:pPr>
                </w:p>
              </w:tc>
              <w:tc>
                <w:tcPr>
                  <w:tcW w:w="1529" w:type="dxa"/>
                  <w:shd w:val="clear" w:color="000000" w:fill="FFFFFF"/>
                  <w:noWrap w:val="0"/>
                  <w:vAlign w:val="center"/>
                </w:tcPr>
                <w:p w14:paraId="1F4774DF">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工业资源综合利用</w:t>
                  </w:r>
                </w:p>
              </w:tc>
              <w:tc>
                <w:tcPr>
                  <w:tcW w:w="3805" w:type="dxa"/>
                  <w:shd w:val="clear" w:color="000000" w:fill="FFFFFF"/>
                  <w:noWrap w:val="0"/>
                  <w:vAlign w:val="center"/>
                </w:tcPr>
                <w:p w14:paraId="7B831A41">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强化工业资源综合利用，加大资源和产业整合力度，促进企业、集聚区、行业间链接共生、原料互供、资源共享，构建企业小循环、产业中循环、区域大循环发展模式，打造循环经济产业示范园区</w:t>
                  </w:r>
                </w:p>
              </w:tc>
              <w:tc>
                <w:tcPr>
                  <w:tcW w:w="2184" w:type="dxa"/>
                  <w:shd w:val="clear" w:color="000000" w:fill="FFFFFF"/>
                  <w:noWrap w:val="0"/>
                  <w:vAlign w:val="center"/>
                </w:tcPr>
                <w:p w14:paraId="4953B13D">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w:t>
                  </w:r>
                  <w:r>
                    <w:rPr>
                      <w:rFonts w:hint="eastAsia" w:ascii="Times New Roman" w:hAnsi="Times New Roman" w:cs="Times New Roman"/>
                      <w:szCs w:val="21"/>
                      <w:highlight w:val="none"/>
                    </w:rPr>
                    <w:t>废包装材料、边角料、不合格产品收集后外售</w:t>
                  </w:r>
                  <w:r>
                    <w:rPr>
                      <w:rFonts w:hint="eastAsia" w:cs="Times New Roman"/>
                      <w:szCs w:val="21"/>
                      <w:highlight w:val="none"/>
                      <w:lang w:eastAsia="zh-CN"/>
                    </w:rPr>
                    <w:t>，</w:t>
                  </w:r>
                  <w:r>
                    <w:rPr>
                      <w:rFonts w:hint="eastAsia" w:cs="Times New Roman"/>
                      <w:szCs w:val="21"/>
                      <w:highlight w:val="none"/>
                      <w:lang w:val="en-US" w:eastAsia="zh-CN"/>
                    </w:rPr>
                    <w:t>用于资源综合利用</w:t>
                  </w:r>
                </w:p>
              </w:tc>
              <w:tc>
                <w:tcPr>
                  <w:tcW w:w="666" w:type="dxa"/>
                  <w:shd w:val="clear" w:color="000000" w:fill="FFFFFF"/>
                  <w:noWrap w:val="0"/>
                  <w:vAlign w:val="center"/>
                </w:tcPr>
                <w:p w14:paraId="21694A74">
                  <w:pPr>
                    <w:jc w:val="center"/>
                    <w:rPr>
                      <w:rFonts w:hint="eastAsia" w:ascii="Times New Roman" w:hAnsi="Times New Roman" w:cs="Times New Roman"/>
                      <w:szCs w:val="21"/>
                      <w:highlight w:val="none"/>
                    </w:rPr>
                  </w:pPr>
                  <w:r>
                    <w:rPr>
                      <w:rFonts w:hint="eastAsia" w:cs="Times New Roman"/>
                      <w:szCs w:val="21"/>
                      <w:highlight w:val="none"/>
                      <w:lang w:val="en-US" w:eastAsia="zh-CN"/>
                    </w:rPr>
                    <w:t>符合</w:t>
                  </w:r>
                </w:p>
              </w:tc>
            </w:tr>
            <w:bookmarkEnd w:id="2"/>
          </w:tbl>
          <w:p w14:paraId="4690790F">
            <w:pPr>
              <w:pStyle w:val="94"/>
              <w:spacing w:beforeLines="0" w:afterLines="0" w:line="240" w:lineRule="auto"/>
              <w:rPr>
                <w:rFonts w:hint="default"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表</w:t>
            </w:r>
            <w:r>
              <w:rPr>
                <w:rFonts w:hint="eastAsia" w:ascii="Times New Roman" w:cs="Times New Roman"/>
                <w:b/>
                <w:bCs/>
                <w:sz w:val="24"/>
                <w:szCs w:val="24"/>
                <w:highlight w:val="none"/>
                <w:lang w:val="en-US" w:eastAsia="zh-CN"/>
              </w:rPr>
              <w:t>1-2</w:t>
            </w:r>
            <w:r>
              <w:rPr>
                <w:rFonts w:hint="eastAsia" w:ascii="Times New Roman" w:hAnsi="Times New Roman" w:cs="Times New Roman"/>
                <w:b/>
                <w:bCs/>
                <w:sz w:val="24"/>
                <w:szCs w:val="24"/>
                <w:highlight w:val="none"/>
                <w:lang w:val="en-US" w:eastAsia="zh-CN"/>
              </w:rPr>
              <w:t xml:space="preserve"> </w:t>
            </w:r>
            <w:r>
              <w:rPr>
                <w:rFonts w:hint="eastAsia" w:ascii="Times New Roman" w:cs="Times New Roman"/>
                <w:b/>
                <w:bCs/>
                <w:sz w:val="24"/>
                <w:szCs w:val="24"/>
                <w:highlight w:val="none"/>
                <w:lang w:val="en-US" w:eastAsia="zh-CN"/>
              </w:rPr>
              <w:t xml:space="preserve"> </w:t>
            </w:r>
            <w:r>
              <w:rPr>
                <w:rFonts w:hint="eastAsia" w:ascii="Times New Roman" w:hAnsi="Times New Roman" w:cs="Times New Roman"/>
                <w:b/>
                <w:bCs/>
                <w:sz w:val="24"/>
                <w:szCs w:val="24"/>
                <w:highlight w:val="none"/>
                <w:lang w:val="en-US" w:eastAsia="zh-CN"/>
              </w:rPr>
              <w:t>入区行业控制级别表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3"/>
              <w:gridCol w:w="1841"/>
              <w:gridCol w:w="2112"/>
              <w:gridCol w:w="2991"/>
              <w:gridCol w:w="993"/>
            </w:tblGrid>
            <w:tr w14:paraId="0B162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tcBorders>
                    <w:top w:val="single" w:color="auto" w:sz="4" w:space="0"/>
                    <w:left w:val="single" w:color="auto" w:sz="4" w:space="0"/>
                    <w:bottom w:val="single" w:color="auto" w:sz="4" w:space="0"/>
                    <w:right w:val="single" w:color="auto" w:sz="4" w:space="0"/>
                  </w:tcBorders>
                  <w:noWrap w:val="0"/>
                  <w:vAlign w:val="center"/>
                </w:tcPr>
                <w:p w14:paraId="145E8532">
                  <w:pPr>
                    <w:jc w:val="center"/>
                    <w:rPr>
                      <w:rFonts w:hint="default" w:ascii="Times New Roman" w:hAnsi="Times New Roman" w:cs="Times New Roman"/>
                      <w:szCs w:val="21"/>
                      <w:highlight w:val="none"/>
                    </w:rPr>
                  </w:pPr>
                  <w:bookmarkStart w:id="3" w:name="_Hlk133415009"/>
                  <w:r>
                    <w:rPr>
                      <w:rFonts w:hint="eastAsia" w:ascii="Times New Roman" w:hAnsi="Times New Roman" w:cs="Times New Roman"/>
                      <w:szCs w:val="21"/>
                      <w:highlight w:val="none"/>
                    </w:rPr>
                    <w:t>主导产业</w:t>
                  </w:r>
                </w:p>
              </w:tc>
              <w:tc>
                <w:tcPr>
                  <w:tcW w:w="1974" w:type="dxa"/>
                  <w:tcBorders>
                    <w:top w:val="single" w:color="auto" w:sz="4" w:space="0"/>
                    <w:left w:val="single" w:color="auto" w:sz="4" w:space="0"/>
                    <w:bottom w:val="single" w:color="auto" w:sz="4" w:space="0"/>
                    <w:right w:val="single" w:color="auto" w:sz="4" w:space="0"/>
                  </w:tcBorders>
                  <w:noWrap w:val="0"/>
                  <w:vAlign w:val="center"/>
                </w:tcPr>
                <w:p w14:paraId="57CA4AD6">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行业大类</w:t>
                  </w:r>
                </w:p>
              </w:tc>
              <w:tc>
                <w:tcPr>
                  <w:tcW w:w="2268" w:type="dxa"/>
                  <w:tcBorders>
                    <w:top w:val="single" w:color="auto" w:sz="4" w:space="0"/>
                    <w:left w:val="single" w:color="auto" w:sz="4" w:space="0"/>
                    <w:bottom w:val="single" w:color="auto" w:sz="4" w:space="0"/>
                    <w:right w:val="single" w:color="auto" w:sz="4" w:space="0"/>
                  </w:tcBorders>
                  <w:noWrap w:val="0"/>
                  <w:vAlign w:val="center"/>
                </w:tcPr>
                <w:p w14:paraId="346AA12E">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行业中类</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5F68EFE6">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行业小类</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46F47B07">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控制级别</w:t>
                  </w:r>
                </w:p>
              </w:tc>
            </w:tr>
            <w:tr w14:paraId="0CE39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tcBorders>
                    <w:top w:val="single" w:color="auto" w:sz="4" w:space="0"/>
                    <w:left w:val="single" w:color="auto" w:sz="4" w:space="0"/>
                    <w:bottom w:val="single" w:color="auto" w:sz="4" w:space="0"/>
                    <w:right w:val="single" w:color="auto" w:sz="4" w:space="0"/>
                  </w:tcBorders>
                  <w:noWrap w:val="0"/>
                  <w:vAlign w:val="center"/>
                </w:tcPr>
                <w:p w14:paraId="57132461">
                  <w:pPr>
                    <w:jc w:val="center"/>
                    <w:rPr>
                      <w:rFonts w:hint="eastAsia" w:ascii="Times New Roman" w:hAnsi="Times New Roman" w:cs="Times New Roman"/>
                      <w:szCs w:val="21"/>
                      <w:highlight w:val="none"/>
                    </w:rPr>
                  </w:pPr>
                  <w:bookmarkStart w:id="4" w:name="_Hlk197591169"/>
                  <w:r>
                    <w:rPr>
                      <w:rFonts w:hint="eastAsia" w:ascii="Times New Roman" w:hAnsi="Times New Roman" w:cs="Times New Roman"/>
                      <w:szCs w:val="21"/>
                      <w:highlight w:val="none"/>
                    </w:rPr>
                    <w:t>非金属矿物制品业</w:t>
                  </w:r>
                  <w:bookmarkEnd w:id="4"/>
                </w:p>
              </w:tc>
              <w:tc>
                <w:tcPr>
                  <w:tcW w:w="4242" w:type="dxa"/>
                  <w:gridSpan w:val="2"/>
                  <w:tcBorders>
                    <w:top w:val="single" w:color="auto" w:sz="4" w:space="0"/>
                    <w:left w:val="single" w:color="auto" w:sz="4" w:space="0"/>
                    <w:bottom w:val="single" w:color="auto" w:sz="4" w:space="0"/>
                    <w:right w:val="single" w:color="auto" w:sz="4" w:space="0"/>
                  </w:tcBorders>
                  <w:noWrap w:val="0"/>
                  <w:vAlign w:val="center"/>
                </w:tcPr>
                <w:p w14:paraId="3242AD4E">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C309石墨及其他非金属矿物制品制造业</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3F247B62">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C3099其他非金属矿物制品制造</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045DD4F3">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72299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tcBorders>
                    <w:top w:val="single" w:color="auto" w:sz="4" w:space="0"/>
                    <w:left w:val="single" w:color="auto" w:sz="4" w:space="0"/>
                    <w:bottom w:val="single" w:color="auto" w:sz="4" w:space="0"/>
                    <w:right w:val="single" w:color="auto" w:sz="4" w:space="0"/>
                  </w:tcBorders>
                  <w:noWrap w:val="0"/>
                  <w:vAlign w:val="center"/>
                </w:tcPr>
                <w:p w14:paraId="1256FAB1">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塑料制品业</w:t>
                  </w:r>
                </w:p>
              </w:tc>
              <w:tc>
                <w:tcPr>
                  <w:tcW w:w="4242" w:type="dxa"/>
                  <w:gridSpan w:val="2"/>
                  <w:tcBorders>
                    <w:top w:val="single" w:color="auto" w:sz="4" w:space="0"/>
                    <w:left w:val="single" w:color="auto" w:sz="4" w:space="0"/>
                    <w:bottom w:val="single" w:color="auto" w:sz="4" w:space="0"/>
                    <w:right w:val="single" w:color="auto" w:sz="4" w:space="0"/>
                  </w:tcBorders>
                  <w:noWrap w:val="0"/>
                  <w:vAlign w:val="center"/>
                </w:tcPr>
                <w:p w14:paraId="1FE5B904">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C292塑料制品业</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6AC582A7">
                  <w:pPr>
                    <w:jc w:val="center"/>
                    <w:rPr>
                      <w:rFonts w:hint="eastAsia" w:ascii="Times New Roman" w:hAnsi="Times New Roman" w:cs="Times New Roman"/>
                      <w:szCs w:val="21"/>
                      <w:highlight w:val="none"/>
                    </w:rPr>
                  </w:pPr>
                  <w:bookmarkStart w:id="5" w:name="OLE_LINK2"/>
                  <w:r>
                    <w:rPr>
                      <w:rFonts w:hint="eastAsia" w:ascii="Times New Roman" w:hAnsi="Times New Roman" w:cs="Times New Roman"/>
                      <w:szCs w:val="21"/>
                      <w:highlight w:val="none"/>
                    </w:rPr>
                    <w:t>全部</w:t>
                  </w:r>
                  <w:bookmarkEnd w:id="5"/>
                </w:p>
              </w:tc>
              <w:tc>
                <w:tcPr>
                  <w:tcW w:w="1056" w:type="dxa"/>
                  <w:tcBorders>
                    <w:top w:val="single" w:color="auto" w:sz="4" w:space="0"/>
                    <w:left w:val="single" w:color="auto" w:sz="4" w:space="0"/>
                    <w:bottom w:val="single" w:color="auto" w:sz="4" w:space="0"/>
                    <w:right w:val="single" w:color="auto" w:sz="4" w:space="0"/>
                  </w:tcBorders>
                  <w:noWrap w:val="0"/>
                  <w:vAlign w:val="center"/>
                </w:tcPr>
                <w:p w14:paraId="4AEF0FC2">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7EDFC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restart"/>
                  <w:tcBorders>
                    <w:top w:val="single" w:color="auto" w:sz="4" w:space="0"/>
                    <w:left w:val="single" w:color="auto" w:sz="4" w:space="0"/>
                    <w:right w:val="single" w:color="auto" w:sz="4" w:space="0"/>
                  </w:tcBorders>
                  <w:noWrap w:val="0"/>
                  <w:vAlign w:val="center"/>
                </w:tcPr>
                <w:p w14:paraId="7F7C808E">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农副产品加工业</w:t>
                  </w:r>
                </w:p>
              </w:tc>
              <w:tc>
                <w:tcPr>
                  <w:tcW w:w="4242" w:type="dxa"/>
                  <w:gridSpan w:val="2"/>
                  <w:tcBorders>
                    <w:top w:val="single" w:color="auto" w:sz="4" w:space="0"/>
                    <w:left w:val="single" w:color="auto" w:sz="4" w:space="0"/>
                    <w:bottom w:val="single" w:color="auto" w:sz="4" w:space="0"/>
                    <w:right w:val="single" w:color="auto" w:sz="4" w:space="0"/>
                  </w:tcBorders>
                  <w:noWrap w:val="0"/>
                  <w:vAlign w:val="center"/>
                </w:tcPr>
                <w:p w14:paraId="4BC6CEA9">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C131谷物磨制</w:t>
                  </w:r>
                </w:p>
              </w:tc>
              <w:tc>
                <w:tcPr>
                  <w:tcW w:w="3219" w:type="dxa"/>
                  <w:vMerge w:val="restart"/>
                  <w:tcBorders>
                    <w:top w:val="single" w:color="auto" w:sz="4" w:space="0"/>
                    <w:left w:val="single" w:color="auto" w:sz="4" w:space="0"/>
                    <w:right w:val="single" w:color="auto" w:sz="4" w:space="0"/>
                  </w:tcBorders>
                  <w:noWrap w:val="0"/>
                  <w:vAlign w:val="center"/>
                </w:tcPr>
                <w:p w14:paraId="29168AE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vMerge w:val="restart"/>
                  <w:tcBorders>
                    <w:top w:val="single" w:color="auto" w:sz="4" w:space="0"/>
                    <w:left w:val="single" w:color="auto" w:sz="4" w:space="0"/>
                    <w:right w:val="single" w:color="auto" w:sz="4" w:space="0"/>
                  </w:tcBorders>
                  <w:noWrap w:val="0"/>
                  <w:vAlign w:val="center"/>
                </w:tcPr>
                <w:p w14:paraId="7A61A5FD">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62327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1CB9E9DD">
                  <w:pPr>
                    <w:jc w:val="center"/>
                    <w:rPr>
                      <w:rFonts w:hint="eastAsia" w:ascii="Times New Roman" w:hAnsi="Times New Roman" w:cs="Times New Roman"/>
                      <w:szCs w:val="21"/>
                      <w:highlight w:val="none"/>
                    </w:rPr>
                  </w:pPr>
                </w:p>
              </w:tc>
              <w:tc>
                <w:tcPr>
                  <w:tcW w:w="4242" w:type="dxa"/>
                  <w:gridSpan w:val="2"/>
                  <w:tcBorders>
                    <w:top w:val="single" w:color="auto" w:sz="4" w:space="0"/>
                    <w:left w:val="single" w:color="auto" w:sz="4" w:space="0"/>
                    <w:bottom w:val="single" w:color="auto" w:sz="4" w:space="0"/>
                    <w:right w:val="single" w:color="auto" w:sz="4" w:space="0"/>
                  </w:tcBorders>
                  <w:noWrap w:val="0"/>
                  <w:vAlign w:val="center"/>
                </w:tcPr>
                <w:p w14:paraId="1902F2F7">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C137蔬菜、菌类、水果和坚果加工</w:t>
                  </w:r>
                </w:p>
              </w:tc>
              <w:tc>
                <w:tcPr>
                  <w:tcW w:w="3219" w:type="dxa"/>
                  <w:vMerge w:val="continue"/>
                  <w:tcBorders>
                    <w:left w:val="single" w:color="auto" w:sz="4" w:space="0"/>
                    <w:right w:val="single" w:color="auto" w:sz="4" w:space="0"/>
                  </w:tcBorders>
                  <w:noWrap w:val="0"/>
                  <w:vAlign w:val="center"/>
                </w:tcPr>
                <w:p w14:paraId="265D692B">
                  <w:pPr>
                    <w:jc w:val="center"/>
                    <w:rPr>
                      <w:rFonts w:hint="eastAsia" w:ascii="Times New Roman" w:hAnsi="Times New Roman" w:cs="Times New Roman"/>
                      <w:szCs w:val="21"/>
                      <w:highlight w:val="none"/>
                    </w:rPr>
                  </w:pPr>
                </w:p>
              </w:tc>
              <w:tc>
                <w:tcPr>
                  <w:tcW w:w="1056" w:type="dxa"/>
                  <w:vMerge w:val="continue"/>
                  <w:tcBorders>
                    <w:left w:val="single" w:color="auto" w:sz="4" w:space="0"/>
                    <w:right w:val="single" w:color="auto" w:sz="4" w:space="0"/>
                  </w:tcBorders>
                  <w:noWrap w:val="0"/>
                  <w:vAlign w:val="center"/>
                </w:tcPr>
                <w:p w14:paraId="01856155">
                  <w:pPr>
                    <w:jc w:val="center"/>
                    <w:rPr>
                      <w:rFonts w:hint="eastAsia" w:ascii="Times New Roman" w:hAnsi="Times New Roman" w:cs="Times New Roman"/>
                      <w:szCs w:val="21"/>
                      <w:highlight w:val="none"/>
                    </w:rPr>
                  </w:pPr>
                </w:p>
              </w:tc>
            </w:tr>
            <w:tr w14:paraId="0F2E2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bottom w:val="single" w:color="auto" w:sz="4" w:space="0"/>
                    <w:right w:val="single" w:color="auto" w:sz="4" w:space="0"/>
                  </w:tcBorders>
                  <w:noWrap w:val="0"/>
                  <w:vAlign w:val="center"/>
                </w:tcPr>
                <w:p w14:paraId="178113B5">
                  <w:pPr>
                    <w:jc w:val="center"/>
                    <w:rPr>
                      <w:rFonts w:hint="eastAsia" w:ascii="Times New Roman" w:hAnsi="Times New Roman" w:cs="Times New Roman"/>
                      <w:szCs w:val="21"/>
                      <w:highlight w:val="none"/>
                    </w:rPr>
                  </w:pPr>
                </w:p>
              </w:tc>
              <w:tc>
                <w:tcPr>
                  <w:tcW w:w="4242" w:type="dxa"/>
                  <w:gridSpan w:val="2"/>
                  <w:tcBorders>
                    <w:top w:val="single" w:color="auto" w:sz="4" w:space="0"/>
                    <w:left w:val="single" w:color="auto" w:sz="4" w:space="0"/>
                    <w:bottom w:val="single" w:color="auto" w:sz="4" w:space="0"/>
                    <w:right w:val="single" w:color="auto" w:sz="4" w:space="0"/>
                  </w:tcBorders>
                  <w:noWrap w:val="0"/>
                  <w:vAlign w:val="center"/>
                </w:tcPr>
                <w:p w14:paraId="62F97B62">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C139其他农副食品加工业</w:t>
                  </w:r>
                </w:p>
              </w:tc>
              <w:tc>
                <w:tcPr>
                  <w:tcW w:w="3219" w:type="dxa"/>
                  <w:vMerge w:val="continue"/>
                  <w:tcBorders>
                    <w:left w:val="single" w:color="auto" w:sz="4" w:space="0"/>
                    <w:bottom w:val="single" w:color="auto" w:sz="4" w:space="0"/>
                    <w:right w:val="single" w:color="auto" w:sz="4" w:space="0"/>
                  </w:tcBorders>
                  <w:noWrap w:val="0"/>
                  <w:vAlign w:val="center"/>
                </w:tcPr>
                <w:p w14:paraId="74A9618E">
                  <w:pPr>
                    <w:jc w:val="center"/>
                    <w:rPr>
                      <w:rFonts w:hint="eastAsia" w:ascii="Times New Roman" w:hAnsi="Times New Roman" w:cs="Times New Roman"/>
                      <w:szCs w:val="21"/>
                      <w:highlight w:val="none"/>
                    </w:rPr>
                  </w:pPr>
                </w:p>
              </w:tc>
              <w:tc>
                <w:tcPr>
                  <w:tcW w:w="1056" w:type="dxa"/>
                  <w:vMerge w:val="continue"/>
                  <w:tcBorders>
                    <w:left w:val="single" w:color="auto" w:sz="4" w:space="0"/>
                    <w:bottom w:val="single" w:color="auto" w:sz="4" w:space="0"/>
                    <w:right w:val="single" w:color="auto" w:sz="4" w:space="0"/>
                  </w:tcBorders>
                  <w:noWrap w:val="0"/>
                  <w:vAlign w:val="center"/>
                </w:tcPr>
                <w:p w14:paraId="59B36CFC">
                  <w:pPr>
                    <w:jc w:val="center"/>
                    <w:rPr>
                      <w:rFonts w:hint="eastAsia" w:ascii="Times New Roman" w:hAnsi="Times New Roman" w:cs="Times New Roman"/>
                      <w:szCs w:val="21"/>
                      <w:highlight w:val="none"/>
                    </w:rPr>
                  </w:pPr>
                </w:p>
              </w:tc>
            </w:tr>
            <w:tr w14:paraId="12E7C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restart"/>
                  <w:tcBorders>
                    <w:top w:val="single" w:color="auto" w:sz="4" w:space="0"/>
                    <w:left w:val="single" w:color="auto" w:sz="4" w:space="0"/>
                    <w:right w:val="single" w:color="auto" w:sz="4" w:space="0"/>
                  </w:tcBorders>
                  <w:noWrap w:val="0"/>
                  <w:vAlign w:val="center"/>
                </w:tcPr>
                <w:p w14:paraId="49B00857">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装备制造业</w:t>
                  </w:r>
                </w:p>
              </w:tc>
              <w:tc>
                <w:tcPr>
                  <w:tcW w:w="1974" w:type="dxa"/>
                  <w:vMerge w:val="restart"/>
                  <w:tcBorders>
                    <w:top w:val="single" w:color="auto" w:sz="4" w:space="0"/>
                    <w:left w:val="single" w:color="auto" w:sz="4" w:space="0"/>
                    <w:bottom w:val="single" w:color="auto" w:sz="4" w:space="0"/>
                    <w:right w:val="single" w:color="auto" w:sz="4" w:space="0"/>
                  </w:tcBorders>
                  <w:noWrap w:val="0"/>
                  <w:vAlign w:val="center"/>
                </w:tcPr>
                <w:p w14:paraId="0ED498C8">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w:t>
                  </w:r>
                  <w:r>
                    <w:rPr>
                      <w:rFonts w:hint="default" w:ascii="Times New Roman" w:hAnsi="Times New Roman" w:cs="Times New Roman"/>
                      <w:szCs w:val="21"/>
                      <w:highlight w:val="none"/>
                    </w:rPr>
                    <w:t>33</w:t>
                  </w:r>
                  <w:r>
                    <w:rPr>
                      <w:rFonts w:hint="eastAsia" w:ascii="Times New Roman" w:hAnsi="Times New Roman" w:cs="Times New Roman"/>
                      <w:szCs w:val="21"/>
                      <w:highlight w:val="none"/>
                    </w:rPr>
                    <w:t>金属制品业</w:t>
                  </w:r>
                </w:p>
              </w:tc>
              <w:tc>
                <w:tcPr>
                  <w:tcW w:w="2268" w:type="dxa"/>
                  <w:vMerge w:val="restart"/>
                  <w:tcBorders>
                    <w:top w:val="single" w:color="auto" w:sz="4" w:space="0"/>
                    <w:left w:val="single" w:color="auto" w:sz="4" w:space="0"/>
                    <w:right w:val="single" w:color="auto" w:sz="4" w:space="0"/>
                  </w:tcBorders>
                  <w:noWrap w:val="0"/>
                  <w:vAlign w:val="center"/>
                </w:tcPr>
                <w:p w14:paraId="1EB8CF1B">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w:t>
                  </w:r>
                  <w:r>
                    <w:rPr>
                      <w:rFonts w:hint="default" w:ascii="Times New Roman" w:hAnsi="Times New Roman" w:cs="Times New Roman"/>
                      <w:szCs w:val="21"/>
                      <w:highlight w:val="none"/>
                    </w:rPr>
                    <w:t>36</w:t>
                  </w:r>
                  <w:r>
                    <w:rPr>
                      <w:rFonts w:hint="eastAsia" w:ascii="Times New Roman" w:hAnsi="Times New Roman" w:cs="Times New Roman"/>
                      <w:szCs w:val="21"/>
                      <w:highlight w:val="none"/>
                    </w:rPr>
                    <w:t>金属表面处理及热处理加工</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310BEE81">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C3360金属表面处理及热处理加工（电镀企业、含铬钝化企业）</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2DC6BF2D">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4DD01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3BF8F8CA">
                  <w:pPr>
                    <w:jc w:val="center"/>
                    <w:rPr>
                      <w:rFonts w:hint="default" w:ascii="Times New Roman" w:hAnsi="Times New Roman" w:cs="Times New Roman"/>
                      <w:szCs w:val="21"/>
                      <w:highlight w:val="none"/>
                    </w:rPr>
                  </w:pPr>
                </w:p>
              </w:tc>
              <w:tc>
                <w:tcPr>
                  <w:tcW w:w="1974" w:type="dxa"/>
                  <w:vMerge w:val="continue"/>
                  <w:tcBorders>
                    <w:top w:val="single" w:color="auto" w:sz="4" w:space="0"/>
                    <w:left w:val="single" w:color="auto" w:sz="4" w:space="0"/>
                    <w:bottom w:val="single" w:color="auto" w:sz="4" w:space="0"/>
                    <w:right w:val="single" w:color="auto" w:sz="4" w:space="0"/>
                  </w:tcBorders>
                  <w:noWrap w:val="0"/>
                  <w:vAlign w:val="center"/>
                </w:tcPr>
                <w:p w14:paraId="04D47ACB">
                  <w:pPr>
                    <w:jc w:val="center"/>
                    <w:rPr>
                      <w:rFonts w:hint="default" w:ascii="Times New Roman" w:hAnsi="Times New Roman" w:cs="Times New Roman"/>
                      <w:szCs w:val="21"/>
                      <w:highlight w:val="none"/>
                    </w:rPr>
                  </w:pPr>
                </w:p>
              </w:tc>
              <w:tc>
                <w:tcPr>
                  <w:tcW w:w="2268" w:type="dxa"/>
                  <w:vMerge w:val="continue"/>
                  <w:tcBorders>
                    <w:left w:val="single" w:color="auto" w:sz="4" w:space="0"/>
                    <w:bottom w:val="single" w:color="auto" w:sz="4" w:space="0"/>
                    <w:right w:val="single" w:color="auto" w:sz="4" w:space="0"/>
                  </w:tcBorders>
                  <w:noWrap w:val="0"/>
                  <w:vAlign w:val="center"/>
                </w:tcPr>
                <w:p w14:paraId="7AD3609B">
                  <w:pPr>
                    <w:jc w:val="center"/>
                    <w:rPr>
                      <w:rFonts w:hint="default" w:ascii="Times New Roman" w:hAnsi="Times New Roman" w:cs="Times New Roman"/>
                      <w:szCs w:val="21"/>
                      <w:highlight w:val="none"/>
                    </w:rPr>
                  </w:pPr>
                </w:p>
              </w:tc>
              <w:tc>
                <w:tcPr>
                  <w:tcW w:w="3219" w:type="dxa"/>
                  <w:tcBorders>
                    <w:top w:val="single" w:color="auto" w:sz="4" w:space="0"/>
                    <w:left w:val="single" w:color="auto" w:sz="4" w:space="0"/>
                    <w:bottom w:val="single" w:color="auto" w:sz="4" w:space="0"/>
                    <w:right w:val="single" w:color="auto" w:sz="4" w:space="0"/>
                  </w:tcBorders>
                  <w:noWrap w:val="0"/>
                  <w:vAlign w:val="center"/>
                </w:tcPr>
                <w:p w14:paraId="1FA2F08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其它</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4774B85D">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12467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5058448C">
                  <w:pPr>
                    <w:jc w:val="center"/>
                    <w:rPr>
                      <w:rFonts w:hint="default" w:ascii="Times New Roman" w:hAnsi="Times New Roman" w:cs="Times New Roman"/>
                      <w:szCs w:val="21"/>
                      <w:highlight w:val="none"/>
                    </w:rPr>
                  </w:pPr>
                </w:p>
              </w:tc>
              <w:tc>
                <w:tcPr>
                  <w:tcW w:w="1974" w:type="dxa"/>
                  <w:vMerge w:val="continue"/>
                  <w:tcBorders>
                    <w:top w:val="single" w:color="auto" w:sz="4" w:space="0"/>
                    <w:left w:val="single" w:color="auto" w:sz="4" w:space="0"/>
                    <w:bottom w:val="single" w:color="auto" w:sz="4" w:space="0"/>
                    <w:right w:val="single" w:color="auto" w:sz="4" w:space="0"/>
                  </w:tcBorders>
                  <w:noWrap w:val="0"/>
                  <w:vAlign w:val="center"/>
                </w:tcPr>
                <w:p w14:paraId="25817D50">
                  <w:pPr>
                    <w:jc w:val="center"/>
                    <w:rPr>
                      <w:rFonts w:hint="default" w:ascii="Times New Roman" w:hAnsi="Times New Roman" w:cs="Times New Roman"/>
                      <w:szCs w:val="21"/>
                      <w:highlight w:val="none"/>
                    </w:rPr>
                  </w:pPr>
                </w:p>
              </w:tc>
              <w:tc>
                <w:tcPr>
                  <w:tcW w:w="2268" w:type="dxa"/>
                  <w:vMerge w:val="restart"/>
                  <w:tcBorders>
                    <w:top w:val="single" w:color="auto" w:sz="4" w:space="0"/>
                    <w:left w:val="single" w:color="auto" w:sz="4" w:space="0"/>
                    <w:right w:val="single" w:color="auto" w:sz="4" w:space="0"/>
                  </w:tcBorders>
                  <w:noWrap w:val="0"/>
                  <w:vAlign w:val="center"/>
                </w:tcPr>
                <w:p w14:paraId="7E2AAF8B">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C33</w:t>
                  </w:r>
                  <w:r>
                    <w:rPr>
                      <w:rFonts w:hint="default" w:ascii="Times New Roman" w:hAnsi="Times New Roman" w:cs="Times New Roman"/>
                      <w:szCs w:val="21"/>
                      <w:highlight w:val="none"/>
                    </w:rPr>
                    <w:t>9</w:t>
                  </w:r>
                  <w:r>
                    <w:rPr>
                      <w:rFonts w:hint="eastAsia" w:ascii="Times New Roman" w:hAnsi="Times New Roman" w:cs="Times New Roman"/>
                      <w:szCs w:val="21"/>
                      <w:highlight w:val="none"/>
                    </w:rPr>
                    <w:t>铸造及其他金属制品制造</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3F45EEE8">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C3391黑色金属铸造</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2DEE881C">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5EFB5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4F772D9E">
                  <w:pPr>
                    <w:jc w:val="center"/>
                    <w:rPr>
                      <w:rFonts w:hint="default" w:ascii="Times New Roman" w:hAnsi="Times New Roman" w:cs="Times New Roman"/>
                      <w:szCs w:val="21"/>
                      <w:highlight w:val="none"/>
                    </w:rPr>
                  </w:pPr>
                </w:p>
              </w:tc>
              <w:tc>
                <w:tcPr>
                  <w:tcW w:w="1974" w:type="dxa"/>
                  <w:vMerge w:val="continue"/>
                  <w:tcBorders>
                    <w:top w:val="single" w:color="auto" w:sz="4" w:space="0"/>
                    <w:left w:val="single" w:color="auto" w:sz="4" w:space="0"/>
                    <w:bottom w:val="single" w:color="auto" w:sz="4" w:space="0"/>
                    <w:right w:val="single" w:color="auto" w:sz="4" w:space="0"/>
                  </w:tcBorders>
                  <w:noWrap w:val="0"/>
                  <w:vAlign w:val="center"/>
                </w:tcPr>
                <w:p w14:paraId="2829A082">
                  <w:pPr>
                    <w:jc w:val="center"/>
                    <w:rPr>
                      <w:rFonts w:hint="default" w:ascii="Times New Roman" w:hAnsi="Times New Roman" w:cs="Times New Roman"/>
                      <w:szCs w:val="21"/>
                      <w:highlight w:val="none"/>
                    </w:rPr>
                  </w:pPr>
                </w:p>
              </w:tc>
              <w:tc>
                <w:tcPr>
                  <w:tcW w:w="2268" w:type="dxa"/>
                  <w:vMerge w:val="continue"/>
                  <w:tcBorders>
                    <w:left w:val="single" w:color="auto" w:sz="4" w:space="0"/>
                    <w:right w:val="single" w:color="auto" w:sz="4" w:space="0"/>
                  </w:tcBorders>
                  <w:noWrap w:val="0"/>
                  <w:vAlign w:val="center"/>
                </w:tcPr>
                <w:p w14:paraId="505F44AA">
                  <w:pPr>
                    <w:jc w:val="center"/>
                    <w:rPr>
                      <w:rFonts w:hint="default" w:ascii="Times New Roman" w:hAnsi="Times New Roman" w:cs="Times New Roman"/>
                      <w:szCs w:val="21"/>
                      <w:highlight w:val="none"/>
                    </w:rPr>
                  </w:pPr>
                </w:p>
              </w:tc>
              <w:tc>
                <w:tcPr>
                  <w:tcW w:w="3219" w:type="dxa"/>
                  <w:tcBorders>
                    <w:top w:val="single" w:color="auto" w:sz="4" w:space="0"/>
                    <w:left w:val="single" w:color="auto" w:sz="4" w:space="0"/>
                    <w:bottom w:val="single" w:color="auto" w:sz="4" w:space="0"/>
                    <w:right w:val="single" w:color="auto" w:sz="4" w:space="0"/>
                  </w:tcBorders>
                  <w:noWrap w:val="0"/>
                  <w:vAlign w:val="center"/>
                </w:tcPr>
                <w:p w14:paraId="48F6FAE9">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C3392有色金属铸造</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2E6FE581">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342FF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2609B631">
                  <w:pPr>
                    <w:jc w:val="center"/>
                    <w:rPr>
                      <w:rFonts w:hint="default" w:ascii="Times New Roman" w:hAnsi="Times New Roman" w:cs="Times New Roman"/>
                      <w:szCs w:val="21"/>
                      <w:highlight w:val="none"/>
                    </w:rPr>
                  </w:pPr>
                </w:p>
              </w:tc>
              <w:tc>
                <w:tcPr>
                  <w:tcW w:w="1974" w:type="dxa"/>
                  <w:vMerge w:val="continue"/>
                  <w:tcBorders>
                    <w:top w:val="single" w:color="auto" w:sz="4" w:space="0"/>
                    <w:left w:val="single" w:color="auto" w:sz="4" w:space="0"/>
                    <w:bottom w:val="single" w:color="auto" w:sz="4" w:space="0"/>
                    <w:right w:val="single" w:color="auto" w:sz="4" w:space="0"/>
                  </w:tcBorders>
                  <w:noWrap w:val="0"/>
                  <w:vAlign w:val="center"/>
                </w:tcPr>
                <w:p w14:paraId="23A1614C">
                  <w:pPr>
                    <w:jc w:val="center"/>
                    <w:rPr>
                      <w:rFonts w:hint="default" w:ascii="Times New Roman" w:hAnsi="Times New Roman" w:cs="Times New Roman"/>
                      <w:szCs w:val="21"/>
                      <w:highlight w:val="none"/>
                    </w:rPr>
                  </w:pPr>
                </w:p>
              </w:tc>
              <w:tc>
                <w:tcPr>
                  <w:tcW w:w="2268" w:type="dxa"/>
                  <w:vMerge w:val="continue"/>
                  <w:tcBorders>
                    <w:left w:val="single" w:color="auto" w:sz="4" w:space="0"/>
                    <w:right w:val="single" w:color="auto" w:sz="4" w:space="0"/>
                  </w:tcBorders>
                  <w:noWrap w:val="0"/>
                  <w:vAlign w:val="center"/>
                </w:tcPr>
                <w:p w14:paraId="10A75010">
                  <w:pPr>
                    <w:jc w:val="center"/>
                    <w:rPr>
                      <w:rFonts w:hint="default" w:ascii="Times New Roman" w:hAnsi="Times New Roman" w:cs="Times New Roman"/>
                      <w:szCs w:val="21"/>
                      <w:highlight w:val="none"/>
                    </w:rPr>
                  </w:pPr>
                </w:p>
              </w:tc>
              <w:tc>
                <w:tcPr>
                  <w:tcW w:w="3219" w:type="dxa"/>
                  <w:tcBorders>
                    <w:top w:val="single" w:color="auto" w:sz="4" w:space="0"/>
                    <w:left w:val="single" w:color="auto" w:sz="4" w:space="0"/>
                    <w:bottom w:val="single" w:color="auto" w:sz="4" w:space="0"/>
                    <w:right w:val="single" w:color="auto" w:sz="4" w:space="0"/>
                  </w:tcBorders>
                  <w:noWrap w:val="0"/>
                  <w:vAlign w:val="center"/>
                </w:tcPr>
                <w:p w14:paraId="498CF5FF">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C3393、C339</w:t>
                  </w:r>
                  <w:r>
                    <w:rPr>
                      <w:rFonts w:hint="default" w:ascii="Times New Roman" w:hAnsi="Times New Roman" w:cs="Times New Roman"/>
                      <w:szCs w:val="21"/>
                      <w:highlight w:val="none"/>
                    </w:rPr>
                    <w:t>4</w:t>
                  </w:r>
                  <w:r>
                    <w:rPr>
                      <w:rFonts w:hint="eastAsia" w:ascii="Times New Roman" w:hAnsi="Times New Roman" w:cs="Times New Roman"/>
                      <w:szCs w:val="21"/>
                      <w:highlight w:val="none"/>
                    </w:rPr>
                    <w:t>、C3399</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3743A996">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3719E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3FC15715">
                  <w:pPr>
                    <w:jc w:val="center"/>
                    <w:rPr>
                      <w:rFonts w:hint="default" w:ascii="Times New Roman" w:hAnsi="Times New Roman" w:cs="Times New Roman"/>
                      <w:szCs w:val="21"/>
                      <w:highlight w:val="none"/>
                    </w:rPr>
                  </w:pPr>
                </w:p>
              </w:tc>
              <w:tc>
                <w:tcPr>
                  <w:tcW w:w="1974" w:type="dxa"/>
                  <w:vMerge w:val="continue"/>
                  <w:tcBorders>
                    <w:top w:val="single" w:color="auto" w:sz="4" w:space="0"/>
                    <w:left w:val="single" w:color="auto" w:sz="4" w:space="0"/>
                    <w:bottom w:val="single" w:color="auto" w:sz="4" w:space="0"/>
                    <w:right w:val="single" w:color="auto" w:sz="4" w:space="0"/>
                  </w:tcBorders>
                  <w:noWrap w:val="0"/>
                  <w:vAlign w:val="center"/>
                </w:tcPr>
                <w:p w14:paraId="0FF8AF67">
                  <w:pPr>
                    <w:jc w:val="center"/>
                    <w:rPr>
                      <w:rFonts w:hint="default" w:ascii="Times New Roman" w:hAnsi="Times New Roman" w:cs="Times New Roman"/>
                      <w:szCs w:val="21"/>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1D1DA044">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C331、C332、C33</w:t>
                  </w:r>
                  <w:r>
                    <w:rPr>
                      <w:rFonts w:hint="default" w:ascii="Times New Roman" w:hAnsi="Times New Roman" w:cs="Times New Roman"/>
                      <w:szCs w:val="21"/>
                      <w:highlight w:val="none"/>
                    </w:rPr>
                    <w:t>3</w:t>
                  </w:r>
                  <w:r>
                    <w:rPr>
                      <w:rFonts w:hint="eastAsia" w:ascii="Times New Roman" w:hAnsi="Times New Roman" w:cs="Times New Roman"/>
                      <w:szCs w:val="21"/>
                      <w:highlight w:val="none"/>
                    </w:rPr>
                    <w:t>、C334、C335、C337、C338</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69420DB6">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3234D1EE">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1BEF4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36EC1B5B">
                  <w:pPr>
                    <w:jc w:val="center"/>
                    <w:rPr>
                      <w:rFonts w:hint="default" w:ascii="Times New Roman" w:hAnsi="Times New Roman" w:cs="Times New Roman"/>
                      <w:szCs w:val="21"/>
                      <w:highlight w:val="none"/>
                    </w:rPr>
                  </w:pPr>
                </w:p>
              </w:tc>
              <w:tc>
                <w:tcPr>
                  <w:tcW w:w="1974" w:type="dxa"/>
                  <w:tcBorders>
                    <w:top w:val="single" w:color="auto" w:sz="4" w:space="0"/>
                    <w:left w:val="single" w:color="auto" w:sz="4" w:space="0"/>
                    <w:bottom w:val="single" w:color="auto" w:sz="4" w:space="0"/>
                    <w:right w:val="single" w:color="auto" w:sz="4" w:space="0"/>
                  </w:tcBorders>
                  <w:noWrap w:val="0"/>
                  <w:vAlign w:val="center"/>
                </w:tcPr>
                <w:p w14:paraId="5347A646">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w:t>
                  </w:r>
                  <w:r>
                    <w:rPr>
                      <w:rFonts w:hint="default" w:ascii="Times New Roman" w:hAnsi="Times New Roman" w:cs="Times New Roman"/>
                      <w:szCs w:val="21"/>
                      <w:highlight w:val="none"/>
                    </w:rPr>
                    <w:t xml:space="preserve">34 </w:t>
                  </w:r>
                  <w:r>
                    <w:rPr>
                      <w:rFonts w:hint="eastAsia" w:ascii="Times New Roman" w:hAnsi="Times New Roman" w:cs="Times New Roman"/>
                      <w:szCs w:val="21"/>
                      <w:highlight w:val="none"/>
                    </w:rPr>
                    <w:t>通用设备制造业</w:t>
                  </w:r>
                </w:p>
              </w:tc>
              <w:tc>
                <w:tcPr>
                  <w:tcW w:w="2268" w:type="dxa"/>
                  <w:tcBorders>
                    <w:top w:val="single" w:color="auto" w:sz="4" w:space="0"/>
                    <w:left w:val="single" w:color="auto" w:sz="4" w:space="0"/>
                    <w:bottom w:val="single" w:color="auto" w:sz="4" w:space="0"/>
                    <w:right w:val="single" w:color="auto" w:sz="4" w:space="0"/>
                  </w:tcBorders>
                  <w:noWrap w:val="0"/>
                  <w:vAlign w:val="center"/>
                </w:tcPr>
                <w:p w14:paraId="7FF0FE71">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C341～C34</w:t>
                  </w:r>
                  <w:r>
                    <w:rPr>
                      <w:rFonts w:hint="default" w:ascii="Times New Roman" w:hAnsi="Times New Roman" w:cs="Times New Roman"/>
                      <w:szCs w:val="21"/>
                      <w:highlight w:val="none"/>
                    </w:rPr>
                    <w:t>9</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7A3DBA7C">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520732C1">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0F6D2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2B06ECB1">
                  <w:pPr>
                    <w:jc w:val="center"/>
                    <w:rPr>
                      <w:rFonts w:hint="default" w:ascii="Times New Roman" w:hAnsi="Times New Roman" w:cs="Times New Roman"/>
                      <w:szCs w:val="21"/>
                      <w:highlight w:val="none"/>
                    </w:rPr>
                  </w:pPr>
                </w:p>
              </w:tc>
              <w:tc>
                <w:tcPr>
                  <w:tcW w:w="1974" w:type="dxa"/>
                  <w:vMerge w:val="restart"/>
                  <w:tcBorders>
                    <w:top w:val="single" w:color="auto" w:sz="4" w:space="0"/>
                    <w:left w:val="single" w:color="auto" w:sz="4" w:space="0"/>
                    <w:right w:val="single" w:color="auto" w:sz="4" w:space="0"/>
                  </w:tcBorders>
                  <w:noWrap w:val="0"/>
                  <w:vAlign w:val="center"/>
                </w:tcPr>
                <w:p w14:paraId="69E54734">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w:t>
                  </w:r>
                  <w:r>
                    <w:rPr>
                      <w:rFonts w:hint="default" w:ascii="Times New Roman" w:hAnsi="Times New Roman" w:cs="Times New Roman"/>
                      <w:szCs w:val="21"/>
                      <w:highlight w:val="none"/>
                    </w:rPr>
                    <w:t>35</w:t>
                  </w:r>
                  <w:r>
                    <w:rPr>
                      <w:rFonts w:hint="eastAsia" w:ascii="Times New Roman" w:hAnsi="Times New Roman" w:cs="Times New Roman"/>
                      <w:szCs w:val="21"/>
                      <w:highlight w:val="none"/>
                    </w:rPr>
                    <w:t>专用备制造业</w:t>
                  </w:r>
                </w:p>
              </w:tc>
              <w:tc>
                <w:tcPr>
                  <w:tcW w:w="2268" w:type="dxa"/>
                  <w:vMerge w:val="restart"/>
                  <w:tcBorders>
                    <w:top w:val="single" w:color="auto" w:sz="4" w:space="0"/>
                    <w:left w:val="single" w:color="auto" w:sz="4" w:space="0"/>
                    <w:right w:val="single" w:color="auto" w:sz="4" w:space="0"/>
                  </w:tcBorders>
                  <w:noWrap w:val="0"/>
                  <w:vAlign w:val="center"/>
                </w:tcPr>
                <w:p w14:paraId="79F0D106">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C358医疗仪器设备及器械制造</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406309A1">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C3584医疗、外科及兽医用器械制造（充汞式玻璃体温计、血压计、含汞开关和继电器）</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67384F3D">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40470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1FBA493F">
                  <w:pPr>
                    <w:jc w:val="center"/>
                    <w:rPr>
                      <w:rFonts w:hint="default" w:ascii="Times New Roman" w:hAnsi="Times New Roman" w:cs="Times New Roman"/>
                      <w:szCs w:val="21"/>
                      <w:highlight w:val="none"/>
                    </w:rPr>
                  </w:pPr>
                </w:p>
              </w:tc>
              <w:tc>
                <w:tcPr>
                  <w:tcW w:w="1974" w:type="dxa"/>
                  <w:vMerge w:val="continue"/>
                  <w:tcBorders>
                    <w:top w:val="single" w:color="auto" w:sz="4" w:space="0"/>
                    <w:left w:val="single" w:color="auto" w:sz="4" w:space="0"/>
                    <w:right w:val="single" w:color="auto" w:sz="4" w:space="0"/>
                  </w:tcBorders>
                  <w:noWrap w:val="0"/>
                  <w:vAlign w:val="center"/>
                </w:tcPr>
                <w:p w14:paraId="19417199">
                  <w:pPr>
                    <w:jc w:val="center"/>
                    <w:rPr>
                      <w:rFonts w:hint="default" w:ascii="Times New Roman" w:hAnsi="Times New Roman" w:cs="Times New Roman"/>
                      <w:szCs w:val="21"/>
                      <w:highlight w:val="none"/>
                    </w:rPr>
                  </w:pPr>
                </w:p>
              </w:tc>
              <w:tc>
                <w:tcPr>
                  <w:tcW w:w="2268" w:type="dxa"/>
                  <w:vMerge w:val="continue"/>
                  <w:tcBorders>
                    <w:left w:val="single" w:color="auto" w:sz="4" w:space="0"/>
                    <w:bottom w:val="single" w:color="auto" w:sz="4" w:space="0"/>
                    <w:right w:val="single" w:color="auto" w:sz="4" w:space="0"/>
                  </w:tcBorders>
                  <w:noWrap w:val="0"/>
                  <w:vAlign w:val="center"/>
                </w:tcPr>
                <w:p w14:paraId="54E6843B">
                  <w:pPr>
                    <w:jc w:val="center"/>
                    <w:rPr>
                      <w:rFonts w:hint="default" w:ascii="Times New Roman" w:hAnsi="Times New Roman" w:cs="Times New Roman"/>
                      <w:szCs w:val="21"/>
                      <w:highlight w:val="none"/>
                    </w:rPr>
                  </w:pPr>
                </w:p>
              </w:tc>
              <w:tc>
                <w:tcPr>
                  <w:tcW w:w="3219" w:type="dxa"/>
                  <w:tcBorders>
                    <w:top w:val="single" w:color="auto" w:sz="4" w:space="0"/>
                    <w:left w:val="single" w:color="auto" w:sz="4" w:space="0"/>
                    <w:bottom w:val="single" w:color="auto" w:sz="4" w:space="0"/>
                    <w:right w:val="single" w:color="auto" w:sz="4" w:space="0"/>
                  </w:tcBorders>
                  <w:noWrap w:val="0"/>
                  <w:vAlign w:val="center"/>
                </w:tcPr>
                <w:p w14:paraId="2F5AF388">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其它</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4F097DDF">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6468D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4D2E86E1">
                  <w:pPr>
                    <w:jc w:val="center"/>
                    <w:rPr>
                      <w:rFonts w:hint="default" w:ascii="Times New Roman" w:hAnsi="Times New Roman" w:cs="Times New Roman"/>
                      <w:szCs w:val="21"/>
                      <w:highlight w:val="none"/>
                    </w:rPr>
                  </w:pPr>
                </w:p>
              </w:tc>
              <w:tc>
                <w:tcPr>
                  <w:tcW w:w="1974" w:type="dxa"/>
                  <w:vMerge w:val="continue"/>
                  <w:tcBorders>
                    <w:left w:val="single" w:color="auto" w:sz="4" w:space="0"/>
                    <w:right w:val="single" w:color="auto" w:sz="4" w:space="0"/>
                  </w:tcBorders>
                  <w:noWrap w:val="0"/>
                  <w:vAlign w:val="center"/>
                </w:tcPr>
                <w:p w14:paraId="63D24C31">
                  <w:pPr>
                    <w:jc w:val="center"/>
                    <w:rPr>
                      <w:rFonts w:hint="default" w:ascii="Times New Roman" w:hAnsi="Times New Roman" w:cs="Times New Roman"/>
                      <w:szCs w:val="21"/>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594C1D8D">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C351～C35</w:t>
                  </w:r>
                  <w:r>
                    <w:rPr>
                      <w:rFonts w:hint="default" w:ascii="Times New Roman" w:hAnsi="Times New Roman" w:cs="Times New Roman"/>
                      <w:szCs w:val="21"/>
                      <w:highlight w:val="none"/>
                    </w:rPr>
                    <w:t>7</w:t>
                  </w:r>
                  <w:r>
                    <w:rPr>
                      <w:rFonts w:hint="eastAsia" w:ascii="Times New Roman" w:hAnsi="Times New Roman" w:cs="Times New Roman"/>
                      <w:szCs w:val="21"/>
                      <w:highlight w:val="none"/>
                    </w:rPr>
                    <w:t>、C359</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4E51B300">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48371524">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6F03C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44FD9931">
                  <w:pPr>
                    <w:jc w:val="center"/>
                    <w:rPr>
                      <w:rFonts w:hint="default" w:ascii="Times New Roman" w:hAnsi="Times New Roman" w:cs="Times New Roman"/>
                      <w:szCs w:val="21"/>
                      <w:highlight w:val="none"/>
                    </w:rPr>
                  </w:pPr>
                </w:p>
              </w:tc>
              <w:tc>
                <w:tcPr>
                  <w:tcW w:w="1974" w:type="dxa"/>
                  <w:tcBorders>
                    <w:left w:val="single" w:color="auto" w:sz="4" w:space="0"/>
                    <w:right w:val="single" w:color="auto" w:sz="4" w:space="0"/>
                  </w:tcBorders>
                  <w:noWrap w:val="0"/>
                  <w:vAlign w:val="center"/>
                </w:tcPr>
                <w:p w14:paraId="29DF6CF1">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C36汽车制造业</w:t>
                  </w:r>
                </w:p>
              </w:tc>
              <w:tc>
                <w:tcPr>
                  <w:tcW w:w="2268" w:type="dxa"/>
                  <w:tcBorders>
                    <w:top w:val="single" w:color="auto" w:sz="4" w:space="0"/>
                    <w:left w:val="single" w:color="auto" w:sz="4" w:space="0"/>
                    <w:bottom w:val="single" w:color="auto" w:sz="4" w:space="0"/>
                    <w:right w:val="single" w:color="auto" w:sz="4" w:space="0"/>
                  </w:tcBorders>
                  <w:noWrap w:val="0"/>
                  <w:vAlign w:val="center"/>
                </w:tcPr>
                <w:p w14:paraId="6CB6EF49">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C361～C36</w:t>
                  </w:r>
                  <w:r>
                    <w:rPr>
                      <w:rFonts w:hint="default" w:ascii="Times New Roman" w:hAnsi="Times New Roman" w:cs="Times New Roman"/>
                      <w:szCs w:val="21"/>
                      <w:highlight w:val="none"/>
                    </w:rPr>
                    <w:t>7</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6CDB5CA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39DBD72F">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03A21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dxa"/>
                  <w:vMerge w:val="continue"/>
                  <w:tcBorders>
                    <w:left w:val="single" w:color="auto" w:sz="4" w:space="0"/>
                    <w:right w:val="single" w:color="auto" w:sz="4" w:space="0"/>
                  </w:tcBorders>
                  <w:noWrap w:val="0"/>
                  <w:vAlign w:val="center"/>
                </w:tcPr>
                <w:p w14:paraId="6133A070">
                  <w:pPr>
                    <w:jc w:val="center"/>
                    <w:rPr>
                      <w:rFonts w:hint="default" w:ascii="Times New Roman" w:hAnsi="Times New Roman" w:cs="Times New Roman"/>
                      <w:szCs w:val="21"/>
                      <w:highlight w:val="none"/>
                    </w:rPr>
                  </w:pPr>
                </w:p>
              </w:tc>
              <w:tc>
                <w:tcPr>
                  <w:tcW w:w="1974" w:type="dxa"/>
                  <w:tcBorders>
                    <w:left w:val="single" w:color="auto" w:sz="4" w:space="0"/>
                    <w:right w:val="single" w:color="auto" w:sz="4" w:space="0"/>
                  </w:tcBorders>
                  <w:noWrap w:val="0"/>
                  <w:vAlign w:val="center"/>
                </w:tcPr>
                <w:p w14:paraId="555F211B">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C37铁路、船舶、航空航天和其他运输设备制造业</w:t>
                  </w:r>
                </w:p>
              </w:tc>
              <w:tc>
                <w:tcPr>
                  <w:tcW w:w="2268" w:type="dxa"/>
                  <w:tcBorders>
                    <w:top w:val="single" w:color="auto" w:sz="4" w:space="0"/>
                    <w:left w:val="single" w:color="auto" w:sz="4" w:space="0"/>
                    <w:bottom w:val="single" w:color="auto" w:sz="4" w:space="0"/>
                    <w:right w:val="single" w:color="auto" w:sz="4" w:space="0"/>
                  </w:tcBorders>
                  <w:noWrap w:val="0"/>
                  <w:vAlign w:val="center"/>
                </w:tcPr>
                <w:p w14:paraId="225374B5">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C371～C37</w:t>
                  </w:r>
                  <w:r>
                    <w:rPr>
                      <w:rFonts w:hint="default" w:ascii="Times New Roman" w:hAnsi="Times New Roman" w:cs="Times New Roman"/>
                      <w:szCs w:val="21"/>
                      <w:highlight w:val="none"/>
                    </w:rPr>
                    <w:t>9</w:t>
                  </w:r>
                </w:p>
              </w:tc>
              <w:tc>
                <w:tcPr>
                  <w:tcW w:w="3219" w:type="dxa"/>
                  <w:tcBorders>
                    <w:top w:val="single" w:color="auto" w:sz="4" w:space="0"/>
                    <w:left w:val="single" w:color="auto" w:sz="4" w:space="0"/>
                    <w:bottom w:val="single" w:color="auto" w:sz="4" w:space="0"/>
                    <w:right w:val="single" w:color="auto" w:sz="4" w:space="0"/>
                  </w:tcBorders>
                  <w:noWrap w:val="0"/>
                  <w:vAlign w:val="center"/>
                </w:tcPr>
                <w:p w14:paraId="6BDD1BAB">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bottom w:val="single" w:color="auto" w:sz="4" w:space="0"/>
                    <w:right w:val="single" w:color="auto" w:sz="4" w:space="0"/>
                  </w:tcBorders>
                  <w:noWrap w:val="0"/>
                  <w:vAlign w:val="center"/>
                </w:tcPr>
                <w:p w14:paraId="5109FCE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717FE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111" w:type="dxa"/>
                  <w:vMerge w:val="continue"/>
                  <w:tcBorders>
                    <w:left w:val="single" w:color="auto" w:sz="4" w:space="0"/>
                    <w:right w:val="single" w:color="auto" w:sz="4" w:space="0"/>
                  </w:tcBorders>
                  <w:noWrap w:val="0"/>
                  <w:vAlign w:val="center"/>
                </w:tcPr>
                <w:p w14:paraId="0155D3BB">
                  <w:pPr>
                    <w:jc w:val="center"/>
                    <w:rPr>
                      <w:rFonts w:hint="default" w:ascii="Times New Roman" w:hAnsi="Times New Roman" w:cs="Times New Roman"/>
                      <w:szCs w:val="21"/>
                      <w:highlight w:val="none"/>
                    </w:rPr>
                  </w:pPr>
                </w:p>
              </w:tc>
              <w:tc>
                <w:tcPr>
                  <w:tcW w:w="1974" w:type="dxa"/>
                  <w:tcBorders>
                    <w:left w:val="single" w:color="auto" w:sz="4" w:space="0"/>
                    <w:right w:val="single" w:color="auto" w:sz="4" w:space="0"/>
                  </w:tcBorders>
                  <w:noWrap w:val="0"/>
                  <w:vAlign w:val="center"/>
                </w:tcPr>
                <w:p w14:paraId="677B5AA7">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C</w:t>
                  </w:r>
                  <w:r>
                    <w:rPr>
                      <w:rFonts w:hint="default" w:ascii="Times New Roman" w:hAnsi="Times New Roman" w:cs="Times New Roman"/>
                      <w:szCs w:val="21"/>
                      <w:highlight w:val="none"/>
                    </w:rPr>
                    <w:t>38</w:t>
                  </w:r>
                  <w:r>
                    <w:rPr>
                      <w:rFonts w:hint="eastAsia" w:ascii="Times New Roman" w:hAnsi="Times New Roman" w:cs="Times New Roman"/>
                      <w:szCs w:val="21"/>
                      <w:highlight w:val="none"/>
                    </w:rPr>
                    <w:t>电气机械和器材制造业</w:t>
                  </w:r>
                </w:p>
              </w:tc>
              <w:tc>
                <w:tcPr>
                  <w:tcW w:w="2268" w:type="dxa"/>
                  <w:tcBorders>
                    <w:top w:val="single" w:color="auto" w:sz="4" w:space="0"/>
                    <w:left w:val="single" w:color="auto" w:sz="4" w:space="0"/>
                    <w:right w:val="single" w:color="auto" w:sz="4" w:space="0"/>
                  </w:tcBorders>
                  <w:noWrap w:val="0"/>
                  <w:vAlign w:val="center"/>
                </w:tcPr>
                <w:p w14:paraId="20BBCDB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C381</w:t>
                  </w:r>
                  <w:r>
                    <w:rPr>
                      <w:rFonts w:hint="eastAsia" w:ascii="Times New Roman" w:hAnsi="Times New Roman" w:cs="Times New Roman"/>
                      <w:szCs w:val="21"/>
                      <w:highlight w:val="none"/>
                    </w:rPr>
                    <w:t>～</w:t>
                  </w:r>
                  <w:r>
                    <w:rPr>
                      <w:rFonts w:hint="default" w:ascii="Times New Roman" w:hAnsi="Times New Roman" w:cs="Times New Roman"/>
                      <w:szCs w:val="21"/>
                      <w:highlight w:val="none"/>
                    </w:rPr>
                    <w:t>C389</w:t>
                  </w:r>
                </w:p>
              </w:tc>
              <w:tc>
                <w:tcPr>
                  <w:tcW w:w="3219" w:type="dxa"/>
                  <w:tcBorders>
                    <w:top w:val="single" w:color="auto" w:sz="4" w:space="0"/>
                    <w:left w:val="single" w:color="auto" w:sz="4" w:space="0"/>
                    <w:right w:val="single" w:color="auto" w:sz="4" w:space="0"/>
                  </w:tcBorders>
                  <w:noWrap w:val="0"/>
                  <w:vAlign w:val="center"/>
                </w:tcPr>
                <w:p w14:paraId="5AF7A5EB">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right w:val="single" w:color="auto" w:sz="4" w:space="0"/>
                  </w:tcBorders>
                  <w:noWrap w:val="0"/>
                  <w:vAlign w:val="center"/>
                </w:tcPr>
                <w:p w14:paraId="3A30472C">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rPr>
                    <w:t>●</w:t>
                  </w:r>
                </w:p>
              </w:tc>
            </w:tr>
            <w:tr w14:paraId="2D6A9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111" w:type="dxa"/>
                  <w:vMerge w:val="continue"/>
                  <w:tcBorders>
                    <w:left w:val="single" w:color="auto" w:sz="4" w:space="0"/>
                    <w:right w:val="single" w:color="auto" w:sz="4" w:space="0"/>
                  </w:tcBorders>
                  <w:noWrap w:val="0"/>
                  <w:vAlign w:val="center"/>
                </w:tcPr>
                <w:p w14:paraId="4D720711">
                  <w:pPr>
                    <w:jc w:val="center"/>
                    <w:rPr>
                      <w:rFonts w:hint="default" w:ascii="Times New Roman" w:hAnsi="Times New Roman" w:cs="Times New Roman"/>
                      <w:szCs w:val="21"/>
                      <w:highlight w:val="none"/>
                    </w:rPr>
                  </w:pPr>
                </w:p>
              </w:tc>
              <w:tc>
                <w:tcPr>
                  <w:tcW w:w="1974" w:type="dxa"/>
                  <w:tcBorders>
                    <w:left w:val="single" w:color="auto" w:sz="4" w:space="0"/>
                    <w:right w:val="single" w:color="auto" w:sz="4" w:space="0"/>
                  </w:tcBorders>
                  <w:noWrap w:val="0"/>
                  <w:vAlign w:val="center"/>
                </w:tcPr>
                <w:p w14:paraId="2969D9F2">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C39计算机、通信和其他电子设备制造业</w:t>
                  </w:r>
                </w:p>
              </w:tc>
              <w:tc>
                <w:tcPr>
                  <w:tcW w:w="2268" w:type="dxa"/>
                  <w:tcBorders>
                    <w:top w:val="single" w:color="auto" w:sz="4" w:space="0"/>
                    <w:left w:val="single" w:color="auto" w:sz="4" w:space="0"/>
                    <w:right w:val="single" w:color="auto" w:sz="4" w:space="0"/>
                  </w:tcBorders>
                  <w:noWrap w:val="0"/>
                  <w:vAlign w:val="center"/>
                </w:tcPr>
                <w:p w14:paraId="48F39E1D">
                  <w:pPr>
                    <w:jc w:val="center"/>
                    <w:rPr>
                      <w:rFonts w:hint="eastAsia" w:ascii="Times New Roman" w:hAnsi="Times New Roman" w:cs="Times New Roman"/>
                      <w:szCs w:val="21"/>
                      <w:highlight w:val="none"/>
                    </w:rPr>
                  </w:pPr>
                  <w:r>
                    <w:rPr>
                      <w:rFonts w:hint="default" w:ascii="Times New Roman" w:hAnsi="Times New Roman" w:cs="Times New Roman"/>
                      <w:szCs w:val="21"/>
                      <w:highlight w:val="none"/>
                    </w:rPr>
                    <w:t>C3</w:t>
                  </w:r>
                  <w:r>
                    <w:rPr>
                      <w:rFonts w:hint="eastAsia" w:ascii="Times New Roman" w:hAnsi="Times New Roman" w:cs="Times New Roman"/>
                      <w:szCs w:val="21"/>
                      <w:highlight w:val="none"/>
                    </w:rPr>
                    <w:t>9</w:t>
                  </w:r>
                  <w:r>
                    <w:rPr>
                      <w:rFonts w:hint="default" w:ascii="Times New Roman" w:hAnsi="Times New Roman" w:cs="Times New Roman"/>
                      <w:szCs w:val="21"/>
                      <w:highlight w:val="none"/>
                    </w:rPr>
                    <w:t>1</w:t>
                  </w:r>
                  <w:r>
                    <w:rPr>
                      <w:rFonts w:hint="eastAsia" w:ascii="Times New Roman" w:hAnsi="Times New Roman" w:cs="Times New Roman"/>
                      <w:szCs w:val="21"/>
                      <w:highlight w:val="none"/>
                    </w:rPr>
                    <w:t>～</w:t>
                  </w:r>
                  <w:r>
                    <w:rPr>
                      <w:rFonts w:hint="default" w:ascii="Times New Roman" w:hAnsi="Times New Roman" w:cs="Times New Roman"/>
                      <w:szCs w:val="21"/>
                      <w:highlight w:val="none"/>
                    </w:rPr>
                    <w:t>C3</w:t>
                  </w:r>
                  <w:r>
                    <w:rPr>
                      <w:rFonts w:hint="eastAsia" w:ascii="Times New Roman" w:hAnsi="Times New Roman" w:cs="Times New Roman"/>
                      <w:szCs w:val="21"/>
                      <w:highlight w:val="none"/>
                    </w:rPr>
                    <w:t>98</w:t>
                  </w:r>
                </w:p>
              </w:tc>
              <w:tc>
                <w:tcPr>
                  <w:tcW w:w="3219" w:type="dxa"/>
                  <w:tcBorders>
                    <w:top w:val="single" w:color="auto" w:sz="4" w:space="0"/>
                    <w:left w:val="single" w:color="auto" w:sz="4" w:space="0"/>
                    <w:right w:val="single" w:color="auto" w:sz="4" w:space="0"/>
                  </w:tcBorders>
                  <w:noWrap w:val="0"/>
                  <w:vAlign w:val="center"/>
                </w:tcPr>
                <w:p w14:paraId="15923F66">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全部</w:t>
                  </w:r>
                </w:p>
              </w:tc>
              <w:tc>
                <w:tcPr>
                  <w:tcW w:w="1056" w:type="dxa"/>
                  <w:tcBorders>
                    <w:top w:val="single" w:color="auto" w:sz="4" w:space="0"/>
                    <w:left w:val="single" w:color="auto" w:sz="4" w:space="0"/>
                    <w:right w:val="single" w:color="auto" w:sz="4" w:space="0"/>
                  </w:tcBorders>
                  <w:noWrap w:val="0"/>
                  <w:vAlign w:val="center"/>
                </w:tcPr>
                <w:p w14:paraId="1E03A72B">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4FBF2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111" w:type="dxa"/>
                  <w:vMerge w:val="continue"/>
                  <w:tcBorders>
                    <w:left w:val="single" w:color="auto" w:sz="4" w:space="0"/>
                    <w:right w:val="single" w:color="auto" w:sz="4" w:space="0"/>
                  </w:tcBorders>
                  <w:noWrap w:val="0"/>
                  <w:vAlign w:val="center"/>
                </w:tcPr>
                <w:p w14:paraId="16A71C23">
                  <w:pPr>
                    <w:jc w:val="center"/>
                    <w:rPr>
                      <w:rFonts w:hint="default" w:ascii="Times New Roman" w:hAnsi="Times New Roman" w:cs="Times New Roman"/>
                      <w:szCs w:val="21"/>
                      <w:highlight w:val="none"/>
                    </w:rPr>
                  </w:pPr>
                </w:p>
              </w:tc>
              <w:tc>
                <w:tcPr>
                  <w:tcW w:w="7461" w:type="dxa"/>
                  <w:gridSpan w:val="3"/>
                  <w:tcBorders>
                    <w:left w:val="single" w:color="auto" w:sz="4" w:space="0"/>
                    <w:right w:val="single" w:color="auto" w:sz="4" w:space="0"/>
                  </w:tcBorders>
                  <w:noWrap w:val="0"/>
                  <w:vAlign w:val="center"/>
                </w:tcPr>
                <w:p w14:paraId="32EC0C04">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环土壤[2018]22号文中的涉重金属重点行业中涉及一类重金属排放的项目</w:t>
                  </w:r>
                </w:p>
              </w:tc>
              <w:tc>
                <w:tcPr>
                  <w:tcW w:w="1056" w:type="dxa"/>
                  <w:tcBorders>
                    <w:top w:val="single" w:color="auto" w:sz="4" w:space="0"/>
                    <w:left w:val="single" w:color="auto" w:sz="4" w:space="0"/>
                    <w:right w:val="single" w:color="auto" w:sz="4" w:space="0"/>
                  </w:tcBorders>
                  <w:noWrap w:val="0"/>
                  <w:vAlign w:val="center"/>
                </w:tcPr>
                <w:p w14:paraId="64D3E4BC">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w:t>
                  </w:r>
                </w:p>
              </w:tc>
            </w:tr>
            <w:tr w14:paraId="62E86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28" w:type="dxa"/>
                  <w:gridSpan w:val="5"/>
                  <w:tcBorders>
                    <w:left w:val="single" w:color="auto" w:sz="4" w:space="0"/>
                    <w:right w:val="single" w:color="auto" w:sz="4" w:space="0"/>
                  </w:tcBorders>
                  <w:noWrap w:val="0"/>
                  <w:vAlign w:val="center"/>
                </w:tcPr>
                <w:p w14:paraId="22598AA4">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注：1、★—优先进入行业；●—准许进入行业；▲—控制进入行业；×—禁止进入行业。</w:t>
                  </w:r>
                </w:p>
                <w:p w14:paraId="4DC3A3EA">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2、控制进入行业在在落实相关政策要求的前提下可以进入。</w:t>
                  </w:r>
                </w:p>
                <w:p w14:paraId="7E7713EB">
                  <w:pPr>
                    <w:jc w:val="center"/>
                    <w:rPr>
                      <w:rFonts w:hint="eastAsia" w:ascii="Times New Roman" w:hAnsi="Times New Roman" w:cs="Times New Roman"/>
                      <w:szCs w:val="21"/>
                      <w:highlight w:val="none"/>
                    </w:rPr>
                  </w:pPr>
                  <w:r>
                    <w:rPr>
                      <w:rFonts w:hint="eastAsia" w:ascii="Times New Roman" w:hAnsi="Times New Roman" w:cs="Times New Roman"/>
                      <w:szCs w:val="21"/>
                      <w:highlight w:val="none"/>
                    </w:rPr>
                    <w:t>3、考虑集聚区内现状化工企业（</w:t>
                  </w:r>
                  <w:bookmarkStart w:id="6" w:name="OLE_LINK13"/>
                  <w:r>
                    <w:rPr>
                      <w:rFonts w:hint="eastAsia" w:ascii="Times New Roman" w:hAnsi="Times New Roman" w:cs="Times New Roman"/>
                      <w:szCs w:val="21"/>
                      <w:highlight w:val="none"/>
                    </w:rPr>
                    <w:t>淄博兴鲁石元工贸有限公司</w:t>
                  </w:r>
                  <w:bookmarkEnd w:id="6"/>
                  <w:r>
                    <w:rPr>
                      <w:rFonts w:hint="eastAsia" w:ascii="Times New Roman" w:hAnsi="Times New Roman" w:cs="Times New Roman"/>
                      <w:szCs w:val="21"/>
                      <w:highlight w:val="none"/>
                    </w:rPr>
                    <w:t>、</w:t>
                  </w:r>
                  <w:bookmarkStart w:id="7" w:name="OLE_LINK3"/>
                  <w:r>
                    <w:rPr>
                      <w:rFonts w:hint="eastAsia" w:ascii="Times New Roman" w:hAnsi="Times New Roman" w:cs="Times New Roman"/>
                      <w:szCs w:val="21"/>
                      <w:highlight w:val="none"/>
                    </w:rPr>
                    <w:t>淄博科泉新材料科技有限公司</w:t>
                  </w:r>
                  <w:bookmarkEnd w:id="7"/>
                  <w:r>
                    <w:rPr>
                      <w:rFonts w:hint="eastAsia" w:ascii="Times New Roman" w:hAnsi="Times New Roman" w:cs="Times New Roman"/>
                      <w:szCs w:val="21"/>
                      <w:highlight w:val="none"/>
                    </w:rPr>
                    <w:t>两家</w:t>
                  </w:r>
                  <w:bookmarkStart w:id="8" w:name="_Hlk164846773"/>
                  <w:r>
                    <w:rPr>
                      <w:rFonts w:hint="eastAsia" w:ascii="Times New Roman" w:hAnsi="Times New Roman" w:cs="Times New Roman"/>
                      <w:szCs w:val="21"/>
                      <w:highlight w:val="none"/>
                    </w:rPr>
                    <w:t>原油加工及石油制品制造</w:t>
                  </w:r>
                  <w:bookmarkEnd w:id="8"/>
                  <w:r>
                    <w:rPr>
                      <w:rFonts w:hint="eastAsia" w:ascii="Times New Roman" w:hAnsi="Times New Roman" w:cs="Times New Roman"/>
                      <w:szCs w:val="21"/>
                      <w:highlight w:val="none"/>
                    </w:rPr>
                    <w:t>业企业核心装置已关停，正在转型升级；</w:t>
                  </w:r>
                  <w:bookmarkStart w:id="9" w:name="_Hlk193130916"/>
                  <w:r>
                    <w:rPr>
                      <w:rFonts w:hint="eastAsia" w:ascii="Times New Roman" w:hAnsi="Times New Roman" w:cs="Times New Roman"/>
                      <w:szCs w:val="21"/>
                      <w:highlight w:val="none"/>
                    </w:rPr>
                    <w:t>淄博聚利化工有限公司</w:t>
                  </w:r>
                  <w:bookmarkEnd w:id="9"/>
                  <w:r>
                    <w:rPr>
                      <w:rFonts w:hint="eastAsia" w:ascii="Times New Roman" w:hAnsi="Times New Roman" w:cs="Times New Roman"/>
                      <w:szCs w:val="21"/>
                      <w:highlight w:val="none"/>
                    </w:rPr>
                    <w:t>、</w:t>
                  </w:r>
                  <w:bookmarkStart w:id="10" w:name="OLE_LINK59"/>
                  <w:r>
                    <w:rPr>
                      <w:rFonts w:hint="eastAsia" w:ascii="Times New Roman" w:hAnsi="Times New Roman" w:cs="Times New Roman"/>
                      <w:szCs w:val="21"/>
                      <w:highlight w:val="none"/>
                    </w:rPr>
                    <w:t>淄博津庆化工有限公司</w:t>
                  </w:r>
                  <w:bookmarkEnd w:id="10"/>
                  <w:r>
                    <w:rPr>
                      <w:rFonts w:hint="eastAsia" w:ascii="Times New Roman" w:hAnsi="Times New Roman" w:cs="Times New Roman"/>
                      <w:szCs w:val="21"/>
                      <w:highlight w:val="none"/>
                    </w:rPr>
                    <w:t>两家企业属于危险废物治理业，正常运行）工业产值所占比重较大，为了实现集聚区内工业发展平稳过渡，现状化工企业须在符合鲁工信发[2022]5号文等相关文件要求的前提下适度发展。</w:t>
                  </w:r>
                </w:p>
              </w:tc>
            </w:tr>
            <w:bookmarkEnd w:id="3"/>
          </w:tbl>
          <w:p w14:paraId="08253A9B">
            <w:pPr>
              <w:widowControl/>
              <w:spacing w:line="360" w:lineRule="auto"/>
              <w:ind w:firstLine="480" w:firstLineChars="200"/>
              <w:jc w:val="left"/>
              <w:rPr>
                <w:rFonts w:hint="default" w:ascii="Times New Roman" w:hAnsi="Times New Roman" w:cs="Times New Roman"/>
                <w:kern w:val="0"/>
                <w:sz w:val="24"/>
                <w:highlight w:val="none"/>
              </w:rPr>
            </w:pPr>
            <w:r>
              <w:rPr>
                <w:rFonts w:hint="eastAsia" w:cs="Times New Roman"/>
                <w:kern w:val="0"/>
                <w:sz w:val="24"/>
                <w:highlight w:val="none"/>
                <w:lang w:val="en-US" w:eastAsia="zh-CN"/>
              </w:rPr>
              <w:t>项目属于</w:t>
            </w:r>
            <w:r>
              <w:rPr>
                <w:rFonts w:hint="default" w:ascii="Times New Roman" w:hAnsi="Times New Roman" w:cs="Times New Roman"/>
                <w:sz w:val="24"/>
                <w:highlight w:val="none"/>
                <w:lang w:val="zh-CN"/>
              </w:rPr>
              <w:t>C</w:t>
            </w:r>
            <w:r>
              <w:rPr>
                <w:rFonts w:hint="eastAsia" w:cs="Times New Roman"/>
                <w:sz w:val="24"/>
                <w:highlight w:val="none"/>
                <w:lang w:val="en-US" w:eastAsia="zh-CN"/>
              </w:rPr>
              <w:t>2926塑料包装箱及容器制造行业，为优先进入行业，符合</w:t>
            </w:r>
            <w:r>
              <w:rPr>
                <w:rFonts w:hint="default" w:ascii="Times New Roman" w:hAnsi="Times New Roman" w:eastAsia="宋体" w:cs="Times New Roman"/>
                <w:kern w:val="0"/>
                <w:sz w:val="24"/>
                <w:highlight w:val="none"/>
                <w:lang w:val="en-US" w:eastAsia="zh-CN" w:bidi="ar"/>
              </w:rPr>
              <w:t>凤凰镇梧台工业集聚区</w:t>
            </w:r>
            <w:r>
              <w:rPr>
                <w:rFonts w:hint="eastAsia" w:cs="Times New Roman"/>
                <w:kern w:val="0"/>
                <w:sz w:val="24"/>
                <w:highlight w:val="none"/>
                <w:lang w:val="en-US" w:eastAsia="zh-CN" w:bidi="ar"/>
              </w:rPr>
              <w:t>准入条件。</w:t>
            </w:r>
          </w:p>
        </w:tc>
      </w:tr>
      <w:tr w14:paraId="0ABAE9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78" w:type="pct"/>
            <w:vAlign w:val="center"/>
          </w:tcPr>
          <w:p w14:paraId="020E9DE1">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其他符合性分析</w:t>
            </w:r>
          </w:p>
        </w:tc>
        <w:tc>
          <w:tcPr>
            <w:tcW w:w="4721" w:type="pct"/>
            <w:gridSpan w:val="4"/>
            <w:vAlign w:val="center"/>
          </w:tcPr>
          <w:p w14:paraId="05CB6A41">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1、产业政策的符合性分析</w:t>
            </w:r>
          </w:p>
          <w:p w14:paraId="67B7E4DA">
            <w:pPr>
              <w:widowControl/>
              <w:spacing w:line="360" w:lineRule="auto"/>
              <w:ind w:firstLine="480" w:firstLineChars="200"/>
              <w:jc w:val="left"/>
              <w:rPr>
                <w:rFonts w:hint="default" w:ascii="Times New Roman" w:hAnsi="Times New Roman" w:eastAsia="新宋体" w:cs="Times New Roman"/>
                <w:highlight w:val="none"/>
              </w:rPr>
            </w:pPr>
            <w:r>
              <w:rPr>
                <w:rFonts w:hint="default" w:ascii="Times New Roman" w:hAnsi="Times New Roman" w:eastAsia="新宋体" w:cs="Times New Roman"/>
                <w:kern w:val="0"/>
                <w:sz w:val="24"/>
                <w:highlight w:val="none"/>
                <w:lang w:bidi="ar"/>
              </w:rPr>
              <w:t>项目不属于</w:t>
            </w:r>
            <w:r>
              <w:rPr>
                <w:rFonts w:hint="eastAsia" w:eastAsia="新宋体" w:cs="Times New Roman"/>
                <w:kern w:val="0"/>
                <w:sz w:val="24"/>
                <w:highlight w:val="none"/>
                <w:lang w:eastAsia="zh-CN" w:bidi="ar"/>
              </w:rPr>
              <w:t>国家发展改革委</w:t>
            </w:r>
            <w:r>
              <w:rPr>
                <w:rFonts w:hint="default" w:ascii="Times New Roman" w:hAnsi="Times New Roman" w:eastAsia="新宋体" w:cs="Times New Roman"/>
                <w:kern w:val="0"/>
                <w:sz w:val="24"/>
                <w:highlight w:val="none"/>
                <w:lang w:bidi="ar"/>
              </w:rPr>
              <w:t>发布的《产业结构调整指导目录（</w:t>
            </w:r>
            <w:r>
              <w:rPr>
                <w:rFonts w:hint="default" w:ascii="Times New Roman" w:hAnsi="Times New Roman" w:cs="Times New Roman"/>
                <w:kern w:val="0"/>
                <w:sz w:val="24"/>
                <w:highlight w:val="none"/>
                <w:lang w:bidi="ar"/>
              </w:rPr>
              <w:t>2024</w:t>
            </w:r>
            <w:r>
              <w:rPr>
                <w:rFonts w:hint="default" w:ascii="Times New Roman" w:hAnsi="Times New Roman" w:eastAsia="新宋体" w:cs="Times New Roman"/>
                <w:kern w:val="0"/>
                <w:sz w:val="24"/>
                <w:highlight w:val="none"/>
                <w:lang w:bidi="ar"/>
              </w:rPr>
              <w:t>年本）》中</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鼓励类</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限制类</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和</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淘汰类</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行列，属于允许建设项目，符合国家产业政策。</w:t>
            </w:r>
          </w:p>
          <w:p w14:paraId="14D37A99">
            <w:pPr>
              <w:widowControl/>
              <w:spacing w:line="360" w:lineRule="auto"/>
              <w:ind w:firstLine="480" w:firstLineChars="200"/>
              <w:jc w:val="left"/>
              <w:rPr>
                <w:rFonts w:hint="default" w:ascii="Times New Roman" w:hAnsi="Times New Roman" w:cs="Times New Roman"/>
                <w:highlight w:val="none"/>
              </w:rPr>
            </w:pPr>
            <w:r>
              <w:rPr>
                <w:rFonts w:hint="default" w:ascii="Times New Roman" w:hAnsi="Times New Roman" w:eastAsia="新宋体" w:cs="Times New Roman"/>
                <w:kern w:val="0"/>
                <w:sz w:val="24"/>
                <w:highlight w:val="none"/>
                <w:lang w:bidi="ar"/>
              </w:rPr>
              <w:t>本项目所用设备、生产工艺不属于淄博市《全市重点淘汰的落后工艺技术、装备及产品目录》中落后的工艺技术、装备及产品项目，不属于淄博市人民政府办公厅发布的《关于印发淄博市产业结构调整指导意见和指导目录的通知》（淄政办发〔</w:t>
            </w:r>
            <w:r>
              <w:rPr>
                <w:rFonts w:hint="default" w:ascii="Times New Roman" w:hAnsi="Times New Roman" w:cs="Times New Roman"/>
                <w:kern w:val="0"/>
                <w:sz w:val="24"/>
                <w:highlight w:val="none"/>
                <w:lang w:bidi="ar"/>
              </w:rPr>
              <w:t>2011〕35</w:t>
            </w:r>
            <w:r>
              <w:rPr>
                <w:rFonts w:hint="default" w:ascii="Times New Roman" w:hAnsi="Times New Roman" w:eastAsia="新宋体" w:cs="Times New Roman"/>
                <w:kern w:val="0"/>
                <w:sz w:val="24"/>
                <w:highlight w:val="none"/>
                <w:lang w:bidi="ar"/>
              </w:rPr>
              <w:t>号）中</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鼓励类</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限制类</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和</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淘汰类</w:t>
            </w:r>
            <w:r>
              <w:rPr>
                <w:rFonts w:hint="eastAsia" w:eastAsia="新宋体" w:cs="Times New Roman"/>
                <w:kern w:val="0"/>
                <w:sz w:val="24"/>
                <w:highlight w:val="none"/>
                <w:lang w:eastAsia="zh-CN" w:bidi="ar"/>
              </w:rPr>
              <w:t>”</w:t>
            </w:r>
            <w:r>
              <w:rPr>
                <w:rFonts w:hint="default" w:ascii="Times New Roman" w:hAnsi="Times New Roman" w:eastAsia="新宋体" w:cs="Times New Roman"/>
                <w:kern w:val="0"/>
                <w:sz w:val="24"/>
                <w:highlight w:val="none"/>
                <w:lang w:bidi="ar"/>
              </w:rPr>
              <w:t>行列，属于允许建设项目，符合淄博的产业政策</w:t>
            </w:r>
          </w:p>
          <w:p w14:paraId="1012E9FF">
            <w:pPr>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项目已于202</w:t>
            </w:r>
            <w:r>
              <w:rPr>
                <w:rFonts w:hint="eastAsia" w:cs="Times New Roman"/>
                <w:sz w:val="24"/>
                <w:highlight w:val="none"/>
                <w:lang w:val="en-US" w:eastAsia="zh-CN"/>
              </w:rPr>
              <w:t>6</w:t>
            </w:r>
            <w:r>
              <w:rPr>
                <w:rFonts w:hint="default" w:ascii="Times New Roman" w:hAnsi="Times New Roman" w:cs="Times New Roman"/>
                <w:sz w:val="24"/>
                <w:highlight w:val="none"/>
              </w:rPr>
              <w:t>年</w:t>
            </w:r>
            <w:r>
              <w:rPr>
                <w:rFonts w:hint="eastAsia" w:cs="Times New Roman"/>
                <w:sz w:val="24"/>
                <w:highlight w:val="none"/>
                <w:lang w:val="en-US" w:eastAsia="zh-CN"/>
              </w:rPr>
              <w:t>1</w:t>
            </w:r>
            <w:r>
              <w:rPr>
                <w:rFonts w:hint="default" w:ascii="Times New Roman" w:hAnsi="Times New Roman" w:cs="Times New Roman"/>
                <w:sz w:val="24"/>
                <w:highlight w:val="none"/>
              </w:rPr>
              <w:t>月8日通过山东省投资项目监管平台备案证明，项目代码为</w:t>
            </w:r>
            <w:r>
              <w:rPr>
                <w:rFonts w:hint="eastAsia" w:cs="Times New Roman"/>
                <w:sz w:val="24"/>
                <w:highlight w:val="none"/>
                <w:lang w:eastAsia="zh-CN"/>
              </w:rPr>
              <w:t>2601-370305-89-01-906055</w:t>
            </w:r>
            <w:r>
              <w:rPr>
                <w:rFonts w:hint="default" w:ascii="Times New Roman" w:hAnsi="Times New Roman" w:cs="Times New Roman"/>
                <w:sz w:val="24"/>
                <w:highlight w:val="none"/>
              </w:rPr>
              <w:t>，备案证明见附件。</w:t>
            </w:r>
          </w:p>
          <w:p w14:paraId="40A787C5">
            <w:pPr>
              <w:spacing w:line="360" w:lineRule="auto"/>
              <w:ind w:firstLine="482" w:firstLineChars="200"/>
              <w:contextualSpacing/>
              <w:rPr>
                <w:rFonts w:hint="default" w:ascii="Times New Roman" w:hAnsi="Times New Roman" w:cs="Times New Roman"/>
                <w:b/>
                <w:bCs/>
                <w:sz w:val="24"/>
                <w:highlight w:val="none"/>
              </w:rPr>
            </w:pPr>
            <w:r>
              <w:rPr>
                <w:rFonts w:hint="default" w:ascii="Times New Roman" w:hAnsi="Times New Roman" w:cs="Times New Roman"/>
                <w:b/>
                <w:bCs/>
                <w:sz w:val="24"/>
                <w:highlight w:val="none"/>
              </w:rPr>
              <w:t>2、用地符合性分析</w:t>
            </w:r>
          </w:p>
          <w:p w14:paraId="4018B0AD">
            <w:pPr>
              <w:widowControl/>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bCs/>
                <w:sz w:val="24"/>
                <w:highlight w:val="none"/>
              </w:rPr>
              <w:t>本项目位于</w:t>
            </w:r>
            <w:r>
              <w:rPr>
                <w:rFonts w:hint="eastAsia" w:cs="Times New Roman"/>
                <w:sz w:val="24"/>
                <w:highlight w:val="none"/>
                <w:lang w:eastAsia="zh-CN"/>
              </w:rPr>
              <w:t>临淄区凤凰镇土桥村辛河路与梧台路交叉口东400米</w:t>
            </w:r>
            <w:r>
              <w:rPr>
                <w:rFonts w:hint="default" w:ascii="Times New Roman" w:hAnsi="Times New Roman" w:cs="Times New Roman"/>
                <w:bCs/>
                <w:sz w:val="24"/>
                <w:highlight w:val="none"/>
              </w:rPr>
              <w:t>，对照《限制用地项目目录（2012年本）》、《禁止用地项目目录（2012年本）》、《自然资源要素支撑产业高质量发展指导目录（2024年本）》，本项目不属于其规定的限制用地和禁止用地项目范畴，可视为允许类项目。</w:t>
            </w:r>
            <w:r>
              <w:rPr>
                <w:rFonts w:hint="eastAsia" w:cs="Times New Roman"/>
                <w:kern w:val="0"/>
                <w:sz w:val="24"/>
                <w:highlight w:val="none"/>
                <w:lang w:val="en-US" w:eastAsia="zh-CN"/>
              </w:rPr>
              <w:t>根据《</w:t>
            </w:r>
            <w:r>
              <w:rPr>
                <w:rFonts w:hint="default" w:ascii="Times New Roman" w:hAnsi="Times New Roman" w:cs="Times New Roman"/>
                <w:kern w:val="0"/>
                <w:sz w:val="24"/>
                <w:highlight w:val="none"/>
              </w:rPr>
              <w:t>淄博市国土空间总体规划（2021-2035年）</w:t>
            </w:r>
            <w:r>
              <w:rPr>
                <w:rFonts w:hint="eastAsia" w:cs="Times New Roman"/>
                <w:kern w:val="0"/>
                <w:sz w:val="24"/>
                <w:highlight w:val="none"/>
                <w:lang w:val="en-US" w:eastAsia="zh-CN"/>
              </w:rPr>
              <w:t>》</w:t>
            </w:r>
            <w:r>
              <w:rPr>
                <w:rFonts w:hint="eastAsia" w:cs="Times New Roman"/>
                <w:kern w:val="0"/>
                <w:sz w:val="24"/>
                <w:highlight w:val="none"/>
                <w:lang w:eastAsia="zh-CN"/>
              </w:rPr>
              <w:t>，</w:t>
            </w:r>
            <w:r>
              <w:rPr>
                <w:rFonts w:hint="eastAsia" w:cs="Times New Roman"/>
                <w:kern w:val="0"/>
                <w:sz w:val="24"/>
                <w:highlight w:val="none"/>
                <w:lang w:val="en-US" w:eastAsia="zh-CN"/>
              </w:rPr>
              <w:t>项目用地为工业用地。</w:t>
            </w:r>
            <w:r>
              <w:rPr>
                <w:rFonts w:hint="default" w:ascii="Times New Roman" w:hAnsi="Times New Roman" w:cs="Times New Roman"/>
                <w:kern w:val="0"/>
                <w:sz w:val="24"/>
                <w:highlight w:val="none"/>
              </w:rPr>
              <w:t>临淄区</w:t>
            </w:r>
            <w:r>
              <w:rPr>
                <w:rFonts w:hint="eastAsia" w:cs="Times New Roman"/>
                <w:kern w:val="0"/>
                <w:sz w:val="24"/>
                <w:highlight w:val="none"/>
                <w:lang w:val="en-US" w:eastAsia="zh-CN"/>
              </w:rPr>
              <w:t>凤凰镇人民政府</w:t>
            </w:r>
            <w:r>
              <w:rPr>
                <w:rFonts w:hint="default" w:ascii="Times New Roman" w:hAnsi="Times New Roman" w:cs="Times New Roman"/>
                <w:kern w:val="0"/>
                <w:sz w:val="24"/>
                <w:highlight w:val="none"/>
              </w:rPr>
              <w:t>出具了相关的证明，证明该项目位于凤凰镇</w:t>
            </w:r>
            <w:r>
              <w:rPr>
                <w:rFonts w:hint="eastAsia" w:cs="Times New Roman"/>
                <w:kern w:val="0"/>
                <w:sz w:val="24"/>
                <w:highlight w:val="none"/>
                <w:lang w:eastAsia="zh-CN"/>
              </w:rPr>
              <w:t>梧台工业集聚区</w:t>
            </w:r>
            <w:r>
              <w:rPr>
                <w:rFonts w:hint="default" w:ascii="Times New Roman" w:hAnsi="Times New Roman" w:cs="Times New Roman"/>
                <w:kern w:val="0"/>
                <w:sz w:val="24"/>
                <w:highlight w:val="none"/>
              </w:rPr>
              <w:t>内，并符合凤凰镇镇域规划。</w:t>
            </w:r>
          </w:p>
          <w:p w14:paraId="6EBACA5B">
            <w:pPr>
              <w:numPr>
                <w:ilvl w:val="0"/>
                <w:numId w:val="2"/>
              </w:numPr>
              <w:autoSpaceDE w:val="0"/>
              <w:autoSpaceDN w:val="0"/>
              <w:spacing w:line="360" w:lineRule="auto"/>
              <w:ind w:firstLine="482" w:firstLineChars="200"/>
              <w:rPr>
                <w:rFonts w:hint="default" w:ascii="Times New Roman" w:hAnsi="Times New Roman" w:cs="Times New Roman"/>
                <w:b/>
                <w:bCs/>
                <w:kern w:val="0"/>
                <w:sz w:val="24"/>
                <w:highlight w:val="none"/>
              </w:rPr>
            </w:pPr>
            <w:r>
              <w:rPr>
                <w:rFonts w:hint="default" w:ascii="Times New Roman" w:hAnsi="Times New Roman" w:cs="Times New Roman"/>
                <w:b/>
                <w:bCs/>
                <w:kern w:val="0"/>
                <w:sz w:val="24"/>
                <w:highlight w:val="none"/>
              </w:rPr>
              <w:t>选址符合性分析</w:t>
            </w:r>
          </w:p>
          <w:p w14:paraId="0EF1FB60">
            <w:pPr>
              <w:widowControl/>
              <w:spacing w:line="360" w:lineRule="auto"/>
              <w:ind w:firstLine="480" w:firstLineChars="200"/>
              <w:jc w:val="left"/>
              <w:rPr>
                <w:rFonts w:hint="default" w:ascii="Times New Roman" w:hAnsi="Times New Roman" w:cs="Times New Roman"/>
                <w:bCs/>
                <w:sz w:val="24"/>
                <w:highlight w:val="none"/>
              </w:rPr>
            </w:pPr>
            <w:r>
              <w:rPr>
                <w:rFonts w:hint="default" w:ascii="Times New Roman" w:hAnsi="Times New Roman" w:cs="Times New Roman"/>
                <w:bCs/>
                <w:sz w:val="24"/>
                <w:highlight w:val="none"/>
              </w:rPr>
              <w:t>本项目位于</w:t>
            </w:r>
            <w:r>
              <w:rPr>
                <w:rFonts w:hint="eastAsia" w:cs="Times New Roman"/>
                <w:bCs/>
                <w:sz w:val="24"/>
                <w:highlight w:val="none"/>
                <w:lang w:eastAsia="zh-CN"/>
              </w:rPr>
              <w:t>临淄区凤凰镇土桥村辛河路与梧台路交叉口东400米</w:t>
            </w:r>
            <w:r>
              <w:rPr>
                <w:rFonts w:hint="default" w:ascii="Times New Roman" w:hAnsi="Times New Roman" w:cs="Times New Roman"/>
                <w:bCs/>
                <w:sz w:val="24"/>
                <w:highlight w:val="none"/>
              </w:rPr>
              <w:t>，</w:t>
            </w:r>
            <w:r>
              <w:rPr>
                <w:rFonts w:hint="eastAsia" w:cs="Times New Roman"/>
                <w:bCs/>
                <w:sz w:val="24"/>
                <w:highlight w:val="none"/>
                <w:lang w:val="en-US" w:eastAsia="zh-CN"/>
              </w:rPr>
              <w:t>根据</w:t>
            </w:r>
            <w:r>
              <w:rPr>
                <w:rFonts w:hint="default" w:ascii="Times New Roman" w:hAnsi="Times New Roman" w:cs="Times New Roman"/>
                <w:kern w:val="0"/>
                <w:sz w:val="24"/>
                <w:highlight w:val="none"/>
              </w:rPr>
              <w:t>临淄区</w:t>
            </w:r>
            <w:r>
              <w:rPr>
                <w:rFonts w:hint="eastAsia" w:cs="Times New Roman"/>
                <w:kern w:val="0"/>
                <w:sz w:val="24"/>
                <w:highlight w:val="none"/>
                <w:lang w:val="en-US" w:eastAsia="zh-CN"/>
              </w:rPr>
              <w:t>凤凰镇人民政府</w:t>
            </w:r>
            <w:r>
              <w:rPr>
                <w:rFonts w:hint="default" w:ascii="Times New Roman" w:hAnsi="Times New Roman" w:cs="Times New Roman"/>
                <w:kern w:val="0"/>
                <w:sz w:val="24"/>
                <w:highlight w:val="none"/>
              </w:rPr>
              <w:t>出具了相关的证明，证明该项目位于凤凰镇</w:t>
            </w:r>
            <w:r>
              <w:rPr>
                <w:rFonts w:hint="eastAsia" w:cs="Times New Roman"/>
                <w:kern w:val="0"/>
                <w:sz w:val="24"/>
                <w:highlight w:val="none"/>
                <w:lang w:eastAsia="zh-CN"/>
              </w:rPr>
              <w:t>梧台工业集聚区</w:t>
            </w:r>
            <w:r>
              <w:rPr>
                <w:rFonts w:hint="default" w:ascii="Times New Roman" w:hAnsi="Times New Roman" w:cs="Times New Roman"/>
                <w:kern w:val="0"/>
                <w:sz w:val="24"/>
                <w:highlight w:val="none"/>
              </w:rPr>
              <w:t>内，并符合凤凰镇镇域规划</w:t>
            </w:r>
            <w:r>
              <w:rPr>
                <w:rFonts w:hint="default" w:ascii="Times New Roman" w:hAnsi="Times New Roman" w:cs="Times New Roman"/>
                <w:bCs/>
                <w:sz w:val="24"/>
                <w:highlight w:val="none"/>
              </w:rPr>
              <w:t>。根据《淄博市国土空间总体规划（2021-2035年）》，本项目用地为工业用地。</w:t>
            </w:r>
          </w:p>
          <w:p w14:paraId="1F6E6BC9">
            <w:pPr>
              <w:widowControl/>
              <w:spacing w:line="360" w:lineRule="auto"/>
              <w:ind w:firstLine="480" w:firstLineChars="200"/>
              <w:jc w:val="left"/>
              <w:rPr>
                <w:rFonts w:hint="default" w:ascii="Times New Roman" w:hAnsi="Times New Roman" w:cs="Times New Roman"/>
                <w:bCs/>
                <w:sz w:val="24"/>
                <w:highlight w:val="none"/>
              </w:rPr>
            </w:pPr>
            <w:r>
              <w:rPr>
                <w:rFonts w:hint="default" w:ascii="Times New Roman" w:hAnsi="Times New Roman" w:cs="Times New Roman"/>
                <w:bCs/>
                <w:sz w:val="24"/>
                <w:highlight w:val="none"/>
              </w:rPr>
              <w:t>拟建项目</w:t>
            </w:r>
            <w:r>
              <w:rPr>
                <w:rFonts w:hint="eastAsia" w:cs="Times New Roman"/>
                <w:bCs/>
                <w:sz w:val="24"/>
                <w:highlight w:val="none"/>
                <w:lang w:val="en-US" w:eastAsia="zh-CN"/>
              </w:rPr>
              <w:t>租赁现有</w:t>
            </w:r>
            <w:r>
              <w:rPr>
                <w:rFonts w:hint="default" w:ascii="Times New Roman" w:hAnsi="Times New Roman" w:cs="Times New Roman"/>
                <w:bCs/>
                <w:sz w:val="24"/>
                <w:highlight w:val="none"/>
              </w:rPr>
              <w:t>厂区建设，厂内水、电、暖、道路等基础设施齐全，该项目可以充分依托厂区内现有的公用工程条件。该项目建有完善的废气、废水、噪声及固废处理设施，并确保达标排放，项目的建设对周围敏感目标影响较小；该项目无工艺废水排放。综上所述，本项目选址是合理的。</w:t>
            </w:r>
          </w:p>
          <w:p w14:paraId="6017D80C">
            <w:pPr>
              <w:autoSpaceDE w:val="0"/>
              <w:autoSpaceDN w:val="0"/>
              <w:spacing w:line="360" w:lineRule="auto"/>
              <w:ind w:firstLine="482" w:firstLineChars="200"/>
              <w:rPr>
                <w:rFonts w:hint="default" w:ascii="Times New Roman" w:hAnsi="Times New Roman" w:eastAsia="宋体" w:cs="Times New Roman"/>
                <w:b/>
                <w:bCs/>
                <w:kern w:val="0"/>
                <w:sz w:val="24"/>
                <w:highlight w:val="none"/>
                <w:lang w:val="en-US" w:eastAsia="zh-CN"/>
              </w:rPr>
            </w:pPr>
            <w:r>
              <w:rPr>
                <w:rFonts w:hint="eastAsia" w:cs="Times New Roman"/>
                <w:b/>
                <w:bCs/>
                <w:kern w:val="0"/>
                <w:sz w:val="24"/>
                <w:highlight w:val="none"/>
                <w:lang w:val="en-US" w:eastAsia="zh-CN"/>
              </w:rPr>
              <w:t>4</w:t>
            </w:r>
            <w:r>
              <w:rPr>
                <w:rFonts w:hint="default" w:ascii="Times New Roman" w:hAnsi="Times New Roman" w:cs="Times New Roman"/>
                <w:b/>
                <w:bCs/>
                <w:kern w:val="0"/>
                <w:sz w:val="24"/>
                <w:highlight w:val="none"/>
              </w:rPr>
              <w:t>、生态环境分区管控方案</w:t>
            </w:r>
            <w:r>
              <w:rPr>
                <w:rFonts w:hint="eastAsia" w:cs="Times New Roman"/>
                <w:b/>
                <w:bCs/>
                <w:kern w:val="0"/>
                <w:sz w:val="24"/>
                <w:highlight w:val="none"/>
                <w:lang w:val="en-US" w:eastAsia="zh-CN"/>
              </w:rPr>
              <w:t>符合性分析</w:t>
            </w:r>
          </w:p>
          <w:p w14:paraId="0DC8302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bCs/>
                <w:sz w:val="24"/>
                <w:highlight w:val="none"/>
              </w:rPr>
              <w:t>根据《淄博市人民政府关于印发淄博市</w:t>
            </w:r>
            <w:r>
              <w:rPr>
                <w:rFonts w:hint="eastAsia" w:cs="Times New Roman"/>
                <w:bCs/>
                <w:sz w:val="24"/>
                <w:highlight w:val="none"/>
                <w:lang w:eastAsia="zh-CN"/>
              </w:rPr>
              <w:t>“</w:t>
            </w:r>
            <w:r>
              <w:rPr>
                <w:rFonts w:hint="default" w:ascii="Times New Roman" w:hAnsi="Times New Roman" w:cs="Times New Roman"/>
                <w:bCs/>
                <w:sz w:val="24"/>
                <w:highlight w:val="none"/>
              </w:rPr>
              <w:t>三线一单</w:t>
            </w:r>
            <w:r>
              <w:rPr>
                <w:rFonts w:hint="eastAsia" w:cs="Times New Roman"/>
                <w:bCs/>
                <w:sz w:val="24"/>
                <w:highlight w:val="none"/>
                <w:lang w:eastAsia="zh-CN"/>
              </w:rPr>
              <w:t>”</w:t>
            </w:r>
            <w:r>
              <w:rPr>
                <w:rFonts w:hint="default" w:ascii="Times New Roman" w:hAnsi="Times New Roman" w:cs="Times New Roman"/>
                <w:bCs/>
                <w:sz w:val="24"/>
                <w:highlight w:val="none"/>
              </w:rPr>
              <w:t>生态环境分区管控方案的通知》（淄政字〔2021〕49号）及《淄博市2023年生态环境分区管控成果动态更新项目生态环境准入清单》，项目位于山东省淄博市临淄区</w:t>
            </w:r>
            <w:r>
              <w:rPr>
                <w:rFonts w:hint="eastAsia" w:cs="Times New Roman"/>
                <w:bCs/>
                <w:sz w:val="24"/>
                <w:highlight w:val="none"/>
                <w:lang w:eastAsia="zh-CN"/>
              </w:rPr>
              <w:t>凤凰镇</w:t>
            </w:r>
            <w:r>
              <w:rPr>
                <w:rFonts w:hint="default" w:ascii="Times New Roman" w:hAnsi="Times New Roman" w:cs="Times New Roman"/>
                <w:bCs/>
                <w:sz w:val="24"/>
                <w:highlight w:val="none"/>
              </w:rPr>
              <w:t>，属于重点管控单元（环境管控单元编码，ZH37030520012）。</w:t>
            </w:r>
            <w:r>
              <w:rPr>
                <w:rFonts w:hint="default" w:ascii="Times New Roman" w:hAnsi="Times New Roman" w:cs="Times New Roman"/>
                <w:sz w:val="24"/>
                <w:highlight w:val="none"/>
              </w:rPr>
              <w:t>重点管控单元主要推进产业布局优化、转型升级，不断提高资源利用效率，加强污染物排放控制和环境风险防控，解决生态环境突出问题。</w:t>
            </w:r>
          </w:p>
          <w:p w14:paraId="53ED3D29">
            <w:pPr>
              <w:pStyle w:val="94"/>
              <w:spacing w:beforeLines="0" w:afterLines="0" w:line="240" w:lineRule="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表1-</w:t>
            </w:r>
            <w:r>
              <w:rPr>
                <w:rFonts w:hint="eastAsia" w:ascii="Times New Roman" w:cs="Times New Roman"/>
                <w:b/>
                <w:bCs/>
                <w:sz w:val="24"/>
                <w:szCs w:val="24"/>
                <w:highlight w:val="none"/>
                <w:lang w:val="en-US" w:eastAsia="zh-CN"/>
              </w:rPr>
              <w:t>2</w:t>
            </w:r>
            <w:r>
              <w:rPr>
                <w:rFonts w:hint="default" w:ascii="Times New Roman" w:hAnsi="Times New Roman" w:cs="Times New Roman"/>
                <w:b/>
                <w:bCs/>
                <w:sz w:val="24"/>
                <w:szCs w:val="24"/>
                <w:highlight w:val="none"/>
              </w:rPr>
              <w:t xml:space="preserve">  与</w:t>
            </w:r>
            <w:r>
              <w:rPr>
                <w:rFonts w:hint="eastAsia" w:ascii="Times New Roman" w:cs="Times New Roman"/>
                <w:b/>
                <w:bCs/>
                <w:sz w:val="24"/>
                <w:szCs w:val="24"/>
                <w:highlight w:val="none"/>
                <w:lang w:eastAsia="zh-CN"/>
              </w:rPr>
              <w:t>“</w:t>
            </w:r>
            <w:r>
              <w:rPr>
                <w:rFonts w:hint="default" w:ascii="Times New Roman" w:hAnsi="Times New Roman" w:cs="Times New Roman"/>
                <w:b/>
                <w:bCs/>
                <w:sz w:val="24"/>
                <w:szCs w:val="24"/>
                <w:highlight w:val="none"/>
              </w:rPr>
              <w:t>淄政字〔2021〕49号</w:t>
            </w:r>
            <w:r>
              <w:rPr>
                <w:rFonts w:hint="eastAsia" w:ascii="Times New Roman" w:cs="Times New Roman"/>
                <w:b/>
                <w:bCs/>
                <w:sz w:val="24"/>
                <w:szCs w:val="24"/>
                <w:highlight w:val="none"/>
                <w:lang w:eastAsia="zh-CN"/>
              </w:rPr>
              <w:t>”</w:t>
            </w:r>
            <w:r>
              <w:rPr>
                <w:rFonts w:hint="default" w:ascii="Times New Roman" w:hAnsi="Times New Roman" w:cs="Times New Roman"/>
                <w:b/>
                <w:bCs/>
                <w:sz w:val="24"/>
                <w:szCs w:val="24"/>
                <w:highlight w:val="none"/>
              </w:rPr>
              <w:t>符合性分析一览表</w:t>
            </w:r>
          </w:p>
          <w:tbl>
            <w:tblPr>
              <w:tblStyle w:val="47"/>
              <w:tblW w:w="49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2"/>
              <w:gridCol w:w="2204"/>
              <w:gridCol w:w="989"/>
            </w:tblGrid>
            <w:tr w14:paraId="6F561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blHeader/>
                <w:jc w:val="center"/>
              </w:trPr>
              <w:tc>
                <w:tcPr>
                  <w:tcW w:w="3199" w:type="pct"/>
                  <w:tcBorders>
                    <w:tl2br w:val="nil"/>
                    <w:tr2bl w:val="nil"/>
                  </w:tcBorders>
                  <w:vAlign w:val="center"/>
                </w:tcPr>
                <w:p w14:paraId="4F502FA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淄博市</w:t>
                  </w:r>
                  <w:r>
                    <w:rPr>
                      <w:rFonts w:hint="eastAsia" w:cs="Times New Roman"/>
                      <w:szCs w:val="21"/>
                      <w:highlight w:val="none"/>
                      <w:lang w:eastAsia="zh-CN"/>
                    </w:rPr>
                    <w:t>“</w:t>
                  </w:r>
                  <w:r>
                    <w:rPr>
                      <w:rFonts w:hint="default" w:ascii="Times New Roman" w:hAnsi="Times New Roman" w:cs="Times New Roman"/>
                      <w:szCs w:val="21"/>
                      <w:highlight w:val="none"/>
                    </w:rPr>
                    <w:t>三线一单</w:t>
                  </w:r>
                  <w:r>
                    <w:rPr>
                      <w:rFonts w:hint="eastAsia" w:cs="Times New Roman"/>
                      <w:szCs w:val="21"/>
                      <w:highlight w:val="none"/>
                      <w:lang w:eastAsia="zh-CN"/>
                    </w:rPr>
                    <w:t>”</w:t>
                  </w:r>
                  <w:r>
                    <w:rPr>
                      <w:rFonts w:hint="default" w:ascii="Times New Roman" w:hAnsi="Times New Roman" w:cs="Times New Roman"/>
                      <w:szCs w:val="21"/>
                      <w:highlight w:val="none"/>
                    </w:rPr>
                    <w:t>生态环境分区管控方案重点管控单元要求</w:t>
                  </w:r>
                </w:p>
              </w:tc>
              <w:tc>
                <w:tcPr>
                  <w:tcW w:w="1243" w:type="pct"/>
                  <w:tcBorders>
                    <w:tl2br w:val="nil"/>
                    <w:tr2bl w:val="nil"/>
                  </w:tcBorders>
                  <w:vAlign w:val="center"/>
                </w:tcPr>
                <w:p w14:paraId="5241DB4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本项目情况</w:t>
                  </w:r>
                </w:p>
              </w:tc>
              <w:tc>
                <w:tcPr>
                  <w:tcW w:w="558" w:type="pct"/>
                  <w:tcBorders>
                    <w:tl2br w:val="nil"/>
                    <w:tr2bl w:val="nil"/>
                  </w:tcBorders>
                  <w:vAlign w:val="center"/>
                </w:tcPr>
                <w:p w14:paraId="438563E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符合性</w:t>
                  </w:r>
                </w:p>
              </w:tc>
            </w:tr>
            <w:tr w14:paraId="148A7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199" w:type="pct"/>
                  <w:tcBorders>
                    <w:tl2br w:val="nil"/>
                    <w:tr2bl w:val="nil"/>
                  </w:tcBorders>
                  <w:vAlign w:val="center"/>
                </w:tcPr>
                <w:p w14:paraId="54DA904B">
                  <w:pPr>
                    <w:rPr>
                      <w:rFonts w:hint="default" w:ascii="Times New Roman" w:hAnsi="Times New Roman" w:cs="Times New Roman"/>
                      <w:szCs w:val="21"/>
                      <w:highlight w:val="none"/>
                    </w:rPr>
                  </w:pPr>
                  <w:r>
                    <w:rPr>
                      <w:rFonts w:hint="default" w:ascii="Times New Roman" w:hAnsi="Times New Roman" w:cs="Times New Roman"/>
                      <w:szCs w:val="21"/>
                      <w:highlight w:val="none"/>
                    </w:rPr>
                    <w:t>空间布局管控要求。优化完善区域产业布局，合理布局各类工业项目。坚决淘汰落后产能，聚焦</w:t>
                  </w:r>
                  <w:r>
                    <w:rPr>
                      <w:rFonts w:hint="eastAsia" w:cs="Times New Roman"/>
                      <w:szCs w:val="21"/>
                      <w:highlight w:val="none"/>
                      <w:lang w:eastAsia="zh-CN"/>
                    </w:rPr>
                    <w:t>“</w:t>
                  </w:r>
                  <w:r>
                    <w:rPr>
                      <w:rFonts w:hint="default" w:ascii="Times New Roman" w:hAnsi="Times New Roman" w:cs="Times New Roman"/>
                      <w:szCs w:val="21"/>
                      <w:highlight w:val="none"/>
                    </w:rPr>
                    <w:t>高耗能、高污染、高排放、高风险</w:t>
                  </w:r>
                  <w:r>
                    <w:rPr>
                      <w:rFonts w:hint="eastAsia" w:cs="Times New Roman"/>
                      <w:szCs w:val="21"/>
                      <w:highlight w:val="none"/>
                      <w:lang w:eastAsia="zh-CN"/>
                    </w:rPr>
                    <w:t>”</w:t>
                  </w:r>
                  <w:r>
                    <w:rPr>
                      <w:rFonts w:hint="default" w:ascii="Times New Roman" w:hAnsi="Times New Roman" w:cs="Times New Roman"/>
                      <w:szCs w:val="21"/>
                      <w:highlight w:val="none"/>
                    </w:rPr>
                    <w:t>低效落后产能，进一步健全并严格落实环保、安全、技术、能耗、效益标准，分类组织实施转移、压减、整合、关停任务。坚决改造提升传统产业，聚焦</w:t>
                  </w:r>
                  <w:r>
                    <w:rPr>
                      <w:rFonts w:hint="eastAsia" w:cs="Times New Roman"/>
                      <w:szCs w:val="21"/>
                      <w:highlight w:val="none"/>
                      <w:lang w:eastAsia="zh-CN"/>
                    </w:rPr>
                    <w:t>“</w:t>
                  </w:r>
                  <w:r>
                    <w:rPr>
                      <w:rFonts w:hint="default" w:ascii="Times New Roman" w:hAnsi="Times New Roman" w:cs="Times New Roman"/>
                      <w:szCs w:val="21"/>
                      <w:highlight w:val="none"/>
                    </w:rPr>
                    <w:t>四强</w:t>
                  </w:r>
                  <w:r>
                    <w:rPr>
                      <w:rFonts w:hint="eastAsia" w:cs="Times New Roman"/>
                      <w:szCs w:val="21"/>
                      <w:highlight w:val="none"/>
                      <w:lang w:eastAsia="zh-CN"/>
                    </w:rPr>
                    <w:t>”</w:t>
                  </w:r>
                  <w:r>
                    <w:rPr>
                      <w:rFonts w:hint="default" w:ascii="Times New Roman" w:hAnsi="Times New Roman" w:cs="Times New Roman"/>
                      <w:szCs w:val="21"/>
                      <w:highlight w:val="none"/>
                    </w:rPr>
                    <w:t>产业，实施产业攀登计划，加快传统产业绿色化升级改造，形成高端引领、链条完整、生态完善、效益显著的产业发展格局。在满足产业准入、总量控制、排放标准等管理制度要求的前提下，实行工业项目进工业园区或聚集区，集约高效发展。从严审批</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建设项目，严格落实产能、煤炭、能耗等置换要求；加快推进</w:t>
                  </w:r>
                  <w:r>
                    <w:rPr>
                      <w:rFonts w:hint="eastAsia" w:cs="Times New Roman"/>
                      <w:szCs w:val="21"/>
                      <w:highlight w:val="none"/>
                      <w:lang w:eastAsia="zh-CN"/>
                    </w:rPr>
                    <w:t>“</w:t>
                  </w:r>
                  <w:r>
                    <w:rPr>
                      <w:rFonts w:hint="default" w:ascii="Times New Roman" w:hAnsi="Times New Roman" w:cs="Times New Roman"/>
                      <w:szCs w:val="21"/>
                      <w:highlight w:val="none"/>
                    </w:rPr>
                    <w:t>散乱污</w:t>
                  </w:r>
                  <w:r>
                    <w:rPr>
                      <w:rFonts w:hint="eastAsia" w:cs="Times New Roman"/>
                      <w:szCs w:val="21"/>
                      <w:highlight w:val="none"/>
                      <w:lang w:eastAsia="zh-CN"/>
                    </w:rPr>
                    <w:t>”</w:t>
                  </w:r>
                  <w:r>
                    <w:rPr>
                      <w:rFonts w:hint="default" w:ascii="Times New Roman" w:hAnsi="Times New Roman" w:cs="Times New Roman"/>
                      <w:szCs w:val="21"/>
                      <w:highlight w:val="none"/>
                    </w:rPr>
                    <w:t>企业搬迁入园或关闭退出。</w:t>
                  </w:r>
                </w:p>
              </w:tc>
              <w:tc>
                <w:tcPr>
                  <w:tcW w:w="1243" w:type="pct"/>
                  <w:tcBorders>
                    <w:tl2br w:val="nil"/>
                    <w:tr2bl w:val="nil"/>
                  </w:tcBorders>
                  <w:vAlign w:val="center"/>
                </w:tcPr>
                <w:p w14:paraId="5FDE8235">
                  <w:pPr>
                    <w:jc w:val="left"/>
                    <w:rPr>
                      <w:rFonts w:hint="default" w:ascii="Times New Roman" w:hAnsi="Times New Roman" w:cs="Times New Roman"/>
                      <w:szCs w:val="21"/>
                      <w:highlight w:val="none"/>
                    </w:rPr>
                  </w:pPr>
                  <w:r>
                    <w:rPr>
                      <w:rFonts w:hint="default" w:ascii="Times New Roman" w:hAnsi="Times New Roman" w:cs="Times New Roman"/>
                      <w:szCs w:val="21"/>
                      <w:highlight w:val="none"/>
                    </w:rPr>
                    <w:t>本项目位于</w:t>
                  </w:r>
                  <w:r>
                    <w:rPr>
                      <w:rFonts w:hint="eastAsia" w:cs="Times New Roman"/>
                      <w:kern w:val="0"/>
                      <w:szCs w:val="21"/>
                      <w:highlight w:val="none"/>
                      <w:lang w:eastAsia="zh-CN" w:bidi="ar"/>
                    </w:rPr>
                    <w:t>临淄区凤凰镇土桥村辛河路与梧台路交叉口东400米</w:t>
                  </w:r>
                  <w:r>
                    <w:rPr>
                      <w:rFonts w:hint="default" w:ascii="Times New Roman" w:hAnsi="Times New Roman" w:cs="Times New Roman"/>
                      <w:szCs w:val="21"/>
                      <w:highlight w:val="none"/>
                    </w:rPr>
                    <w:t>，不属于《山东省人民政府办公厅关于加强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项目管理的通知》（鲁政办字〔2021〕57号）中的</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项目；不属于</w:t>
                  </w:r>
                  <w:r>
                    <w:rPr>
                      <w:rFonts w:hint="eastAsia" w:cs="Times New Roman"/>
                      <w:szCs w:val="21"/>
                      <w:highlight w:val="none"/>
                      <w:lang w:eastAsia="zh-CN"/>
                    </w:rPr>
                    <w:t>“</w:t>
                  </w:r>
                  <w:r>
                    <w:rPr>
                      <w:rFonts w:hint="default" w:ascii="Times New Roman" w:hAnsi="Times New Roman" w:cs="Times New Roman"/>
                      <w:szCs w:val="21"/>
                      <w:highlight w:val="none"/>
                    </w:rPr>
                    <w:t>散乱污</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558" w:type="pct"/>
                  <w:tcBorders>
                    <w:tl2br w:val="nil"/>
                    <w:tr2bl w:val="nil"/>
                  </w:tcBorders>
                  <w:vAlign w:val="center"/>
                </w:tcPr>
                <w:p w14:paraId="763619D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615F0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8" w:hRule="atLeast"/>
                <w:jc w:val="center"/>
              </w:trPr>
              <w:tc>
                <w:tcPr>
                  <w:tcW w:w="3199" w:type="pct"/>
                  <w:tcBorders>
                    <w:tl2br w:val="nil"/>
                    <w:tr2bl w:val="nil"/>
                  </w:tcBorders>
                  <w:vAlign w:val="center"/>
                </w:tcPr>
                <w:p w14:paraId="1F19D882">
                  <w:pPr>
                    <w:rPr>
                      <w:rFonts w:hint="default" w:ascii="Times New Roman" w:hAnsi="Times New Roman" w:cs="Times New Roman"/>
                      <w:szCs w:val="21"/>
                      <w:highlight w:val="none"/>
                    </w:rPr>
                  </w:pPr>
                  <w:r>
                    <w:rPr>
                      <w:rFonts w:hint="default" w:ascii="Times New Roman" w:hAnsi="Times New Roman" w:cs="Times New Roman"/>
                      <w:szCs w:val="21"/>
                      <w:highlight w:val="none"/>
                    </w:rPr>
                    <w:t>污染物排放管控要求。落实污染物总量控制制度，根据区域环境质量改善目标，削减污染物排放总量。严格执行国家及省相关排放标准，新建工业项目污染物排放水平达到同行业国内先进水平，对主要污染物排放指标实施总量等量或倍量置换。加快污水收集处理设施建设与提质增效，逐步完善城乡污水管网，实施雨污分流改造。加强挥发性有机物、臭气异味防治和餐饮油烟治理，严格施工扬尘监管。加强土壤和地下水污染防治与修复。</w:t>
                  </w:r>
                </w:p>
              </w:tc>
              <w:tc>
                <w:tcPr>
                  <w:tcW w:w="1243" w:type="pct"/>
                  <w:tcBorders>
                    <w:tl2br w:val="nil"/>
                    <w:tr2bl w:val="nil"/>
                  </w:tcBorders>
                  <w:vAlign w:val="center"/>
                </w:tcPr>
                <w:p w14:paraId="3D93BD1B">
                  <w:pPr>
                    <w:jc w:val="left"/>
                    <w:rPr>
                      <w:rFonts w:hint="default" w:ascii="Times New Roman" w:hAnsi="Times New Roman" w:cs="Times New Roman"/>
                      <w:szCs w:val="21"/>
                      <w:highlight w:val="none"/>
                    </w:rPr>
                  </w:pPr>
                  <w:r>
                    <w:rPr>
                      <w:rFonts w:hint="default" w:ascii="Times New Roman" w:hAnsi="Times New Roman" w:cs="Times New Roman"/>
                      <w:szCs w:val="21"/>
                      <w:highlight w:val="none"/>
                    </w:rPr>
                    <w:t>企业排放污染物严格执行总量控制制度，达标排放；本项目废气经环保设施处理后均能够达标排放；</w:t>
                  </w:r>
                </w:p>
              </w:tc>
              <w:tc>
                <w:tcPr>
                  <w:tcW w:w="558" w:type="pct"/>
                  <w:tcBorders>
                    <w:tl2br w:val="nil"/>
                    <w:tr2bl w:val="nil"/>
                  </w:tcBorders>
                  <w:vAlign w:val="center"/>
                </w:tcPr>
                <w:p w14:paraId="67CA926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370F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jc w:val="center"/>
              </w:trPr>
              <w:tc>
                <w:tcPr>
                  <w:tcW w:w="3199" w:type="pct"/>
                  <w:tcBorders>
                    <w:tl2br w:val="nil"/>
                    <w:tr2bl w:val="nil"/>
                  </w:tcBorders>
                  <w:vAlign w:val="center"/>
                </w:tcPr>
                <w:p w14:paraId="14C9C9BF">
                  <w:pPr>
                    <w:rPr>
                      <w:rFonts w:hint="default" w:ascii="Times New Roman" w:hAnsi="Times New Roman" w:cs="Times New Roman"/>
                      <w:szCs w:val="21"/>
                      <w:highlight w:val="none"/>
                    </w:rPr>
                  </w:pPr>
                  <w:r>
                    <w:rPr>
                      <w:rFonts w:hint="default" w:ascii="Times New Roman" w:hAnsi="Times New Roman" w:cs="Times New Roman"/>
                      <w:szCs w:val="21"/>
                      <w:highlight w:val="none"/>
                    </w:rPr>
                    <w:t>环境风险防控要求。加强风险防控体系建设，强化工业园区和聚集区内企业环境风险防范设施建设和正常运行监管，加强重点环境风险监控企业应急预案制定，建立企业隐患排查整治常态化监管机制。</w:t>
                  </w:r>
                </w:p>
              </w:tc>
              <w:tc>
                <w:tcPr>
                  <w:tcW w:w="1243" w:type="pct"/>
                  <w:tcBorders>
                    <w:tl2br w:val="nil"/>
                    <w:tr2bl w:val="nil"/>
                  </w:tcBorders>
                  <w:vAlign w:val="center"/>
                </w:tcPr>
                <w:p w14:paraId="1C4D5EFC">
                  <w:pPr>
                    <w:jc w:val="left"/>
                    <w:rPr>
                      <w:rFonts w:hint="default" w:ascii="Times New Roman" w:hAnsi="Times New Roman" w:cs="Times New Roman"/>
                      <w:szCs w:val="21"/>
                      <w:highlight w:val="none"/>
                    </w:rPr>
                  </w:pPr>
                  <w:r>
                    <w:rPr>
                      <w:rFonts w:hint="default" w:ascii="Times New Roman" w:hAnsi="Times New Roman" w:cs="Times New Roman"/>
                      <w:szCs w:val="21"/>
                      <w:highlight w:val="none"/>
                    </w:rPr>
                    <w:t>企业按照要求加强风险防控体系建设，</w:t>
                  </w:r>
                  <w:r>
                    <w:rPr>
                      <w:color w:val="auto"/>
                      <w:sz w:val="21"/>
                      <w:szCs w:val="21"/>
                      <w:highlight w:val="none"/>
                      <w:lang w:val="zh-CN"/>
                    </w:rPr>
                    <w:t>企业定期</w:t>
                  </w:r>
                  <w:r>
                    <w:rPr>
                      <w:rFonts w:hint="eastAsia"/>
                      <w:color w:val="auto"/>
                      <w:sz w:val="21"/>
                      <w:szCs w:val="21"/>
                      <w:highlight w:val="none"/>
                    </w:rPr>
                    <w:t>更新</w:t>
                  </w:r>
                  <w:r>
                    <w:rPr>
                      <w:color w:val="auto"/>
                      <w:sz w:val="21"/>
                      <w:szCs w:val="21"/>
                      <w:highlight w:val="none"/>
                      <w:lang w:val="zh-CN"/>
                    </w:rPr>
                    <w:t>应急预案，并按照要求进行应急演练</w:t>
                  </w:r>
                  <w:r>
                    <w:rPr>
                      <w:rFonts w:hint="default" w:ascii="Times New Roman" w:hAnsi="Times New Roman" w:cs="Times New Roman"/>
                      <w:szCs w:val="21"/>
                      <w:highlight w:val="none"/>
                    </w:rPr>
                    <w:t>。</w:t>
                  </w:r>
                </w:p>
              </w:tc>
              <w:tc>
                <w:tcPr>
                  <w:tcW w:w="558" w:type="pct"/>
                  <w:tcBorders>
                    <w:tl2br w:val="nil"/>
                    <w:tr2bl w:val="nil"/>
                  </w:tcBorders>
                  <w:vAlign w:val="center"/>
                </w:tcPr>
                <w:p w14:paraId="5F419EA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38EE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5" w:hRule="atLeast"/>
                <w:jc w:val="center"/>
              </w:trPr>
              <w:tc>
                <w:tcPr>
                  <w:tcW w:w="3199" w:type="pct"/>
                  <w:tcBorders>
                    <w:tl2br w:val="nil"/>
                    <w:tr2bl w:val="nil"/>
                  </w:tcBorders>
                  <w:vAlign w:val="center"/>
                </w:tcPr>
                <w:p w14:paraId="50CD5E2E">
                  <w:pPr>
                    <w:rPr>
                      <w:rFonts w:hint="default" w:ascii="Times New Roman" w:hAnsi="Times New Roman" w:cs="Times New Roman"/>
                      <w:szCs w:val="21"/>
                      <w:highlight w:val="none"/>
                    </w:rPr>
                  </w:pPr>
                  <w:r>
                    <w:rPr>
                      <w:rFonts w:hint="default" w:ascii="Times New Roman" w:hAnsi="Times New Roman" w:cs="Times New Roman"/>
                      <w:szCs w:val="21"/>
                      <w:highlight w:val="none"/>
                    </w:rPr>
                    <w:t>能源资源利用要求。推进工业园区和聚集区生态化改造，强化企业清洁生产改造，推进节水型企业、节水型工业园区建设，落实煤炭消费减量替代要求，鼓励使用清洁能源，提高资源能源利用效率。禁燃区内禁止新、改、扩建燃用高污染燃料的项目和设施，已建成的应依法限期改用天然气、电力或者其他清洁能源。推广使用清洁能源车。因地制宜推进冬季清洁取暖。</w:t>
                  </w:r>
                </w:p>
              </w:tc>
              <w:tc>
                <w:tcPr>
                  <w:tcW w:w="1243" w:type="pct"/>
                  <w:tcBorders>
                    <w:tl2br w:val="nil"/>
                    <w:tr2bl w:val="nil"/>
                  </w:tcBorders>
                  <w:vAlign w:val="center"/>
                </w:tcPr>
                <w:p w14:paraId="71A2E140">
                  <w:pPr>
                    <w:jc w:val="left"/>
                    <w:rPr>
                      <w:rFonts w:hint="default" w:ascii="Times New Roman" w:hAnsi="Times New Roman" w:cs="Times New Roman"/>
                      <w:szCs w:val="21"/>
                      <w:highlight w:val="none"/>
                    </w:rPr>
                  </w:pPr>
                  <w:r>
                    <w:rPr>
                      <w:rFonts w:hint="default" w:ascii="Times New Roman" w:hAnsi="Times New Roman" w:cs="Times New Roman"/>
                      <w:szCs w:val="21"/>
                      <w:highlight w:val="none"/>
                    </w:rPr>
                    <w:t>本项目能源使用</w:t>
                  </w:r>
                  <w:r>
                    <w:rPr>
                      <w:rFonts w:hint="eastAsia" w:cs="Times New Roman"/>
                      <w:szCs w:val="21"/>
                      <w:highlight w:val="none"/>
                      <w:lang w:val="en-US" w:eastAsia="zh-CN"/>
                    </w:rPr>
                    <w:t>电能</w:t>
                  </w:r>
                  <w:r>
                    <w:rPr>
                      <w:rFonts w:hint="default" w:ascii="Times New Roman" w:hAnsi="Times New Roman" w:cs="Times New Roman"/>
                      <w:szCs w:val="21"/>
                      <w:highlight w:val="none"/>
                    </w:rPr>
                    <w:t>，为清洁能源。</w:t>
                  </w:r>
                </w:p>
              </w:tc>
              <w:tc>
                <w:tcPr>
                  <w:tcW w:w="558" w:type="pct"/>
                  <w:tcBorders>
                    <w:tl2br w:val="nil"/>
                    <w:tr2bl w:val="nil"/>
                  </w:tcBorders>
                  <w:vAlign w:val="center"/>
                </w:tcPr>
                <w:p w14:paraId="10A84C9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3CB9EE5A">
            <w:pPr>
              <w:pStyle w:val="94"/>
              <w:spacing w:beforeLines="0" w:afterLines="0" w:line="240" w:lineRule="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表1-3  与《淄博市2023年生态环境分区管控成果动态更新项目生态环境准入清单》符合性分析表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5561"/>
              <w:gridCol w:w="2121"/>
              <w:gridCol w:w="745"/>
            </w:tblGrid>
            <w:tr w14:paraId="73676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 w:type="pct"/>
                  <w:tcBorders>
                    <w:tl2br w:val="nil"/>
                    <w:tr2bl w:val="nil"/>
                  </w:tcBorders>
                  <w:noWrap w:val="0"/>
                  <w:vAlign w:val="center"/>
                </w:tcPr>
                <w:p w14:paraId="4B85F2B3">
                  <w:pPr>
                    <w:jc w:val="center"/>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分类</w:t>
                  </w:r>
                </w:p>
              </w:tc>
              <w:tc>
                <w:tcPr>
                  <w:tcW w:w="3097" w:type="pct"/>
                  <w:tcBorders>
                    <w:tl2br w:val="nil"/>
                    <w:tr2bl w:val="nil"/>
                  </w:tcBorders>
                  <w:noWrap w:val="0"/>
                  <w:vAlign w:val="center"/>
                </w:tcPr>
                <w:p w14:paraId="4A324ADF">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凤凰镇重点管控单元要求</w:t>
                  </w:r>
                </w:p>
              </w:tc>
              <w:tc>
                <w:tcPr>
                  <w:tcW w:w="1180" w:type="pct"/>
                  <w:tcBorders>
                    <w:tl2br w:val="nil"/>
                    <w:tr2bl w:val="nil"/>
                  </w:tcBorders>
                  <w:noWrap w:val="0"/>
                  <w:vAlign w:val="center"/>
                </w:tcPr>
                <w:p w14:paraId="667162EF">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本项目情况</w:t>
                  </w:r>
                </w:p>
              </w:tc>
              <w:tc>
                <w:tcPr>
                  <w:tcW w:w="414" w:type="pct"/>
                  <w:tcBorders>
                    <w:tl2br w:val="nil"/>
                    <w:tr2bl w:val="nil"/>
                  </w:tcBorders>
                  <w:noWrap w:val="0"/>
                  <w:vAlign w:val="center"/>
                </w:tcPr>
                <w:p w14:paraId="61B14D25">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符合情况</w:t>
                  </w:r>
                </w:p>
              </w:tc>
            </w:tr>
            <w:tr w14:paraId="6BD37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 w:type="pct"/>
                  <w:tcBorders>
                    <w:tl2br w:val="nil"/>
                    <w:tr2bl w:val="nil"/>
                  </w:tcBorders>
                  <w:noWrap w:val="0"/>
                  <w:vAlign w:val="center"/>
                </w:tcPr>
                <w:p w14:paraId="0D0DC04E">
                  <w:pPr>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空间布局约束</w:t>
                  </w:r>
                </w:p>
              </w:tc>
              <w:tc>
                <w:tcPr>
                  <w:tcW w:w="3097" w:type="pct"/>
                  <w:tcBorders>
                    <w:tl2br w:val="nil"/>
                    <w:tr2bl w:val="nil"/>
                  </w:tcBorders>
                  <w:noWrap w:val="0"/>
                  <w:vAlign w:val="center"/>
                </w:tcPr>
                <w:p w14:paraId="7B177079">
                  <w:pPr>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禁止新建、扩建《产业结构调整指导目录》（现行）明确的淘汰类项目和引入《市场准入负面清单》（现行）禁止准入类事项；鼓励对列入《产业结构调整指导目录》的限制类、淘汰类工业项目进行淘汰和提升改造。</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2.按照省市要求，严格控制</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两高</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项目，新建</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两高</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项目实行</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五个减量替代</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3.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4.</w:t>
                  </w:r>
                  <w:r>
                    <w:rPr>
                      <w:rFonts w:hint="eastAsia" w:ascii="Times New Roman" w:hAnsi="Times New Roman" w:eastAsia="宋体" w:cs="Times New Roman"/>
                      <w:szCs w:val="21"/>
                      <w:highlight w:val="none"/>
                      <w:lang w:val="en-US" w:eastAsia="zh-CN"/>
                    </w:rPr>
                    <w:t>按照</w:t>
                  </w:r>
                  <w:r>
                    <w:rPr>
                      <w:rFonts w:hint="default" w:ascii="Times New Roman" w:hAnsi="Times New Roman" w:eastAsia="宋体" w:cs="Times New Roman"/>
                      <w:szCs w:val="21"/>
                      <w:highlight w:val="none"/>
                      <w:lang w:val="en-US" w:eastAsia="zh-CN"/>
                    </w:rPr>
                    <w:t>《山东省水利厅关于公布我省地下水限采区和禁采区的通知》要求，执行超采区管控要求。</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5.污水处理设施不健全、未正常运行或污水管网未覆盖的地区，未配套污水处理设施的项目不得建设。</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6.新建有污染物排放的工业项目，除在安全生产等方面有特殊要求的以外，应当进入工业园区或工业聚集区。</w:t>
                  </w:r>
                </w:p>
              </w:tc>
              <w:tc>
                <w:tcPr>
                  <w:tcW w:w="1180" w:type="pct"/>
                  <w:tcBorders>
                    <w:tl2br w:val="nil"/>
                    <w:tr2bl w:val="nil"/>
                  </w:tcBorders>
                  <w:noWrap w:val="0"/>
                  <w:vAlign w:val="center"/>
                </w:tcPr>
                <w:p w14:paraId="3119666E">
                  <w:pPr>
                    <w:jc w:val="left"/>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rPr>
                    <w:t>1.</w:t>
                  </w:r>
                  <w:r>
                    <w:rPr>
                      <w:rFonts w:hint="default" w:ascii="Times New Roman" w:hAnsi="Times New Roman" w:eastAsia="宋体" w:cs="Times New Roman"/>
                      <w:szCs w:val="21"/>
                      <w:highlight w:val="none"/>
                    </w:rPr>
                    <w:t>本项目不属于落后产能及淘汰类项目；</w:t>
                  </w:r>
                  <w:r>
                    <w:rPr>
                      <w:rFonts w:hint="eastAsia" w:ascii="Times New Roman" w:hAnsi="Times New Roman" w:eastAsia="宋体" w:cs="Times New Roman"/>
                      <w:szCs w:val="21"/>
                      <w:highlight w:val="none"/>
                    </w:rPr>
                    <w:t>2.</w:t>
                  </w:r>
                  <w:r>
                    <w:rPr>
                      <w:rFonts w:hint="eastAsia" w:ascii="Times New Roman" w:hAnsi="Times New Roman" w:eastAsia="宋体" w:cs="Times New Roman"/>
                      <w:szCs w:val="21"/>
                      <w:highlight w:val="none"/>
                      <w:lang w:val="en-US" w:eastAsia="zh-CN"/>
                    </w:rPr>
                    <w:t>本项目不属于</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两高</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项目</w:t>
                  </w:r>
                  <w:r>
                    <w:rPr>
                      <w:rFonts w:hint="eastAsia" w:ascii="Times New Roman" w:hAnsi="Times New Roman" w:eastAsia="宋体" w:cs="Times New Roman"/>
                      <w:szCs w:val="21"/>
                      <w:highlight w:val="none"/>
                    </w:rPr>
                    <w:t>；3.</w:t>
                  </w:r>
                  <w:r>
                    <w:rPr>
                      <w:rFonts w:hint="default" w:ascii="Times New Roman" w:hAnsi="Times New Roman" w:eastAsia="宋体" w:cs="Times New Roman"/>
                      <w:szCs w:val="21"/>
                      <w:highlight w:val="none"/>
                    </w:rPr>
                    <w:t>本次</w:t>
                  </w:r>
                  <w:r>
                    <w:rPr>
                      <w:rFonts w:hint="eastAsia" w:cs="Times New Roman"/>
                      <w:szCs w:val="21"/>
                      <w:highlight w:val="none"/>
                      <w:lang w:val="en-US" w:eastAsia="zh-CN"/>
                    </w:rPr>
                    <w:t>租赁</w:t>
                  </w:r>
                  <w:r>
                    <w:rPr>
                      <w:rFonts w:hint="default" w:ascii="Times New Roman" w:hAnsi="Times New Roman" w:eastAsia="宋体" w:cs="Times New Roman"/>
                      <w:szCs w:val="21"/>
                      <w:highlight w:val="none"/>
                    </w:rPr>
                    <w:t>现有</w:t>
                  </w:r>
                  <w:r>
                    <w:rPr>
                      <w:rFonts w:hint="eastAsia" w:ascii="Times New Roman" w:hAnsi="Times New Roman" w:eastAsia="宋体" w:cs="Times New Roman"/>
                      <w:szCs w:val="21"/>
                      <w:highlight w:val="none"/>
                      <w:lang w:eastAsia="zh-CN"/>
                    </w:rPr>
                    <w:t>厂区</w:t>
                  </w:r>
                  <w:r>
                    <w:rPr>
                      <w:rFonts w:hint="eastAsia" w:ascii="Times New Roman" w:hAnsi="Times New Roman" w:eastAsia="宋体" w:cs="Times New Roman"/>
                      <w:szCs w:val="21"/>
                      <w:highlight w:val="none"/>
                      <w:lang w:val="en-US" w:eastAsia="zh-CN"/>
                    </w:rPr>
                    <w:t>建设</w:t>
                  </w:r>
                  <w:r>
                    <w:rPr>
                      <w:rFonts w:hint="eastAsia" w:ascii="Times New Roman" w:hAnsi="Times New Roman" w:eastAsia="宋体" w:cs="Times New Roman"/>
                      <w:szCs w:val="21"/>
                      <w:highlight w:val="none"/>
                    </w:rPr>
                    <w:t>，不会改变现有生态空间，</w:t>
                  </w:r>
                  <w:r>
                    <w:rPr>
                      <w:rFonts w:hint="eastAsia" w:ascii="Times New Roman" w:hAnsi="Times New Roman" w:eastAsia="宋体" w:cs="Times New Roman"/>
                      <w:szCs w:val="21"/>
                      <w:highlight w:val="none"/>
                      <w:lang w:eastAsia="zh-CN"/>
                    </w:rPr>
                    <w:t>不占用永久基本农田</w:t>
                  </w:r>
                  <w:r>
                    <w:rPr>
                      <w:rFonts w:hint="default"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4</w:t>
                  </w:r>
                  <w:r>
                    <w:rPr>
                      <w:rFonts w:hint="eastAsia" w:ascii="Times New Roman" w:hAnsi="Times New Roman" w:eastAsia="宋体" w:cs="Times New Roman"/>
                      <w:szCs w:val="21"/>
                      <w:highlight w:val="none"/>
                    </w:rPr>
                    <w:t>.</w:t>
                  </w:r>
                  <w:r>
                    <w:rPr>
                      <w:rFonts w:hint="default" w:ascii="Times New Roman" w:hAnsi="Times New Roman" w:eastAsia="宋体" w:cs="Times New Roman"/>
                      <w:szCs w:val="21"/>
                      <w:highlight w:val="none"/>
                    </w:rPr>
                    <w:t>本项目</w:t>
                  </w:r>
                  <w:r>
                    <w:rPr>
                      <w:rFonts w:hint="eastAsia" w:ascii="Times New Roman" w:hAnsi="Times New Roman" w:eastAsia="宋体" w:cs="Times New Roman"/>
                      <w:szCs w:val="21"/>
                      <w:highlight w:val="none"/>
                      <w:lang w:eastAsia="zh-CN"/>
                    </w:rPr>
                    <w:t>用水依托厂区现有用水管网；</w:t>
                  </w:r>
                  <w:r>
                    <w:rPr>
                      <w:rFonts w:hint="eastAsia" w:ascii="Times New Roman" w:hAnsi="Times New Roman" w:eastAsia="宋体" w:cs="Times New Roman"/>
                      <w:szCs w:val="21"/>
                      <w:highlight w:val="none"/>
                      <w:lang w:val="en-US" w:eastAsia="zh-CN"/>
                    </w:rPr>
                    <w:t>5.本项目生活污水经厂区化粪池处理后由环卫部门定期处理；6.本项目建设位于凤凰镇</w:t>
                  </w:r>
                  <w:r>
                    <w:rPr>
                      <w:rFonts w:hint="eastAsia" w:cs="Times New Roman"/>
                      <w:szCs w:val="21"/>
                      <w:highlight w:val="none"/>
                      <w:lang w:val="en-US" w:eastAsia="zh-CN"/>
                    </w:rPr>
                    <w:t>梧台</w:t>
                  </w:r>
                  <w:r>
                    <w:rPr>
                      <w:rFonts w:hint="eastAsia" w:ascii="Times New Roman" w:hAnsi="Times New Roman" w:eastAsia="宋体" w:cs="Times New Roman"/>
                      <w:szCs w:val="21"/>
                      <w:highlight w:val="none"/>
                      <w:lang w:val="en-US" w:eastAsia="zh-CN"/>
                    </w:rPr>
                    <w:t>工业集聚区范围内。</w:t>
                  </w:r>
                </w:p>
              </w:tc>
              <w:tc>
                <w:tcPr>
                  <w:tcW w:w="414" w:type="pct"/>
                  <w:tcBorders>
                    <w:tl2br w:val="nil"/>
                    <w:tr2bl w:val="nil"/>
                  </w:tcBorders>
                  <w:noWrap w:val="0"/>
                  <w:vAlign w:val="center"/>
                </w:tcPr>
                <w:p w14:paraId="0636850F">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w:t>
                  </w:r>
                </w:p>
              </w:tc>
            </w:tr>
            <w:tr w14:paraId="6B6E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 w:type="pct"/>
                  <w:tcBorders>
                    <w:tl2br w:val="nil"/>
                    <w:tr2bl w:val="nil"/>
                  </w:tcBorders>
                  <w:noWrap w:val="0"/>
                  <w:vAlign w:val="center"/>
                </w:tcPr>
                <w:p w14:paraId="5DE3EC98">
                  <w:pPr>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污染物排放管控</w:t>
                  </w:r>
                </w:p>
              </w:tc>
              <w:tc>
                <w:tcPr>
                  <w:tcW w:w="3097" w:type="pct"/>
                  <w:tcBorders>
                    <w:tl2br w:val="nil"/>
                    <w:tr2bl w:val="nil"/>
                  </w:tcBorders>
                  <w:noWrap w:val="0"/>
                  <w:vAlign w:val="center"/>
                </w:tcPr>
                <w:p w14:paraId="53CD28F2">
                  <w:pPr>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1.涉</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两高</w:t>
                  </w:r>
                  <w:r>
                    <w:rPr>
                      <w:rFonts w:hint="eastAsia" w:cs="Times New Roman"/>
                      <w:szCs w:val="21"/>
                      <w:highlight w:val="none"/>
                      <w:lang w:val="en-US" w:eastAsia="zh-CN"/>
                    </w:rPr>
                    <w:t>”</w:t>
                  </w:r>
                  <w:r>
                    <w:rPr>
                      <w:rFonts w:hint="default" w:ascii="Times New Roman" w:hAnsi="Times New Roman" w:eastAsia="宋体" w:cs="Times New Roman"/>
                      <w:szCs w:val="21"/>
                      <w:highlight w:val="none"/>
                      <w:lang w:val="en-US" w:eastAsia="zh-CN"/>
                    </w:rPr>
                    <w:t>项目企业应当积极实施节能改造提升，提高能源使用效率，推进节能减排。</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2.落实主要污染物总量替代要求，按照山东省生态环境厅《关于印发山东省建设项目主要大气污染物排放总量替代指标核算及管理办法的通知》，实施动态管控替代。</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3.废水应当按照要求进行预处理，达到行业排放标准或是综合排放标准后方可排放。</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4.禁止工业废水和生活污水未经处理直排环境；原则上除工业污水集中处理设施、城镇污水处理厂外不得新建入河排污口。</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5.包装印刷、表面涂装</w:t>
                  </w:r>
                  <w:r>
                    <w:rPr>
                      <w:rFonts w:hint="eastAsia" w:ascii="Times New Roman" w:hAnsi="Times New Roman" w:eastAsia="宋体" w:cs="Times New Roman"/>
                      <w:szCs w:val="21"/>
                      <w:highlight w:val="none"/>
                      <w:lang w:val="en-US" w:eastAsia="zh-CN"/>
                    </w:rPr>
                    <w:t>等涉VOCs排放的行业，严格按照淄博市行业环境管控要求，实施源头替代，建立健全治理设施，确保污染物稳定达标排放，做到持证排污。</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6.加强机动车排气污染治理。</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7.进一步加强对建设工程施工、建筑物拆除、交通运输、道路保洁、物料运输与堆存、采石取土、养护绿化等活动的扬尘管理。</w:t>
                  </w:r>
                </w:p>
              </w:tc>
              <w:tc>
                <w:tcPr>
                  <w:tcW w:w="1180" w:type="pct"/>
                  <w:tcBorders>
                    <w:tl2br w:val="nil"/>
                    <w:tr2bl w:val="nil"/>
                  </w:tcBorders>
                  <w:noWrap w:val="0"/>
                  <w:vAlign w:val="center"/>
                </w:tcPr>
                <w:p w14:paraId="7CB6C400">
                  <w:pPr>
                    <w:jc w:val="left"/>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1.</w:t>
                  </w:r>
                  <w:r>
                    <w:rPr>
                      <w:rFonts w:hint="default" w:ascii="Times New Roman" w:hAnsi="Times New Roman" w:eastAsia="宋体" w:cs="Times New Roman"/>
                      <w:szCs w:val="21"/>
                      <w:highlight w:val="none"/>
                    </w:rPr>
                    <w:t>本项目不属于两高项目</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2.严格落实</w:t>
                  </w:r>
                  <w:r>
                    <w:rPr>
                      <w:rFonts w:hint="eastAsia" w:ascii="Times New Roman" w:hAnsi="Times New Roman" w:eastAsia="宋体" w:cs="Times New Roman"/>
                      <w:szCs w:val="21"/>
                      <w:highlight w:val="none"/>
                    </w:rPr>
                    <w:t>主要污染物总量控制和排污许可制度</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3-4.本项目生活污水经厂区化粪池处理后由环卫部门定期处理</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5.严格执行各类污染治理措施，确保污染物达标排放；6-7.本项目不涉及。</w:t>
                  </w:r>
                </w:p>
              </w:tc>
              <w:tc>
                <w:tcPr>
                  <w:tcW w:w="414" w:type="pct"/>
                  <w:tcBorders>
                    <w:tl2br w:val="nil"/>
                    <w:tr2bl w:val="nil"/>
                  </w:tcBorders>
                  <w:noWrap w:val="0"/>
                  <w:vAlign w:val="center"/>
                </w:tcPr>
                <w:p w14:paraId="4F744AAF">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w:t>
                  </w:r>
                </w:p>
              </w:tc>
            </w:tr>
            <w:tr w14:paraId="73A70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 w:type="pct"/>
                  <w:tcBorders>
                    <w:tl2br w:val="nil"/>
                    <w:tr2bl w:val="nil"/>
                  </w:tcBorders>
                  <w:noWrap w:val="0"/>
                  <w:vAlign w:val="center"/>
                </w:tcPr>
                <w:p w14:paraId="1C1A03FA">
                  <w:pPr>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环境风险防控</w:t>
                  </w:r>
                </w:p>
              </w:tc>
              <w:tc>
                <w:tcPr>
                  <w:tcW w:w="3097" w:type="pct"/>
                  <w:tcBorders>
                    <w:tl2br w:val="nil"/>
                    <w:tr2bl w:val="nil"/>
                  </w:tcBorders>
                  <w:noWrap w:val="0"/>
                  <w:vAlign w:val="center"/>
                </w:tcPr>
                <w:p w14:paraId="309639C6">
                  <w:pPr>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1.紧邻居住、科教、医院等环境敏感点的工业用地，禁止新建环境风险潜势等级高的建设项目；现有项目严格落实环评及批复环境风险防控要求。</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2.加强农田土壤、灌溉水的监测，对周边区域环境风险源进行评估。</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3.重点企业应采取防腐防渗等有效措施，建立完善三级防护体系，防止因渗漏污染土壤、地下水以及因事故废水直排污染地表水。</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4.</w:t>
                  </w:r>
                  <w:r>
                    <w:rPr>
                      <w:rFonts w:hint="eastAsia" w:ascii="Times New Roman" w:hAnsi="Times New Roman" w:eastAsia="宋体" w:cs="Times New Roman"/>
                      <w:szCs w:val="21"/>
                      <w:highlight w:val="none"/>
                      <w:lang w:val="en-US" w:eastAsia="zh-CN"/>
                    </w:rPr>
                    <w:t>企业事业单位根据法律法规、管理部门要求和《企业事业单位突发环境事件应急预案备案管理办法（试行）》等规定，依法依规编制环境应急预案并定期开展演练。</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5.建立各企业危险废物的贮存、申报、经营许可（无废城市建设豁免的除外）、转移及处置管理制度，并负责对危废相应活动的全程监管和环境安全保障。</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6.按照省市要求，做好清洁取暖改造工作。</w:t>
                  </w:r>
                </w:p>
              </w:tc>
              <w:tc>
                <w:tcPr>
                  <w:tcW w:w="1180" w:type="pct"/>
                  <w:tcBorders>
                    <w:tl2br w:val="nil"/>
                    <w:tr2bl w:val="nil"/>
                  </w:tcBorders>
                  <w:noWrap w:val="0"/>
                  <w:vAlign w:val="center"/>
                </w:tcPr>
                <w:p w14:paraId="33838658">
                  <w:pPr>
                    <w:jc w:val="left"/>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1.</w:t>
                  </w:r>
                  <w:r>
                    <w:rPr>
                      <w:rFonts w:hint="eastAsia" w:ascii="Times New Roman" w:hAnsi="Times New Roman" w:eastAsia="宋体" w:cs="Times New Roman"/>
                      <w:szCs w:val="21"/>
                      <w:highlight w:val="none"/>
                      <w:lang w:eastAsia="zh-CN"/>
                    </w:rPr>
                    <w:t>本项目厂区周边无紧邻环境敏感点，且不属于</w:t>
                  </w:r>
                  <w:r>
                    <w:rPr>
                      <w:rFonts w:hint="eastAsia" w:ascii="Times New Roman" w:hAnsi="Times New Roman" w:eastAsia="宋体" w:cs="Times New Roman"/>
                      <w:szCs w:val="21"/>
                      <w:highlight w:val="none"/>
                    </w:rPr>
                    <w:t>风</w:t>
                  </w:r>
                  <w:r>
                    <w:rPr>
                      <w:rFonts w:hint="default" w:ascii="Times New Roman" w:hAnsi="Times New Roman" w:eastAsia="宋体" w:cs="Times New Roman"/>
                      <w:szCs w:val="21"/>
                      <w:highlight w:val="none"/>
                    </w:rPr>
                    <w:t>险潜势等级高</w:t>
                  </w:r>
                  <w:r>
                    <w:rPr>
                      <w:rFonts w:hint="eastAsia" w:ascii="Times New Roman" w:hAnsi="Times New Roman" w:eastAsia="宋体" w:cs="Times New Roman"/>
                      <w:szCs w:val="21"/>
                      <w:highlight w:val="none"/>
                      <w:lang w:eastAsia="zh-CN"/>
                    </w:rPr>
                    <w:t>建设项目</w:t>
                  </w:r>
                  <w:r>
                    <w:rPr>
                      <w:rFonts w:hint="eastAsia"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2-3厂区严格落实各项防渗措施；4.</w:t>
                  </w:r>
                  <w:r>
                    <w:rPr>
                      <w:rFonts w:hint="default" w:ascii="Times New Roman" w:hAnsi="Times New Roman" w:eastAsia="宋体" w:cs="Times New Roman"/>
                      <w:szCs w:val="21"/>
                      <w:highlight w:val="none"/>
                      <w:lang w:val="zh-CN"/>
                    </w:rPr>
                    <w:t>企业</w:t>
                  </w:r>
                  <w:r>
                    <w:rPr>
                      <w:rFonts w:hint="eastAsia" w:cs="Times New Roman"/>
                      <w:szCs w:val="21"/>
                      <w:highlight w:val="none"/>
                      <w:lang w:val="en-US" w:eastAsia="zh-CN"/>
                    </w:rPr>
                    <w:t>按要求编制</w:t>
                  </w:r>
                  <w:r>
                    <w:rPr>
                      <w:rFonts w:hint="default" w:ascii="Times New Roman" w:hAnsi="Times New Roman" w:eastAsia="宋体" w:cs="Times New Roman"/>
                      <w:szCs w:val="21"/>
                      <w:highlight w:val="none"/>
                      <w:lang w:val="zh-CN"/>
                    </w:rPr>
                    <w:t>应急预案，并按照要求进行应急演练；</w:t>
                  </w:r>
                  <w:r>
                    <w:rPr>
                      <w:rFonts w:hint="eastAsia" w:ascii="Times New Roman" w:hAnsi="Times New Roman" w:eastAsia="宋体" w:cs="Times New Roman"/>
                      <w:szCs w:val="21"/>
                      <w:highlight w:val="none"/>
                      <w:lang w:val="en-US" w:eastAsia="zh-CN"/>
                    </w:rPr>
                    <w:t>5.本项目危废严格管理；6.本项目不涉及</w:t>
                  </w:r>
                  <w:r>
                    <w:rPr>
                      <w:rFonts w:hint="default" w:ascii="Times New Roman" w:hAnsi="Times New Roman" w:eastAsia="宋体" w:cs="Times New Roman"/>
                      <w:szCs w:val="21"/>
                      <w:highlight w:val="none"/>
                    </w:rPr>
                    <w:t>。</w:t>
                  </w:r>
                </w:p>
              </w:tc>
              <w:tc>
                <w:tcPr>
                  <w:tcW w:w="414" w:type="pct"/>
                  <w:tcBorders>
                    <w:tl2br w:val="nil"/>
                    <w:tr2bl w:val="nil"/>
                  </w:tcBorders>
                  <w:noWrap w:val="0"/>
                  <w:vAlign w:val="center"/>
                </w:tcPr>
                <w:p w14:paraId="27297EC4">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w:t>
                  </w:r>
                </w:p>
              </w:tc>
            </w:tr>
            <w:tr w14:paraId="20EEA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 w:type="pct"/>
                  <w:tcBorders>
                    <w:tl2br w:val="nil"/>
                    <w:tr2bl w:val="nil"/>
                  </w:tcBorders>
                  <w:noWrap w:val="0"/>
                  <w:vAlign w:val="center"/>
                </w:tcPr>
                <w:p w14:paraId="68E53169">
                  <w:pPr>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资源开发效率要求</w:t>
                  </w:r>
                </w:p>
              </w:tc>
              <w:tc>
                <w:tcPr>
                  <w:tcW w:w="3097" w:type="pct"/>
                  <w:tcBorders>
                    <w:tl2br w:val="nil"/>
                    <w:tr2bl w:val="nil"/>
                  </w:tcBorders>
                  <w:noWrap w:val="0"/>
                  <w:vAlign w:val="center"/>
                </w:tcPr>
                <w:p w14:paraId="5C899384">
                  <w:pPr>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1.高污染燃料禁燃区内执行淄博市高污染燃料禁燃区划定文件的管控要求。</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2.强化节水措施，提高水资源使用效率。</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3.未经许可不得开采地下水，执行浅层地下水限采区管理规定。</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4.提升土地集约化水平。</w:t>
                  </w:r>
                  <w:r>
                    <w:rPr>
                      <w:rFonts w:hint="default" w:ascii="Times New Roman" w:hAnsi="Times New Roman" w:eastAsia="宋体" w:cs="Times New Roman"/>
                      <w:szCs w:val="21"/>
                      <w:highlight w:val="none"/>
                      <w:lang w:val="en-US" w:eastAsia="zh-CN"/>
                    </w:rPr>
                    <w:br w:type="textWrapping"/>
                  </w:r>
                  <w:r>
                    <w:rPr>
                      <w:rFonts w:hint="default" w:ascii="Times New Roman" w:hAnsi="Times New Roman" w:eastAsia="宋体" w:cs="Times New Roman"/>
                      <w:szCs w:val="21"/>
                      <w:highlight w:val="none"/>
                      <w:lang w:val="en-US" w:eastAsia="zh-CN"/>
                    </w:rPr>
                    <w:t>5.优化调整能源利用结构，控制煤炭消费量，实现减量化，鼓励使用清洁能源、新能源和可再生能源。</w:t>
                  </w:r>
                </w:p>
              </w:tc>
              <w:tc>
                <w:tcPr>
                  <w:tcW w:w="1180" w:type="pct"/>
                  <w:tcBorders>
                    <w:tl2br w:val="nil"/>
                    <w:tr2bl w:val="nil"/>
                  </w:tcBorders>
                  <w:noWrap w:val="0"/>
                  <w:vAlign w:val="center"/>
                </w:tcPr>
                <w:p w14:paraId="1D93ABE4">
                  <w:pPr>
                    <w:jc w:val="left"/>
                    <w:rPr>
                      <w:rFonts w:hint="eastAsia" w:ascii="Times New Roman" w:hAnsi="Times New Roman" w:eastAsia="宋体" w:cs="Times New Roman"/>
                      <w:szCs w:val="21"/>
                      <w:highlight w:val="none"/>
                    </w:rPr>
                  </w:pPr>
                  <w:r>
                    <w:rPr>
                      <w:rFonts w:hint="default" w:ascii="Times New Roman" w:hAnsi="Times New Roman" w:eastAsia="宋体" w:cs="Times New Roman"/>
                      <w:szCs w:val="21"/>
                      <w:highlight w:val="none"/>
                    </w:rPr>
                    <w:t>项目主要能源为水和电能，来源于</w:t>
                  </w:r>
                  <w:r>
                    <w:rPr>
                      <w:rFonts w:hint="eastAsia" w:ascii="Times New Roman" w:hAnsi="Times New Roman" w:eastAsia="宋体" w:cs="Times New Roman"/>
                      <w:szCs w:val="21"/>
                      <w:highlight w:val="none"/>
                    </w:rPr>
                    <w:t>附近</w:t>
                  </w:r>
                  <w:r>
                    <w:rPr>
                      <w:rFonts w:hint="default" w:ascii="Times New Roman" w:hAnsi="Times New Roman" w:eastAsia="宋体" w:cs="Times New Roman"/>
                      <w:szCs w:val="21"/>
                      <w:highlight w:val="none"/>
                    </w:rPr>
                    <w:t>管网</w:t>
                  </w:r>
                  <w:r>
                    <w:rPr>
                      <w:rFonts w:hint="eastAsia" w:ascii="Times New Roman" w:hAnsi="Times New Roman" w:eastAsia="宋体" w:cs="Times New Roman"/>
                      <w:szCs w:val="21"/>
                      <w:highlight w:val="none"/>
                    </w:rPr>
                    <w:t>；</w:t>
                  </w:r>
                  <w:r>
                    <w:rPr>
                      <w:rFonts w:hint="default" w:ascii="Times New Roman" w:hAnsi="Times New Roman" w:eastAsia="宋体" w:cs="Times New Roman"/>
                      <w:szCs w:val="21"/>
                      <w:highlight w:val="none"/>
                    </w:rPr>
                    <w:t>项</w:t>
                  </w:r>
                  <w:r>
                    <w:rPr>
                      <w:rFonts w:hint="eastAsia" w:cs="Times New Roman"/>
                      <w:szCs w:val="21"/>
                      <w:highlight w:val="none"/>
                      <w:lang w:eastAsia="zh-CN"/>
                    </w:rPr>
                    <w:t>目在</w:t>
                  </w:r>
                  <w:r>
                    <w:rPr>
                      <w:rFonts w:hint="default" w:ascii="Times New Roman" w:hAnsi="Times New Roman" w:eastAsia="宋体" w:cs="Times New Roman"/>
                      <w:szCs w:val="21"/>
                      <w:highlight w:val="none"/>
                    </w:rPr>
                    <w:t>现有</w:t>
                  </w:r>
                  <w:r>
                    <w:rPr>
                      <w:rFonts w:hint="eastAsia" w:ascii="Times New Roman" w:hAnsi="Times New Roman" w:eastAsia="宋体" w:cs="Times New Roman"/>
                      <w:szCs w:val="21"/>
                      <w:highlight w:val="none"/>
                      <w:lang w:val="en-US" w:eastAsia="zh-CN"/>
                    </w:rPr>
                    <w:t>闲置车间</w:t>
                  </w:r>
                  <w:r>
                    <w:rPr>
                      <w:rFonts w:hint="default" w:ascii="Times New Roman" w:hAnsi="Times New Roman" w:eastAsia="宋体" w:cs="Times New Roman"/>
                      <w:szCs w:val="21"/>
                      <w:highlight w:val="none"/>
                    </w:rPr>
                    <w:t>内进行</w:t>
                  </w:r>
                  <w:r>
                    <w:rPr>
                      <w:rFonts w:hint="eastAsia" w:ascii="Times New Roman" w:hAnsi="Times New Roman" w:eastAsia="宋体" w:cs="Times New Roman"/>
                      <w:szCs w:val="21"/>
                      <w:highlight w:val="none"/>
                      <w:lang w:val="en-US" w:eastAsia="zh-CN"/>
                    </w:rPr>
                    <w:t>建设</w:t>
                  </w:r>
                  <w:r>
                    <w:rPr>
                      <w:rFonts w:hint="default" w:ascii="Times New Roman" w:hAnsi="Times New Roman" w:eastAsia="宋体" w:cs="Times New Roman"/>
                      <w:szCs w:val="21"/>
                      <w:highlight w:val="none"/>
                    </w:rPr>
                    <w:t>，不</w:t>
                  </w:r>
                  <w:r>
                    <w:rPr>
                      <w:rFonts w:hint="eastAsia" w:ascii="Times New Roman" w:hAnsi="Times New Roman" w:eastAsia="宋体" w:cs="Times New Roman"/>
                      <w:szCs w:val="21"/>
                      <w:highlight w:val="none"/>
                    </w:rPr>
                    <w:t>新增</w:t>
                  </w:r>
                  <w:r>
                    <w:rPr>
                      <w:rFonts w:hint="default" w:ascii="Times New Roman" w:hAnsi="Times New Roman" w:eastAsia="宋体" w:cs="Times New Roman"/>
                      <w:szCs w:val="21"/>
                      <w:highlight w:val="none"/>
                    </w:rPr>
                    <w:t>用地</w:t>
                  </w:r>
                  <w:r>
                    <w:rPr>
                      <w:rFonts w:hint="eastAsia" w:ascii="Times New Roman" w:hAnsi="Times New Roman" w:eastAsia="宋体" w:cs="Times New Roman"/>
                      <w:szCs w:val="21"/>
                      <w:highlight w:val="none"/>
                    </w:rPr>
                    <w:t>。</w:t>
                  </w:r>
                </w:p>
              </w:tc>
              <w:tc>
                <w:tcPr>
                  <w:tcW w:w="414" w:type="pct"/>
                  <w:tcBorders>
                    <w:tl2br w:val="nil"/>
                    <w:tr2bl w:val="nil"/>
                  </w:tcBorders>
                  <w:noWrap w:val="0"/>
                  <w:vAlign w:val="center"/>
                </w:tcPr>
                <w:p w14:paraId="4A264500">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w:t>
                  </w:r>
                </w:p>
              </w:tc>
            </w:tr>
          </w:tbl>
          <w:p w14:paraId="1B94D43C">
            <w:pPr>
              <w:autoSpaceDE w:val="0"/>
              <w:autoSpaceDN w:val="0"/>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kern w:val="0"/>
                <w:sz w:val="24"/>
                <w:highlight w:val="none"/>
              </w:rPr>
              <w:t>根据上表，拟建项目符合</w:t>
            </w:r>
            <w:r>
              <w:rPr>
                <w:rFonts w:hint="default" w:ascii="Times New Roman" w:hAnsi="Times New Roman" w:cs="Times New Roman"/>
                <w:bCs/>
                <w:sz w:val="24"/>
                <w:highlight w:val="none"/>
              </w:rPr>
              <w:t>《淄博市人民政府关于印发淄博市</w:t>
            </w:r>
            <w:r>
              <w:rPr>
                <w:rFonts w:hint="eastAsia" w:cs="Times New Roman"/>
                <w:bCs/>
                <w:sz w:val="24"/>
                <w:highlight w:val="none"/>
                <w:lang w:eastAsia="zh-CN"/>
              </w:rPr>
              <w:t>“</w:t>
            </w:r>
            <w:r>
              <w:rPr>
                <w:rFonts w:hint="default" w:ascii="Times New Roman" w:hAnsi="Times New Roman" w:cs="Times New Roman"/>
                <w:bCs/>
                <w:sz w:val="24"/>
                <w:highlight w:val="none"/>
              </w:rPr>
              <w:t>三线一单</w:t>
            </w:r>
            <w:r>
              <w:rPr>
                <w:rFonts w:hint="eastAsia" w:cs="Times New Roman"/>
                <w:bCs/>
                <w:sz w:val="24"/>
                <w:highlight w:val="none"/>
                <w:lang w:eastAsia="zh-CN"/>
              </w:rPr>
              <w:t>”</w:t>
            </w:r>
            <w:r>
              <w:rPr>
                <w:rFonts w:hint="default" w:ascii="Times New Roman" w:hAnsi="Times New Roman" w:cs="Times New Roman"/>
                <w:bCs/>
                <w:sz w:val="24"/>
                <w:highlight w:val="none"/>
              </w:rPr>
              <w:t>生态环境分区管控方案的通知》（淄政字〔2021〕49号）及《淄博市2023年生态环境分区管控成果动态更新项目生态环境准入清单》</w:t>
            </w:r>
            <w:r>
              <w:rPr>
                <w:rFonts w:hint="default" w:ascii="Times New Roman" w:hAnsi="Times New Roman" w:cs="Times New Roman"/>
                <w:kern w:val="0"/>
                <w:sz w:val="24"/>
                <w:highlight w:val="none"/>
              </w:rPr>
              <w:t>要求。</w:t>
            </w:r>
          </w:p>
          <w:p w14:paraId="394D705B">
            <w:pPr>
              <w:spacing w:before="120" w:beforeLines="50" w:line="360" w:lineRule="auto"/>
              <w:ind w:firstLine="482"/>
              <w:rPr>
                <w:rFonts w:hint="default" w:ascii="Times New Roman" w:hAnsi="Times New Roman" w:cs="Times New Roman"/>
                <w:b/>
                <w:bCs/>
                <w:highlight w:val="none"/>
              </w:rPr>
            </w:pPr>
            <w:r>
              <w:rPr>
                <w:rFonts w:hint="eastAsia" w:cs="Times New Roman"/>
                <w:b/>
                <w:bCs/>
                <w:sz w:val="24"/>
                <w:highlight w:val="none"/>
                <w:lang w:val="en-US" w:eastAsia="zh-CN"/>
              </w:rPr>
              <w:t>5</w:t>
            </w:r>
            <w:r>
              <w:rPr>
                <w:rFonts w:hint="default" w:ascii="Times New Roman" w:hAnsi="Times New Roman" w:cs="Times New Roman"/>
                <w:b/>
                <w:bCs/>
                <w:sz w:val="24"/>
                <w:highlight w:val="none"/>
              </w:rPr>
              <w:t>、与山东省《关于严格项目审批工作坚决防止新上</w:t>
            </w:r>
            <w:r>
              <w:rPr>
                <w:rFonts w:hint="eastAsia" w:cs="Times New Roman"/>
                <w:b/>
                <w:bCs/>
                <w:sz w:val="24"/>
                <w:highlight w:val="none"/>
                <w:lang w:eastAsia="zh-CN"/>
              </w:rPr>
              <w:t>“</w:t>
            </w:r>
            <w:r>
              <w:rPr>
                <w:rFonts w:hint="default" w:ascii="Times New Roman" w:hAnsi="Times New Roman" w:cs="Times New Roman"/>
                <w:b/>
                <w:bCs/>
                <w:sz w:val="24"/>
                <w:highlight w:val="none"/>
              </w:rPr>
              <w:t>散乱污</w:t>
            </w:r>
            <w:r>
              <w:rPr>
                <w:rFonts w:hint="eastAsia" w:cs="Times New Roman"/>
                <w:b/>
                <w:bCs/>
                <w:sz w:val="24"/>
                <w:highlight w:val="none"/>
                <w:lang w:eastAsia="zh-CN"/>
              </w:rPr>
              <w:t>”</w:t>
            </w:r>
            <w:r>
              <w:rPr>
                <w:rFonts w:hint="default" w:ascii="Times New Roman" w:hAnsi="Times New Roman" w:cs="Times New Roman"/>
                <w:b/>
                <w:bCs/>
                <w:sz w:val="24"/>
                <w:highlight w:val="none"/>
              </w:rPr>
              <w:t>项目的通知》（鲁环字〔2021〕58号）符合性分析</w:t>
            </w:r>
          </w:p>
          <w:p w14:paraId="6ADC380F">
            <w:pPr>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表1-</w:t>
            </w:r>
            <w:r>
              <w:rPr>
                <w:rFonts w:hint="eastAsia" w:cs="Times New Roman"/>
                <w:b/>
                <w:sz w:val="24"/>
                <w:highlight w:val="none"/>
                <w:lang w:val="en-US" w:eastAsia="zh-CN"/>
              </w:rPr>
              <w:t>4</w:t>
            </w:r>
            <w:r>
              <w:rPr>
                <w:rFonts w:hint="default" w:ascii="Times New Roman" w:hAnsi="Times New Roman" w:cs="Times New Roman"/>
                <w:b/>
                <w:sz w:val="24"/>
                <w:highlight w:val="none"/>
              </w:rPr>
              <w:t xml:space="preserve">  本项目与鲁环字〔2021〕58号文的符合性分析</w:t>
            </w:r>
          </w:p>
          <w:tbl>
            <w:tblPr>
              <w:tblStyle w:val="47"/>
              <w:tblW w:w="8883" w:type="dxa"/>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4710"/>
              <w:gridCol w:w="2214"/>
              <w:gridCol w:w="996"/>
            </w:tblGrid>
            <w:tr w14:paraId="0D556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7" w:hRule="atLeast"/>
              </w:trPr>
              <w:tc>
                <w:tcPr>
                  <w:tcW w:w="963" w:type="dxa"/>
                  <w:tcBorders>
                    <w:tl2br w:val="nil"/>
                    <w:tr2bl w:val="nil"/>
                  </w:tcBorders>
                  <w:vAlign w:val="center"/>
                </w:tcPr>
                <w:p w14:paraId="1D5F91F6">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分类</w:t>
                  </w:r>
                </w:p>
              </w:tc>
              <w:tc>
                <w:tcPr>
                  <w:tcW w:w="4710" w:type="dxa"/>
                  <w:tcBorders>
                    <w:tl2br w:val="nil"/>
                    <w:tr2bl w:val="nil"/>
                  </w:tcBorders>
                  <w:vAlign w:val="center"/>
                </w:tcPr>
                <w:p w14:paraId="766F3D3E">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鲁环字〔2021〕58号文</w:t>
                  </w:r>
                </w:p>
              </w:tc>
              <w:tc>
                <w:tcPr>
                  <w:tcW w:w="2214" w:type="dxa"/>
                  <w:tcBorders>
                    <w:tl2br w:val="nil"/>
                    <w:tr2bl w:val="nil"/>
                  </w:tcBorders>
                  <w:vAlign w:val="center"/>
                </w:tcPr>
                <w:p w14:paraId="248D5A2D">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项目情况</w:t>
                  </w:r>
                </w:p>
              </w:tc>
              <w:tc>
                <w:tcPr>
                  <w:tcW w:w="996" w:type="dxa"/>
                  <w:tcBorders>
                    <w:tl2br w:val="nil"/>
                    <w:tr2bl w:val="nil"/>
                  </w:tcBorders>
                  <w:vAlign w:val="center"/>
                </w:tcPr>
                <w:p w14:paraId="5DC9447E">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符合性</w:t>
                  </w:r>
                </w:p>
              </w:tc>
            </w:tr>
            <w:tr w14:paraId="21893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963" w:type="dxa"/>
                  <w:tcBorders>
                    <w:tl2br w:val="nil"/>
                    <w:tr2bl w:val="nil"/>
                  </w:tcBorders>
                  <w:vAlign w:val="center"/>
                </w:tcPr>
                <w:p w14:paraId="218DCCE0">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一、要认真贯彻执行产业政策</w:t>
                  </w:r>
                </w:p>
              </w:tc>
              <w:tc>
                <w:tcPr>
                  <w:tcW w:w="4710" w:type="dxa"/>
                  <w:tcBorders>
                    <w:tl2br w:val="nil"/>
                    <w:tr2bl w:val="nil"/>
                  </w:tcBorders>
                  <w:vAlign w:val="center"/>
                </w:tcPr>
                <w:p w14:paraId="57F95F20">
                  <w:pPr>
                    <w:rPr>
                      <w:rFonts w:hint="default" w:ascii="Times New Roman" w:hAnsi="Times New Roman" w:cs="Times New Roman"/>
                      <w:bCs/>
                      <w:szCs w:val="21"/>
                      <w:highlight w:val="none"/>
                    </w:rPr>
                  </w:pPr>
                  <w:r>
                    <w:rPr>
                      <w:rFonts w:hint="default" w:ascii="Times New Roman" w:hAnsi="Times New Roman" w:cs="Times New Roman"/>
                      <w:bCs/>
                      <w:szCs w:val="21"/>
                      <w:highlight w:val="none"/>
                    </w:rPr>
                    <w:t>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p>
              </w:tc>
              <w:tc>
                <w:tcPr>
                  <w:tcW w:w="2214" w:type="dxa"/>
                  <w:tcBorders>
                    <w:tl2br w:val="nil"/>
                    <w:tr2bl w:val="nil"/>
                  </w:tcBorders>
                  <w:vAlign w:val="center"/>
                </w:tcPr>
                <w:p w14:paraId="14C33FD8">
                  <w:pPr>
                    <w:jc w:val="center"/>
                    <w:rPr>
                      <w:rFonts w:hint="eastAsia"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本项目符合国家产业政策要求，生产设备不属于国家公布的淘汰工艺和落后设备。不属于国家发展改革委发布的《产业结构调整指导目录（2024年本）》中</w:t>
                  </w:r>
                  <w:r>
                    <w:rPr>
                      <w:rFonts w:hint="eastAsia" w:cs="Times New Roman"/>
                      <w:bCs/>
                      <w:szCs w:val="21"/>
                      <w:highlight w:val="none"/>
                      <w:lang w:eastAsia="zh-CN"/>
                    </w:rPr>
                    <w:t>“</w:t>
                  </w:r>
                  <w:r>
                    <w:rPr>
                      <w:rFonts w:hint="default" w:ascii="Times New Roman" w:hAnsi="Times New Roman" w:cs="Times New Roman"/>
                      <w:bCs/>
                      <w:szCs w:val="21"/>
                      <w:highlight w:val="none"/>
                    </w:rPr>
                    <w:t>鼓励类</w:t>
                  </w:r>
                  <w:r>
                    <w:rPr>
                      <w:rFonts w:hint="eastAsia" w:cs="Times New Roman"/>
                      <w:bCs/>
                      <w:szCs w:val="21"/>
                      <w:highlight w:val="none"/>
                      <w:lang w:eastAsia="zh-CN"/>
                    </w:rPr>
                    <w:t>”</w:t>
                  </w:r>
                  <w:r>
                    <w:rPr>
                      <w:rFonts w:hint="default" w:ascii="Times New Roman" w:hAnsi="Times New Roman" w:cs="Times New Roman"/>
                      <w:bCs/>
                      <w:szCs w:val="21"/>
                      <w:highlight w:val="none"/>
                    </w:rPr>
                    <w:t>、</w:t>
                  </w:r>
                  <w:r>
                    <w:rPr>
                      <w:rFonts w:hint="eastAsia" w:cs="Times New Roman"/>
                      <w:bCs/>
                      <w:szCs w:val="21"/>
                      <w:highlight w:val="none"/>
                      <w:lang w:eastAsia="zh-CN"/>
                    </w:rPr>
                    <w:t>“</w:t>
                  </w:r>
                  <w:r>
                    <w:rPr>
                      <w:rFonts w:hint="default" w:ascii="Times New Roman" w:hAnsi="Times New Roman" w:cs="Times New Roman"/>
                      <w:bCs/>
                      <w:szCs w:val="21"/>
                      <w:highlight w:val="none"/>
                    </w:rPr>
                    <w:t>限制类</w:t>
                  </w:r>
                  <w:r>
                    <w:rPr>
                      <w:rFonts w:hint="eastAsia" w:cs="Times New Roman"/>
                      <w:bCs/>
                      <w:szCs w:val="21"/>
                      <w:highlight w:val="none"/>
                      <w:lang w:eastAsia="zh-CN"/>
                    </w:rPr>
                    <w:t>”</w:t>
                  </w:r>
                  <w:r>
                    <w:rPr>
                      <w:rFonts w:hint="default" w:ascii="Times New Roman" w:hAnsi="Times New Roman" w:cs="Times New Roman"/>
                      <w:bCs/>
                      <w:szCs w:val="21"/>
                      <w:highlight w:val="none"/>
                    </w:rPr>
                    <w:t>和</w:t>
                  </w:r>
                  <w:r>
                    <w:rPr>
                      <w:rFonts w:hint="eastAsia" w:cs="Times New Roman"/>
                      <w:bCs/>
                      <w:szCs w:val="21"/>
                      <w:highlight w:val="none"/>
                      <w:lang w:eastAsia="zh-CN"/>
                    </w:rPr>
                    <w:t>“</w:t>
                  </w:r>
                  <w:r>
                    <w:rPr>
                      <w:rFonts w:hint="default" w:ascii="Times New Roman" w:hAnsi="Times New Roman" w:cs="Times New Roman"/>
                      <w:bCs/>
                      <w:szCs w:val="21"/>
                      <w:highlight w:val="none"/>
                    </w:rPr>
                    <w:t>淘汰类</w:t>
                  </w:r>
                  <w:r>
                    <w:rPr>
                      <w:rFonts w:hint="eastAsia" w:cs="Times New Roman"/>
                      <w:bCs/>
                      <w:szCs w:val="21"/>
                      <w:highlight w:val="none"/>
                      <w:lang w:eastAsia="zh-CN"/>
                    </w:rPr>
                    <w:t>”</w:t>
                  </w:r>
                  <w:r>
                    <w:rPr>
                      <w:rFonts w:hint="default" w:ascii="Times New Roman" w:hAnsi="Times New Roman" w:cs="Times New Roman"/>
                      <w:bCs/>
                      <w:szCs w:val="21"/>
                      <w:highlight w:val="none"/>
                    </w:rPr>
                    <w:t>行列，属于允许建设项目</w:t>
                  </w:r>
                  <w:r>
                    <w:rPr>
                      <w:rFonts w:hint="eastAsia" w:cs="Times New Roman"/>
                      <w:bCs/>
                      <w:szCs w:val="21"/>
                      <w:highlight w:val="none"/>
                      <w:lang w:eastAsia="zh-CN"/>
                    </w:rPr>
                    <w:t>。</w:t>
                  </w:r>
                </w:p>
              </w:tc>
              <w:tc>
                <w:tcPr>
                  <w:tcW w:w="996" w:type="dxa"/>
                  <w:tcBorders>
                    <w:tl2br w:val="nil"/>
                    <w:tr2bl w:val="nil"/>
                  </w:tcBorders>
                  <w:vAlign w:val="center"/>
                </w:tcPr>
                <w:p w14:paraId="2175068E">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符合</w:t>
                  </w:r>
                </w:p>
              </w:tc>
            </w:tr>
            <w:tr w14:paraId="0D09F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963" w:type="dxa"/>
                  <w:tcBorders>
                    <w:tl2br w:val="nil"/>
                    <w:tr2bl w:val="nil"/>
                  </w:tcBorders>
                  <w:vAlign w:val="center"/>
                </w:tcPr>
                <w:p w14:paraId="28B0BD30">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二、要强化规划刚性约束</w:t>
                  </w:r>
                </w:p>
              </w:tc>
              <w:tc>
                <w:tcPr>
                  <w:tcW w:w="4710" w:type="dxa"/>
                  <w:tcBorders>
                    <w:tl2br w:val="nil"/>
                    <w:tr2bl w:val="nil"/>
                  </w:tcBorders>
                  <w:vAlign w:val="center"/>
                </w:tcPr>
                <w:p w14:paraId="1F56B3FB">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新上项目必须符合国土空间规划、产业发展规划等要求，积极引导产业园区外</w:t>
                  </w:r>
                  <w:r>
                    <w:rPr>
                      <w:rFonts w:hint="eastAsia" w:cs="Times New Roman"/>
                      <w:bCs/>
                      <w:szCs w:val="21"/>
                      <w:highlight w:val="none"/>
                      <w:lang w:eastAsia="zh-CN"/>
                    </w:rPr>
                    <w:t>“</w:t>
                  </w:r>
                  <w:r>
                    <w:rPr>
                      <w:rFonts w:hint="default" w:ascii="Times New Roman" w:hAnsi="Times New Roman" w:cs="Times New Roman"/>
                      <w:bCs/>
                      <w:szCs w:val="21"/>
                      <w:highlight w:val="none"/>
                    </w:rPr>
                    <w:t>散乱污</w:t>
                  </w:r>
                  <w:r>
                    <w:rPr>
                      <w:rFonts w:hint="eastAsia" w:cs="Times New Roman"/>
                      <w:bCs/>
                      <w:szCs w:val="21"/>
                      <w:highlight w:val="none"/>
                      <w:lang w:eastAsia="zh-CN"/>
                    </w:rPr>
                    <w:t>”</w:t>
                  </w:r>
                  <w:r>
                    <w:rPr>
                      <w:rFonts w:hint="default" w:ascii="Times New Roman" w:hAnsi="Times New Roman" w:cs="Times New Roman"/>
                      <w:bCs/>
                      <w:szCs w:val="21"/>
                      <w:highlight w:val="none"/>
                    </w:rPr>
                    <w:t>整治搬迁改造企业进入产业园区或工业集聚区，并鼓励租赁标准厂房。按照</w:t>
                  </w:r>
                  <w:r>
                    <w:rPr>
                      <w:rFonts w:hint="eastAsia" w:cs="Times New Roman"/>
                      <w:bCs/>
                      <w:szCs w:val="21"/>
                      <w:highlight w:val="none"/>
                      <w:lang w:eastAsia="zh-CN"/>
                    </w:rPr>
                    <w:t>“</w:t>
                  </w:r>
                  <w:r>
                    <w:rPr>
                      <w:rFonts w:hint="default" w:ascii="Times New Roman" w:hAnsi="Times New Roman" w:cs="Times New Roman"/>
                      <w:bCs/>
                      <w:szCs w:val="21"/>
                      <w:highlight w:val="none"/>
                    </w:rPr>
                    <w:t>布局集中、用地集约、产业集聚、空间优化</w:t>
                  </w:r>
                  <w:r>
                    <w:rPr>
                      <w:rFonts w:hint="eastAsia" w:cs="Times New Roman"/>
                      <w:bCs/>
                      <w:szCs w:val="21"/>
                      <w:highlight w:val="none"/>
                      <w:lang w:eastAsia="zh-CN"/>
                    </w:rPr>
                    <w:t>”</w:t>
                  </w:r>
                  <w:r>
                    <w:rPr>
                      <w:rFonts w:hint="default" w:ascii="Times New Roman" w:hAnsi="Times New Roman" w:cs="Times New Roman"/>
                      <w:bCs/>
                      <w:szCs w:val="21"/>
                      <w:highlight w:val="none"/>
                    </w:rPr>
                    <w:t>的原则，高标准制定产业发展规划，明确主导产业、布局和产业发展方向，引导企业规范化、规模化、集约化发展。</w:t>
                  </w:r>
                </w:p>
              </w:tc>
              <w:tc>
                <w:tcPr>
                  <w:tcW w:w="2214" w:type="dxa"/>
                  <w:tcBorders>
                    <w:tl2br w:val="nil"/>
                    <w:tr2bl w:val="nil"/>
                  </w:tcBorders>
                  <w:vAlign w:val="center"/>
                </w:tcPr>
                <w:p w14:paraId="5C4359FB">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本项目不属于</w:t>
                  </w:r>
                  <w:r>
                    <w:rPr>
                      <w:rFonts w:hint="eastAsia" w:cs="Times New Roman"/>
                      <w:bCs/>
                      <w:szCs w:val="21"/>
                      <w:highlight w:val="none"/>
                      <w:lang w:eastAsia="zh-CN"/>
                    </w:rPr>
                    <w:t>“</w:t>
                  </w:r>
                  <w:r>
                    <w:rPr>
                      <w:rFonts w:hint="default" w:ascii="Times New Roman" w:hAnsi="Times New Roman" w:cs="Times New Roman"/>
                      <w:bCs/>
                      <w:szCs w:val="21"/>
                      <w:highlight w:val="none"/>
                    </w:rPr>
                    <w:t>散乱污</w:t>
                  </w:r>
                  <w:r>
                    <w:rPr>
                      <w:rFonts w:hint="eastAsia" w:cs="Times New Roman"/>
                      <w:bCs/>
                      <w:szCs w:val="21"/>
                      <w:highlight w:val="none"/>
                      <w:lang w:eastAsia="zh-CN"/>
                    </w:rPr>
                    <w:t>”</w:t>
                  </w:r>
                  <w:r>
                    <w:rPr>
                      <w:rFonts w:hint="default" w:ascii="Times New Roman" w:hAnsi="Times New Roman" w:cs="Times New Roman"/>
                      <w:bCs/>
                      <w:szCs w:val="21"/>
                      <w:highlight w:val="none"/>
                    </w:rPr>
                    <w:t>项目，项目位于</w:t>
                  </w:r>
                  <w:r>
                    <w:rPr>
                      <w:rFonts w:hint="eastAsia" w:cs="Times New Roman"/>
                      <w:bCs/>
                      <w:szCs w:val="21"/>
                      <w:highlight w:val="none"/>
                      <w:lang w:eastAsia="zh-CN"/>
                    </w:rPr>
                    <w:t>凤凰镇梧台工业集聚区</w:t>
                  </w:r>
                  <w:r>
                    <w:rPr>
                      <w:rFonts w:hint="default" w:ascii="Times New Roman" w:hAnsi="Times New Roman" w:cs="Times New Roman"/>
                      <w:bCs/>
                      <w:szCs w:val="21"/>
                      <w:highlight w:val="none"/>
                    </w:rPr>
                    <w:t>。</w:t>
                  </w:r>
                </w:p>
              </w:tc>
              <w:tc>
                <w:tcPr>
                  <w:tcW w:w="996" w:type="dxa"/>
                  <w:tcBorders>
                    <w:tl2br w:val="nil"/>
                    <w:tr2bl w:val="nil"/>
                  </w:tcBorders>
                  <w:vAlign w:val="center"/>
                </w:tcPr>
                <w:p w14:paraId="1EDFDC0F">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符合</w:t>
                  </w:r>
                </w:p>
              </w:tc>
            </w:tr>
            <w:tr w14:paraId="2FEC5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963" w:type="dxa"/>
                  <w:tcBorders>
                    <w:tl2br w:val="nil"/>
                    <w:tr2bl w:val="nil"/>
                  </w:tcBorders>
                  <w:vAlign w:val="center"/>
                </w:tcPr>
                <w:p w14:paraId="5282B030">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三、要科学把好项目选址关</w:t>
                  </w:r>
                </w:p>
              </w:tc>
              <w:tc>
                <w:tcPr>
                  <w:tcW w:w="4710" w:type="dxa"/>
                  <w:tcBorders>
                    <w:tl2br w:val="nil"/>
                    <w:tr2bl w:val="nil"/>
                  </w:tcBorders>
                  <w:vAlign w:val="center"/>
                </w:tcPr>
                <w:p w14:paraId="7AADF31B">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2214" w:type="dxa"/>
                  <w:tcBorders>
                    <w:tl2br w:val="nil"/>
                    <w:tr2bl w:val="nil"/>
                  </w:tcBorders>
                  <w:vAlign w:val="center"/>
                </w:tcPr>
                <w:p w14:paraId="7E54528F">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项目位于</w:t>
                  </w:r>
                  <w:r>
                    <w:rPr>
                      <w:rFonts w:hint="eastAsia" w:cs="Times New Roman"/>
                      <w:bCs/>
                      <w:szCs w:val="21"/>
                      <w:highlight w:val="none"/>
                      <w:lang w:eastAsia="zh-CN"/>
                    </w:rPr>
                    <w:t>临淄区凤凰镇土桥村辛河路与梧台路交叉口东400米</w:t>
                  </w:r>
                  <w:r>
                    <w:rPr>
                      <w:rFonts w:hint="default" w:ascii="Times New Roman" w:hAnsi="Times New Roman" w:cs="Times New Roman"/>
                      <w:bCs/>
                      <w:szCs w:val="21"/>
                      <w:highlight w:val="none"/>
                    </w:rPr>
                    <w:t>，位于</w:t>
                  </w:r>
                  <w:r>
                    <w:rPr>
                      <w:rFonts w:hint="eastAsia" w:cs="Times New Roman"/>
                      <w:bCs/>
                      <w:szCs w:val="21"/>
                      <w:highlight w:val="none"/>
                      <w:lang w:eastAsia="zh-CN"/>
                    </w:rPr>
                    <w:t>凤凰镇梧台工业集聚区，</w:t>
                  </w:r>
                  <w:r>
                    <w:rPr>
                      <w:rFonts w:hint="default" w:ascii="Times New Roman" w:hAnsi="Times New Roman" w:cs="Times New Roman"/>
                      <w:bCs/>
                      <w:szCs w:val="21"/>
                      <w:highlight w:val="none"/>
                    </w:rPr>
                    <w:t>选址符合用地政策。</w:t>
                  </w:r>
                </w:p>
              </w:tc>
              <w:tc>
                <w:tcPr>
                  <w:tcW w:w="996" w:type="dxa"/>
                  <w:tcBorders>
                    <w:tl2br w:val="nil"/>
                    <w:tr2bl w:val="nil"/>
                  </w:tcBorders>
                  <w:vAlign w:val="center"/>
                </w:tcPr>
                <w:p w14:paraId="03F02C9E">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符合</w:t>
                  </w:r>
                </w:p>
              </w:tc>
            </w:tr>
            <w:tr w14:paraId="3A15D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963" w:type="dxa"/>
                  <w:tcBorders>
                    <w:tl2br w:val="nil"/>
                    <w:tr2bl w:val="nil"/>
                  </w:tcBorders>
                  <w:vAlign w:val="center"/>
                </w:tcPr>
                <w:p w14:paraId="18A59B35">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四、要严把项目环评审批关</w:t>
                  </w:r>
                </w:p>
              </w:tc>
              <w:tc>
                <w:tcPr>
                  <w:tcW w:w="4710" w:type="dxa"/>
                  <w:tcBorders>
                    <w:tl2br w:val="nil"/>
                    <w:tr2bl w:val="nil"/>
                  </w:tcBorders>
                  <w:vAlign w:val="center"/>
                </w:tcPr>
                <w:p w14:paraId="243FF707">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新上项目必须严格执行环评审批</w:t>
                  </w:r>
                  <w:r>
                    <w:rPr>
                      <w:rFonts w:hint="eastAsia" w:cs="Times New Roman"/>
                      <w:bCs/>
                      <w:szCs w:val="21"/>
                      <w:highlight w:val="none"/>
                      <w:lang w:eastAsia="zh-CN"/>
                    </w:rPr>
                    <w:t>“</w:t>
                  </w:r>
                  <w:r>
                    <w:rPr>
                      <w:rFonts w:hint="default" w:ascii="Times New Roman" w:hAnsi="Times New Roman" w:cs="Times New Roman"/>
                      <w:bCs/>
                      <w:szCs w:val="21"/>
                      <w:highlight w:val="none"/>
                    </w:rPr>
                    <w:t>三挂钩</w:t>
                  </w:r>
                  <w:r>
                    <w:rPr>
                      <w:rFonts w:hint="eastAsia" w:cs="Times New Roman"/>
                      <w:bCs/>
                      <w:szCs w:val="21"/>
                      <w:highlight w:val="none"/>
                      <w:lang w:eastAsia="zh-CN"/>
                    </w:rPr>
                    <w:t>”</w:t>
                  </w:r>
                  <w:r>
                    <w:rPr>
                      <w:rFonts w:hint="default" w:ascii="Times New Roman" w:hAnsi="Times New Roman" w:cs="Times New Roman"/>
                      <w:bCs/>
                      <w:szCs w:val="21"/>
                      <w:highlight w:val="none"/>
                    </w:rPr>
                    <w:t>机制和</w:t>
                  </w:r>
                  <w:r>
                    <w:rPr>
                      <w:rFonts w:hint="eastAsia" w:cs="Times New Roman"/>
                      <w:bCs/>
                      <w:szCs w:val="21"/>
                      <w:highlight w:val="none"/>
                      <w:lang w:eastAsia="zh-CN"/>
                    </w:rPr>
                    <w:t>“</w:t>
                  </w:r>
                  <w:r>
                    <w:rPr>
                      <w:rFonts w:hint="default" w:ascii="Times New Roman" w:hAnsi="Times New Roman" w:cs="Times New Roman"/>
                      <w:bCs/>
                      <w:szCs w:val="21"/>
                      <w:highlight w:val="none"/>
                    </w:rPr>
                    <w:t>五个不批</w:t>
                  </w:r>
                  <w:r>
                    <w:rPr>
                      <w:rFonts w:hint="eastAsia" w:cs="Times New Roman"/>
                      <w:bCs/>
                      <w:szCs w:val="21"/>
                      <w:highlight w:val="none"/>
                      <w:lang w:eastAsia="zh-CN"/>
                    </w:rPr>
                    <w:t>”</w:t>
                  </w:r>
                  <w:r>
                    <w:rPr>
                      <w:rFonts w:hint="default" w:ascii="Times New Roman" w:hAnsi="Times New Roman" w:cs="Times New Roman"/>
                      <w:bCs/>
                      <w:szCs w:val="21"/>
                      <w:highlight w:val="none"/>
                    </w:rPr>
                    <w:t>要求，落实</w:t>
                  </w:r>
                  <w:r>
                    <w:rPr>
                      <w:rFonts w:hint="eastAsia" w:cs="Times New Roman"/>
                      <w:bCs/>
                      <w:szCs w:val="21"/>
                      <w:highlight w:val="none"/>
                      <w:lang w:eastAsia="zh-CN"/>
                    </w:rPr>
                    <w:t>“</w:t>
                  </w:r>
                  <w:r>
                    <w:rPr>
                      <w:rFonts w:hint="default" w:ascii="Times New Roman" w:hAnsi="Times New Roman" w:cs="Times New Roman"/>
                      <w:bCs/>
                      <w:szCs w:val="21"/>
                      <w:highlight w:val="none"/>
                    </w:rPr>
                    <w:t>三线一单</w:t>
                  </w:r>
                  <w:r>
                    <w:rPr>
                      <w:rFonts w:hint="eastAsia" w:cs="Times New Roman"/>
                      <w:bCs/>
                      <w:szCs w:val="21"/>
                      <w:highlight w:val="none"/>
                      <w:lang w:eastAsia="zh-CN"/>
                    </w:rPr>
                    <w:t>”</w:t>
                  </w:r>
                  <w:r>
                    <w:rPr>
                      <w:rFonts w:hint="default" w:ascii="Times New Roman" w:hAnsi="Times New Roman" w:cs="Times New Roman"/>
                      <w:bCs/>
                      <w:szCs w:val="21"/>
                      <w:highlight w:val="none"/>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2214" w:type="dxa"/>
                  <w:tcBorders>
                    <w:tl2br w:val="nil"/>
                    <w:tr2bl w:val="nil"/>
                  </w:tcBorders>
                  <w:vAlign w:val="center"/>
                </w:tcPr>
                <w:p w14:paraId="44F498EA">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本项目符合</w:t>
                  </w:r>
                  <w:r>
                    <w:rPr>
                      <w:rFonts w:hint="eastAsia" w:cs="Times New Roman"/>
                      <w:bCs/>
                      <w:szCs w:val="21"/>
                      <w:highlight w:val="none"/>
                      <w:lang w:eastAsia="zh-CN"/>
                    </w:rPr>
                    <w:t>“</w:t>
                  </w:r>
                  <w:r>
                    <w:rPr>
                      <w:rFonts w:hint="default" w:ascii="Times New Roman" w:hAnsi="Times New Roman" w:cs="Times New Roman"/>
                      <w:bCs/>
                      <w:szCs w:val="21"/>
                      <w:highlight w:val="none"/>
                    </w:rPr>
                    <w:t>三线一单</w:t>
                  </w:r>
                  <w:r>
                    <w:rPr>
                      <w:rFonts w:hint="eastAsia" w:cs="Times New Roman"/>
                      <w:bCs/>
                      <w:szCs w:val="21"/>
                      <w:highlight w:val="none"/>
                      <w:lang w:eastAsia="zh-CN"/>
                    </w:rPr>
                    <w:t>”</w:t>
                  </w:r>
                  <w:r>
                    <w:rPr>
                      <w:rFonts w:hint="default" w:ascii="Times New Roman" w:hAnsi="Times New Roman" w:cs="Times New Roman"/>
                      <w:bCs/>
                      <w:szCs w:val="21"/>
                      <w:highlight w:val="none"/>
                    </w:rPr>
                    <w:t>生态环境分区管控要求</w:t>
                  </w:r>
                  <w:r>
                    <w:rPr>
                      <w:rFonts w:hint="eastAsia" w:cs="Times New Roman"/>
                      <w:bCs/>
                      <w:szCs w:val="21"/>
                      <w:highlight w:val="none"/>
                      <w:lang w:eastAsia="zh-CN"/>
                    </w:rPr>
                    <w:t>，</w:t>
                  </w:r>
                  <w:r>
                    <w:rPr>
                      <w:rFonts w:hint="eastAsia" w:cs="Times New Roman"/>
                      <w:bCs/>
                      <w:szCs w:val="21"/>
                      <w:highlight w:val="none"/>
                      <w:lang w:val="en-US" w:eastAsia="zh-CN"/>
                    </w:rPr>
                    <w:t>按要求</w:t>
                  </w:r>
                  <w:r>
                    <w:rPr>
                      <w:rFonts w:hint="default" w:ascii="Times New Roman" w:hAnsi="Times New Roman" w:cs="Times New Roman"/>
                      <w:bCs/>
                      <w:szCs w:val="21"/>
                      <w:highlight w:val="none"/>
                    </w:rPr>
                    <w:t>落实区域污染物排放替代。</w:t>
                  </w:r>
                </w:p>
              </w:tc>
              <w:tc>
                <w:tcPr>
                  <w:tcW w:w="996" w:type="dxa"/>
                  <w:tcBorders>
                    <w:tl2br w:val="nil"/>
                    <w:tr2bl w:val="nil"/>
                  </w:tcBorders>
                  <w:vAlign w:val="center"/>
                </w:tcPr>
                <w:p w14:paraId="769B2CE2">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符合</w:t>
                  </w:r>
                </w:p>
              </w:tc>
            </w:tr>
          </w:tbl>
          <w:p w14:paraId="741F8B99">
            <w:pPr>
              <w:spacing w:before="120" w:beforeLines="50" w:line="360" w:lineRule="auto"/>
              <w:ind w:firstLine="482"/>
              <w:rPr>
                <w:rFonts w:hint="default" w:ascii="Times New Roman" w:hAnsi="Times New Roman" w:cs="Times New Roman"/>
                <w:b/>
                <w:bCs/>
                <w:sz w:val="24"/>
                <w:highlight w:val="none"/>
              </w:rPr>
            </w:pPr>
            <w:r>
              <w:rPr>
                <w:rFonts w:hint="eastAsia" w:cs="Times New Roman"/>
                <w:b/>
                <w:bCs/>
                <w:sz w:val="24"/>
                <w:highlight w:val="none"/>
                <w:lang w:val="en-US" w:eastAsia="zh-CN"/>
              </w:rPr>
              <w:t>6</w:t>
            </w:r>
            <w:r>
              <w:rPr>
                <w:rFonts w:hint="default" w:ascii="Times New Roman" w:hAnsi="Times New Roman" w:cs="Times New Roman"/>
                <w:b/>
                <w:bCs/>
                <w:sz w:val="24"/>
                <w:highlight w:val="none"/>
              </w:rPr>
              <w:t>、与《山东省人民政府办公厅关于印发坚决遏制</w:t>
            </w:r>
            <w:r>
              <w:rPr>
                <w:rFonts w:hint="eastAsia" w:cs="Times New Roman"/>
                <w:b/>
                <w:bCs/>
                <w:sz w:val="24"/>
                <w:highlight w:val="none"/>
                <w:lang w:eastAsia="zh-CN"/>
              </w:rPr>
              <w:t>“</w:t>
            </w:r>
            <w:r>
              <w:rPr>
                <w:rFonts w:hint="default" w:ascii="Times New Roman" w:hAnsi="Times New Roman" w:cs="Times New Roman"/>
                <w:b/>
                <w:bCs/>
                <w:sz w:val="24"/>
                <w:highlight w:val="none"/>
              </w:rPr>
              <w:t>两高</w:t>
            </w:r>
            <w:r>
              <w:rPr>
                <w:rFonts w:hint="eastAsia" w:cs="Times New Roman"/>
                <w:b/>
                <w:bCs/>
                <w:sz w:val="24"/>
                <w:highlight w:val="none"/>
                <w:lang w:eastAsia="zh-CN"/>
              </w:rPr>
              <w:t>”</w:t>
            </w:r>
            <w:r>
              <w:rPr>
                <w:rFonts w:hint="default" w:ascii="Times New Roman" w:hAnsi="Times New Roman" w:cs="Times New Roman"/>
                <w:b/>
                <w:bCs/>
                <w:sz w:val="24"/>
                <w:highlight w:val="none"/>
              </w:rPr>
              <w:t>项目盲目发展的若干措施的通知》（鲁政办字〔2021〕98号）符合性分析</w:t>
            </w:r>
          </w:p>
          <w:p w14:paraId="793B6D02">
            <w:pPr>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表1-</w:t>
            </w:r>
            <w:r>
              <w:rPr>
                <w:rFonts w:hint="eastAsia" w:cs="Times New Roman"/>
                <w:b/>
                <w:sz w:val="24"/>
                <w:highlight w:val="none"/>
                <w:lang w:val="en-US" w:eastAsia="zh-CN"/>
              </w:rPr>
              <w:t>5</w:t>
            </w:r>
            <w:r>
              <w:rPr>
                <w:rFonts w:hint="default" w:ascii="Times New Roman" w:hAnsi="Times New Roman" w:cs="Times New Roman"/>
                <w:b/>
                <w:sz w:val="24"/>
                <w:highlight w:val="none"/>
              </w:rPr>
              <w:t xml:space="preserve">  与鲁政办字〔2021〕98号符合性分析</w:t>
            </w:r>
          </w:p>
          <w:tbl>
            <w:tblPr>
              <w:tblStyle w:val="47"/>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5320"/>
              <w:gridCol w:w="1365"/>
              <w:gridCol w:w="1015"/>
            </w:tblGrid>
            <w:tr w14:paraId="0EE87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179" w:type="dxa"/>
                  <w:vAlign w:val="center"/>
                </w:tcPr>
                <w:p w14:paraId="77D1CC73">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w:t>
                  </w:r>
                </w:p>
              </w:tc>
              <w:tc>
                <w:tcPr>
                  <w:tcW w:w="5320" w:type="dxa"/>
                  <w:vAlign w:val="center"/>
                </w:tcPr>
                <w:p w14:paraId="469D592E">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规定</w:t>
                  </w:r>
                </w:p>
              </w:tc>
              <w:tc>
                <w:tcPr>
                  <w:tcW w:w="1365" w:type="dxa"/>
                  <w:vAlign w:val="center"/>
                </w:tcPr>
                <w:p w14:paraId="1D7307DD">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本项目情况</w:t>
                  </w:r>
                </w:p>
              </w:tc>
              <w:tc>
                <w:tcPr>
                  <w:tcW w:w="1015" w:type="dxa"/>
                  <w:vAlign w:val="center"/>
                </w:tcPr>
                <w:p w14:paraId="61016E11">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符合性</w:t>
                  </w:r>
                </w:p>
              </w:tc>
            </w:tr>
            <w:tr w14:paraId="655BE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5" w:hRule="atLeast"/>
                <w:jc w:val="center"/>
              </w:trPr>
              <w:tc>
                <w:tcPr>
                  <w:tcW w:w="1179" w:type="dxa"/>
                  <w:vAlign w:val="center"/>
                </w:tcPr>
                <w:p w14:paraId="0768E5BA">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把握</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项目管理原则</w:t>
                  </w:r>
                </w:p>
              </w:tc>
              <w:tc>
                <w:tcPr>
                  <w:tcW w:w="5320" w:type="dxa"/>
                  <w:vAlign w:val="center"/>
                </w:tcPr>
                <w:p w14:paraId="5E41C23F">
                  <w:pPr>
                    <w:pStyle w:val="46"/>
                    <w:spacing w:after="0"/>
                    <w:ind w:left="0" w:leftChars="0" w:firstLine="0" w:firstLineChars="0"/>
                    <w:jc w:val="left"/>
                    <w:rPr>
                      <w:rFonts w:hint="default" w:ascii="Times New Roman" w:hAnsi="Times New Roman" w:cs="Times New Roman"/>
                      <w:szCs w:val="21"/>
                      <w:highlight w:val="none"/>
                    </w:rPr>
                  </w:pPr>
                  <w:r>
                    <w:rPr>
                      <w:rFonts w:hint="default" w:ascii="Times New Roman" w:hAnsi="Times New Roman" w:cs="Times New Roman"/>
                      <w:szCs w:val="21"/>
                      <w:highlight w:val="none"/>
                    </w:rPr>
                    <w:t>区分</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与非</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、产业链上下游、新建与技改、不同时间节点，严控增量、优化存量。对2018年1月1日以来建设的</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项目从严要求。今后，新建（含改扩建和技术改造，环保节能改造、安全设施改造、产品质量提升等不增加产能的技术改造项目除外，下同）</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项目一律严格审核把关。</w:t>
                  </w:r>
                </w:p>
              </w:tc>
              <w:tc>
                <w:tcPr>
                  <w:tcW w:w="1365" w:type="dxa"/>
                  <w:vAlign w:val="center"/>
                </w:tcPr>
                <w:p w14:paraId="1BC5D523">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015" w:type="dxa"/>
                  <w:vAlign w:val="center"/>
                </w:tcPr>
                <w:p w14:paraId="0F8E68EC">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64A8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4" w:hRule="atLeast"/>
                <w:jc w:val="center"/>
              </w:trPr>
              <w:tc>
                <w:tcPr>
                  <w:tcW w:w="1179" w:type="dxa"/>
                  <w:vAlign w:val="center"/>
                </w:tcPr>
                <w:p w14:paraId="1251FFA4">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明确</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项目范围界限</w:t>
                  </w:r>
                </w:p>
              </w:tc>
              <w:tc>
                <w:tcPr>
                  <w:tcW w:w="5320" w:type="dxa"/>
                  <w:vAlign w:val="center"/>
                </w:tcPr>
                <w:p w14:paraId="6EC8FE5B">
                  <w:pPr>
                    <w:pStyle w:val="46"/>
                    <w:spacing w:after="0"/>
                    <w:ind w:left="0" w:leftChars="0" w:firstLine="0" w:firstLineChars="0"/>
                    <w:jc w:val="left"/>
                    <w:rPr>
                      <w:rFonts w:hint="default" w:ascii="Times New Roman" w:hAnsi="Times New Roman" w:cs="Times New Roman"/>
                      <w:szCs w:val="21"/>
                      <w:highlight w:val="none"/>
                    </w:rPr>
                  </w:pPr>
                  <w:r>
                    <w:rPr>
                      <w:rFonts w:hint="default" w:ascii="Times New Roman" w:hAnsi="Times New Roman" w:cs="Times New Roman"/>
                      <w:szCs w:val="21"/>
                      <w:highlight w:val="none"/>
                    </w:rPr>
                    <w:t>统筹考虑能耗排放总量、万元工业增加值能耗，将</w:t>
                  </w:r>
                  <w:r>
                    <w:rPr>
                      <w:rFonts w:hint="eastAsia" w:cs="Times New Roman"/>
                      <w:szCs w:val="21"/>
                      <w:highlight w:val="none"/>
                      <w:lang w:eastAsia="zh-CN"/>
                    </w:rPr>
                    <w:t>“</w:t>
                  </w:r>
                  <w:r>
                    <w:rPr>
                      <w:rFonts w:hint="default" w:ascii="Times New Roman" w:hAnsi="Times New Roman" w:cs="Times New Roman"/>
                      <w:szCs w:val="21"/>
                      <w:highlight w:val="none"/>
                    </w:rPr>
                    <w:t>六大高耗能行业</w:t>
                  </w:r>
                  <w:r>
                    <w:rPr>
                      <w:rFonts w:hint="eastAsia" w:cs="Times New Roman"/>
                      <w:szCs w:val="21"/>
                      <w:highlight w:val="none"/>
                      <w:lang w:eastAsia="zh-CN"/>
                    </w:rPr>
                    <w:t>”</w:t>
                  </w:r>
                  <w:r>
                    <w:rPr>
                      <w:rFonts w:hint="default" w:ascii="Times New Roman" w:hAnsi="Times New Roman" w:cs="Times New Roman"/>
                      <w:szCs w:val="21"/>
                      <w:highlight w:val="none"/>
                    </w:rPr>
                    <w:t>中的煤电、炼化、焦化、钢铁、水泥、铁合金、电解铝、甲醇、氯碱、电石、醋酸、氮肥、石灰、平板玻璃、建筑陶瓷、沥青防水材料16个行业上游初加工、高耗能高排放环节投资项目作为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项目范围根据国家规定和我省实际动态调整。</w:t>
                  </w:r>
                </w:p>
              </w:tc>
              <w:tc>
                <w:tcPr>
                  <w:tcW w:w="1365" w:type="dxa"/>
                  <w:vAlign w:val="center"/>
                </w:tcPr>
                <w:p w14:paraId="2FD2E9B6">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015" w:type="dxa"/>
                  <w:vAlign w:val="center"/>
                </w:tcPr>
                <w:p w14:paraId="495CC04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2B89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1179" w:type="dxa"/>
                  <w:vAlign w:val="center"/>
                </w:tcPr>
                <w:p w14:paraId="73D16D03">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明确</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项目四类处置方式</w:t>
                  </w:r>
                </w:p>
              </w:tc>
              <w:tc>
                <w:tcPr>
                  <w:tcW w:w="5320" w:type="dxa"/>
                  <w:vAlign w:val="center"/>
                </w:tcPr>
                <w:p w14:paraId="44500FD0">
                  <w:pPr>
                    <w:pStyle w:val="46"/>
                    <w:spacing w:after="0"/>
                    <w:ind w:left="0" w:leftChars="0" w:firstLine="0" w:firstLineChars="0"/>
                    <w:jc w:val="left"/>
                    <w:rPr>
                      <w:rFonts w:hint="default" w:ascii="Times New Roman" w:hAnsi="Times New Roman" w:cs="Times New Roman"/>
                      <w:szCs w:val="21"/>
                      <w:highlight w:val="none"/>
                    </w:rPr>
                  </w:pPr>
                  <w:r>
                    <w:rPr>
                      <w:rFonts w:hint="eastAsia" w:cs="Times New Roman"/>
                      <w:szCs w:val="21"/>
                      <w:highlight w:val="none"/>
                      <w:lang w:eastAsia="zh-CN"/>
                    </w:rPr>
                    <w:t>“</w:t>
                  </w:r>
                  <w:r>
                    <w:rPr>
                      <w:rFonts w:hint="default" w:ascii="Times New Roman" w:hAnsi="Times New Roman" w:cs="Times New Roman"/>
                      <w:szCs w:val="21"/>
                      <w:highlight w:val="none"/>
                    </w:rPr>
                    <w:t>合规项目类</w:t>
                  </w:r>
                  <w:r>
                    <w:rPr>
                      <w:rFonts w:hint="eastAsia" w:cs="Times New Roman"/>
                      <w:szCs w:val="21"/>
                      <w:highlight w:val="none"/>
                      <w:lang w:eastAsia="zh-CN"/>
                    </w:rPr>
                    <w:t>”</w:t>
                  </w:r>
                  <w:r>
                    <w:rPr>
                      <w:rFonts w:hint="default" w:ascii="Times New Roman" w:hAnsi="Times New Roman" w:cs="Times New Roman"/>
                      <w:szCs w:val="21"/>
                      <w:highlight w:val="none"/>
                    </w:rPr>
                    <w:t>，对符合产业政策，手续齐全、批建相符的项目，纳入</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项目清单。</w:t>
                  </w:r>
                  <w:r>
                    <w:rPr>
                      <w:rFonts w:hint="eastAsia" w:cs="Times New Roman"/>
                      <w:szCs w:val="21"/>
                      <w:highlight w:val="none"/>
                      <w:lang w:eastAsia="zh-CN"/>
                    </w:rPr>
                    <w:t>“</w:t>
                  </w:r>
                  <w:r>
                    <w:rPr>
                      <w:rFonts w:hint="default" w:ascii="Times New Roman" w:hAnsi="Times New Roman" w:cs="Times New Roman"/>
                      <w:szCs w:val="21"/>
                      <w:highlight w:val="none"/>
                    </w:rPr>
                    <w:t>完善手续类</w:t>
                  </w:r>
                  <w:r>
                    <w:rPr>
                      <w:rFonts w:hint="eastAsia" w:cs="Times New Roman"/>
                      <w:szCs w:val="21"/>
                      <w:highlight w:val="none"/>
                      <w:lang w:eastAsia="zh-CN"/>
                    </w:rPr>
                    <w:t>”</w:t>
                  </w:r>
                  <w:r>
                    <w:rPr>
                      <w:rFonts w:hint="default" w:ascii="Times New Roman" w:hAnsi="Times New Roman" w:cs="Times New Roman"/>
                      <w:szCs w:val="21"/>
                      <w:highlight w:val="none"/>
                    </w:rPr>
                    <w:t>，对符合产业政策，按照目前标准符合手续办理要求的项目，依法依规完善手续；对符合产业政策，满足当前安全、环保、能耗、技术、质量等标准要求，对地方经济发展、民生保障、安全稳定有重要影响确有必要保留，但因历史遗留问题难以补办手续的项目，列入清单，予以保留实施，视同完善手续。</w:t>
                  </w:r>
                  <w:r>
                    <w:rPr>
                      <w:rFonts w:hint="eastAsia" w:cs="Times New Roman"/>
                      <w:szCs w:val="21"/>
                      <w:highlight w:val="none"/>
                      <w:lang w:eastAsia="zh-CN"/>
                    </w:rPr>
                    <w:t>“</w:t>
                  </w:r>
                  <w:r>
                    <w:rPr>
                      <w:rFonts w:hint="default" w:ascii="Times New Roman" w:hAnsi="Times New Roman" w:cs="Times New Roman"/>
                      <w:szCs w:val="21"/>
                      <w:highlight w:val="none"/>
                    </w:rPr>
                    <w:t>改造提升类</w:t>
                  </w:r>
                  <w:r>
                    <w:rPr>
                      <w:rFonts w:hint="eastAsia" w:cs="Times New Roman"/>
                      <w:szCs w:val="21"/>
                      <w:highlight w:val="none"/>
                      <w:lang w:eastAsia="zh-CN"/>
                    </w:rPr>
                    <w:t>”</w:t>
                  </w:r>
                  <w:r>
                    <w:rPr>
                      <w:rFonts w:hint="default" w:ascii="Times New Roman" w:hAnsi="Times New Roman" w:cs="Times New Roman"/>
                      <w:szCs w:val="21"/>
                      <w:highlight w:val="none"/>
                    </w:rPr>
                    <w:t>，对符合产业政策，按目前标准暂时不符合手续办理要求、但具备改造提升潜力、且2021年年底前能够完成改造提升的项目，待完成改造提升、达到标准条件后，再依法依规完善手续。</w:t>
                  </w:r>
                  <w:r>
                    <w:rPr>
                      <w:rFonts w:hint="eastAsia" w:cs="Times New Roman"/>
                      <w:szCs w:val="21"/>
                      <w:highlight w:val="none"/>
                      <w:lang w:eastAsia="zh-CN"/>
                    </w:rPr>
                    <w:t>“</w:t>
                  </w:r>
                  <w:r>
                    <w:rPr>
                      <w:rFonts w:hint="default" w:ascii="Times New Roman" w:hAnsi="Times New Roman" w:cs="Times New Roman"/>
                      <w:szCs w:val="21"/>
                      <w:highlight w:val="none"/>
                    </w:rPr>
                    <w:t>关停退出类</w:t>
                  </w:r>
                  <w:r>
                    <w:rPr>
                      <w:rFonts w:hint="eastAsia" w:cs="Times New Roman"/>
                      <w:szCs w:val="21"/>
                      <w:highlight w:val="none"/>
                      <w:lang w:eastAsia="zh-CN"/>
                    </w:rPr>
                    <w:t>”</w:t>
                  </w:r>
                  <w:r>
                    <w:rPr>
                      <w:rFonts w:hint="default" w:ascii="Times New Roman" w:hAnsi="Times New Roman" w:cs="Times New Roman"/>
                      <w:szCs w:val="21"/>
                      <w:highlight w:val="none"/>
                    </w:rPr>
                    <w:t>，对不符合产业政策，或无法在2021年年底前完成改造提升补办手续的项目，依法依规关停退出。</w:t>
                  </w:r>
                </w:p>
              </w:tc>
              <w:tc>
                <w:tcPr>
                  <w:tcW w:w="1365" w:type="dxa"/>
                  <w:vAlign w:val="center"/>
                </w:tcPr>
                <w:p w14:paraId="4E7B84FD">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015" w:type="dxa"/>
                  <w:vAlign w:val="center"/>
                </w:tcPr>
                <w:p w14:paraId="73A9C35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FA32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4" w:hRule="atLeast"/>
                <w:jc w:val="center"/>
              </w:trPr>
              <w:tc>
                <w:tcPr>
                  <w:tcW w:w="1179" w:type="dxa"/>
                  <w:vAlign w:val="center"/>
                </w:tcPr>
                <w:p w14:paraId="0FA0AFC1">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落实新建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r>
                    <w:rPr>
                      <w:rFonts w:hint="eastAsia" w:cs="Times New Roman"/>
                      <w:szCs w:val="21"/>
                      <w:highlight w:val="none"/>
                      <w:lang w:eastAsia="zh-CN"/>
                    </w:rPr>
                    <w:t>“</w:t>
                  </w:r>
                  <w:r>
                    <w:rPr>
                      <w:rFonts w:hint="default" w:ascii="Times New Roman" w:hAnsi="Times New Roman" w:cs="Times New Roman"/>
                      <w:szCs w:val="21"/>
                      <w:highlight w:val="none"/>
                    </w:rPr>
                    <w:t>五个减量替代</w:t>
                  </w:r>
                  <w:r>
                    <w:rPr>
                      <w:rFonts w:hint="eastAsia" w:cs="Times New Roman"/>
                      <w:szCs w:val="21"/>
                      <w:highlight w:val="none"/>
                      <w:lang w:eastAsia="zh-CN"/>
                    </w:rPr>
                    <w:t>”</w:t>
                  </w:r>
                  <w:r>
                    <w:rPr>
                      <w:rFonts w:hint="default" w:ascii="Times New Roman" w:hAnsi="Times New Roman" w:cs="Times New Roman"/>
                      <w:szCs w:val="21"/>
                      <w:highlight w:val="none"/>
                    </w:rPr>
                    <w:t>。</w:t>
                  </w:r>
                </w:p>
              </w:tc>
              <w:tc>
                <w:tcPr>
                  <w:tcW w:w="5320" w:type="dxa"/>
                  <w:vAlign w:val="center"/>
                </w:tcPr>
                <w:p w14:paraId="228341A7">
                  <w:pPr>
                    <w:pStyle w:val="46"/>
                    <w:spacing w:after="0"/>
                    <w:ind w:left="0" w:leftChars="0" w:firstLine="0" w:firstLineChars="0"/>
                    <w:jc w:val="left"/>
                    <w:rPr>
                      <w:rFonts w:hint="default" w:ascii="Times New Roman" w:hAnsi="Times New Roman" w:cs="Times New Roman"/>
                      <w:szCs w:val="21"/>
                      <w:highlight w:val="none"/>
                    </w:rPr>
                  </w:pPr>
                  <w:r>
                    <w:rPr>
                      <w:rFonts w:hint="default" w:ascii="Times New Roman" w:hAnsi="Times New Roman" w:cs="Times New Roman"/>
                      <w:szCs w:val="21"/>
                      <w:highlight w:val="none"/>
                    </w:rPr>
                    <w:t>对新建项目和依据《山东省发展和改革委员会关于迅速开展</w:t>
                  </w:r>
                  <w:r>
                    <w:rPr>
                      <w:rFonts w:hint="eastAsia" w:cs="Times New Roman"/>
                      <w:szCs w:val="21"/>
                      <w:highlight w:val="none"/>
                      <w:lang w:eastAsia="zh-CN"/>
                    </w:rPr>
                    <w:t>“</w:t>
                  </w:r>
                  <w:r>
                    <w:rPr>
                      <w:rFonts w:hint="default" w:ascii="Times New Roman" w:hAnsi="Times New Roman" w:cs="Times New Roman"/>
                      <w:szCs w:val="21"/>
                      <w:highlight w:val="none"/>
                    </w:rPr>
                    <w:t>两高一资</w:t>
                  </w:r>
                  <w:r>
                    <w:rPr>
                      <w:rFonts w:hint="eastAsia" w:cs="Times New Roman"/>
                      <w:szCs w:val="21"/>
                      <w:highlight w:val="none"/>
                      <w:lang w:eastAsia="zh-CN"/>
                    </w:rPr>
                    <w:t>”</w:t>
                  </w:r>
                  <w:r>
                    <w:rPr>
                      <w:rFonts w:hint="default" w:ascii="Times New Roman" w:hAnsi="Times New Roman" w:cs="Times New Roman"/>
                      <w:szCs w:val="21"/>
                      <w:highlight w:val="none"/>
                    </w:rPr>
                    <w:t>项目核查的通知》（鲁发改工业〔2021〕59号）暂停的项目，实行产能、煤耗、能耗、碳排放、污染物排放</w:t>
                  </w:r>
                  <w:r>
                    <w:rPr>
                      <w:rFonts w:hint="eastAsia" w:cs="Times New Roman"/>
                      <w:szCs w:val="21"/>
                      <w:highlight w:val="none"/>
                      <w:lang w:eastAsia="zh-CN"/>
                    </w:rPr>
                    <w:t>“</w:t>
                  </w:r>
                  <w:r>
                    <w:rPr>
                      <w:rFonts w:hint="default" w:ascii="Times New Roman" w:hAnsi="Times New Roman" w:cs="Times New Roman"/>
                      <w:szCs w:val="21"/>
                      <w:highlight w:val="none"/>
                    </w:rPr>
                    <w:t>五个减量替代</w:t>
                  </w:r>
                  <w:r>
                    <w:rPr>
                      <w:rFonts w:hint="eastAsia" w:cs="Times New Roman"/>
                      <w:szCs w:val="21"/>
                      <w:highlight w:val="none"/>
                      <w:lang w:eastAsia="zh-CN"/>
                    </w:rPr>
                    <w:t>”</w:t>
                  </w:r>
                  <w:r>
                    <w:rPr>
                      <w:rFonts w:hint="default" w:ascii="Times New Roman" w:hAnsi="Times New Roman" w:cs="Times New Roman"/>
                      <w:szCs w:val="21"/>
                      <w:highlight w:val="none"/>
                    </w:rPr>
                    <w:t>，减量替代来源必须可监测、可统计、可复核，否则不得作为替代源。国家统筹布局的或有另行规定的，从其规定。替代比例按《山东省人民政府办公厅关于加强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项目管理的通知》（鲁政办字〔2021〕57号）规定执行。</w:t>
                  </w:r>
                </w:p>
              </w:tc>
              <w:tc>
                <w:tcPr>
                  <w:tcW w:w="1365" w:type="dxa"/>
                  <w:vAlign w:val="center"/>
                </w:tcPr>
                <w:p w14:paraId="207A6289">
                  <w:pPr>
                    <w:pStyle w:val="46"/>
                    <w:spacing w:after="0"/>
                    <w:ind w:left="0" w:leftChars="0" w:firstLine="0" w:firstLineChars="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015" w:type="dxa"/>
                  <w:vAlign w:val="center"/>
                </w:tcPr>
                <w:p w14:paraId="1222E47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5AC6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1179" w:type="dxa"/>
                  <w:vAlign w:val="center"/>
                </w:tcPr>
                <w:p w14:paraId="11747625">
                  <w:pPr>
                    <w:pStyle w:val="46"/>
                    <w:spacing w:after="0"/>
                    <w:ind w:left="0" w:leftChars="0" w:firstLine="0" w:firstLineChars="0"/>
                    <w:jc w:val="center"/>
                    <w:rPr>
                      <w:rFonts w:hint="eastAsia" w:ascii="Times New Roman" w:hAnsi="Times New Roman" w:eastAsia="宋体" w:cs="Times New Roman"/>
                      <w:szCs w:val="21"/>
                      <w:highlight w:val="none"/>
                      <w:lang w:eastAsia="zh-CN"/>
                    </w:rPr>
                  </w:pPr>
                  <w:r>
                    <w:rPr>
                      <w:rFonts w:hint="default" w:ascii="Times New Roman" w:hAnsi="Times New Roman" w:cs="Times New Roman"/>
                      <w:szCs w:val="21"/>
                      <w:highlight w:val="none"/>
                    </w:rPr>
                    <w:t>实施在建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r>
                    <w:rPr>
                      <w:rFonts w:hint="eastAsia" w:cs="Times New Roman"/>
                      <w:szCs w:val="21"/>
                      <w:highlight w:val="none"/>
                      <w:lang w:eastAsia="zh-CN"/>
                    </w:rPr>
                    <w:t>“</w:t>
                  </w:r>
                  <w:r>
                    <w:rPr>
                      <w:rFonts w:hint="default" w:ascii="Times New Roman" w:hAnsi="Times New Roman" w:cs="Times New Roman"/>
                      <w:szCs w:val="21"/>
                      <w:highlight w:val="none"/>
                    </w:rPr>
                    <w:t>三个替代</w:t>
                  </w:r>
                  <w:r>
                    <w:rPr>
                      <w:rFonts w:hint="eastAsia" w:cs="Times New Roman"/>
                      <w:szCs w:val="21"/>
                      <w:highlight w:val="none"/>
                      <w:lang w:eastAsia="zh-CN"/>
                    </w:rPr>
                    <w:t>”</w:t>
                  </w:r>
                </w:p>
              </w:tc>
              <w:tc>
                <w:tcPr>
                  <w:tcW w:w="5320" w:type="dxa"/>
                  <w:vAlign w:val="center"/>
                </w:tcPr>
                <w:p w14:paraId="3BE536FE">
                  <w:pPr>
                    <w:pStyle w:val="46"/>
                    <w:spacing w:after="0"/>
                    <w:ind w:left="0" w:leftChars="0" w:firstLine="0" w:firstLineChars="0"/>
                    <w:jc w:val="left"/>
                    <w:rPr>
                      <w:rFonts w:hint="default" w:ascii="Times New Roman" w:hAnsi="Times New Roman" w:cs="Times New Roman"/>
                      <w:szCs w:val="21"/>
                      <w:highlight w:val="none"/>
                    </w:rPr>
                  </w:pPr>
                  <w:r>
                    <w:rPr>
                      <w:rFonts w:hint="default" w:ascii="Times New Roman" w:hAnsi="Times New Roman" w:cs="Times New Roman"/>
                      <w:szCs w:val="21"/>
                      <w:highlight w:val="none"/>
                    </w:rPr>
                    <w:t>全面梳理压减</w:t>
                  </w:r>
                  <w:r>
                    <w:rPr>
                      <w:rFonts w:hint="eastAsia" w:cs="Times New Roman"/>
                      <w:szCs w:val="21"/>
                      <w:highlight w:val="none"/>
                      <w:lang w:eastAsia="zh-CN"/>
                    </w:rPr>
                    <w:t>“</w:t>
                  </w:r>
                  <w:r>
                    <w:rPr>
                      <w:rFonts w:hint="default" w:ascii="Times New Roman" w:hAnsi="Times New Roman" w:cs="Times New Roman"/>
                      <w:szCs w:val="21"/>
                      <w:highlight w:val="none"/>
                    </w:rPr>
                    <w:t>十四五</w:t>
                  </w:r>
                  <w:r>
                    <w:rPr>
                      <w:rFonts w:hint="eastAsia" w:cs="Times New Roman"/>
                      <w:szCs w:val="21"/>
                      <w:highlight w:val="none"/>
                      <w:lang w:eastAsia="zh-CN"/>
                    </w:rPr>
                    <w:t>”</w:t>
                  </w:r>
                  <w:r>
                    <w:rPr>
                      <w:rFonts w:hint="default" w:ascii="Times New Roman" w:hAnsi="Times New Roman" w:cs="Times New Roman"/>
                      <w:szCs w:val="21"/>
                      <w:highlight w:val="none"/>
                    </w:rPr>
                    <w:t>全省拟投产达产的</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项目，摸清项目设计、腾出、新增能耗煤耗和污染物排放量。依据《山东省发展和改革委员会关于迅速开展</w:t>
                  </w:r>
                  <w:r>
                    <w:rPr>
                      <w:rFonts w:hint="eastAsia" w:cs="Times New Roman"/>
                      <w:szCs w:val="21"/>
                      <w:highlight w:val="none"/>
                      <w:lang w:eastAsia="zh-CN"/>
                    </w:rPr>
                    <w:t>“</w:t>
                  </w:r>
                  <w:r>
                    <w:rPr>
                      <w:rFonts w:hint="default" w:ascii="Times New Roman" w:hAnsi="Times New Roman" w:cs="Times New Roman"/>
                      <w:szCs w:val="21"/>
                      <w:highlight w:val="none"/>
                    </w:rPr>
                    <w:t>两高一资</w:t>
                  </w:r>
                  <w:r>
                    <w:rPr>
                      <w:rFonts w:hint="eastAsia" w:cs="Times New Roman"/>
                      <w:szCs w:val="21"/>
                      <w:highlight w:val="none"/>
                      <w:lang w:eastAsia="zh-CN"/>
                    </w:rPr>
                    <w:t>”</w:t>
                  </w:r>
                  <w:r>
                    <w:rPr>
                      <w:rFonts w:hint="default" w:ascii="Times New Roman" w:hAnsi="Times New Roman" w:cs="Times New Roman"/>
                      <w:szCs w:val="21"/>
                      <w:highlight w:val="none"/>
                    </w:rPr>
                    <w:t>项目核查的通知》（鲁发改工业〔2021〕59号），对2021年1月23日前依法开工建设、未建成投产的项目，由各市统筹考虑本地能耗煤耗指标和环境容量，制定项目替代方案或区域替代方案，确保</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行业能耗煤耗总量只减不增、污染物排放总量符合规定要求。没有制定替代方案有效消化增量的，不得继续建设，不得新上马</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365" w:type="dxa"/>
                  <w:vAlign w:val="center"/>
                </w:tcPr>
                <w:p w14:paraId="637B8809">
                  <w:pPr>
                    <w:pStyle w:val="46"/>
                    <w:spacing w:after="0"/>
                    <w:ind w:left="0" w:leftChars="0" w:firstLine="0" w:firstLineChars="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项目，不使用煤粉煤炭。</w:t>
                  </w:r>
                </w:p>
              </w:tc>
              <w:tc>
                <w:tcPr>
                  <w:tcW w:w="1015" w:type="dxa"/>
                  <w:vAlign w:val="center"/>
                </w:tcPr>
                <w:p w14:paraId="151EB25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A839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79" w:type="dxa"/>
                  <w:vAlign w:val="center"/>
                </w:tcPr>
                <w:p w14:paraId="52883BF7">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项目信息化监管</w:t>
                  </w:r>
                </w:p>
              </w:tc>
              <w:tc>
                <w:tcPr>
                  <w:tcW w:w="5320" w:type="dxa"/>
                  <w:vAlign w:val="center"/>
                </w:tcPr>
                <w:p w14:paraId="4F714201">
                  <w:pPr>
                    <w:pStyle w:val="46"/>
                    <w:spacing w:after="0"/>
                    <w:ind w:left="0" w:leftChars="0" w:firstLine="0" w:firstLineChars="0"/>
                    <w:jc w:val="left"/>
                    <w:rPr>
                      <w:rFonts w:hint="default" w:ascii="Times New Roman" w:hAnsi="Times New Roman" w:cs="Times New Roman"/>
                      <w:szCs w:val="21"/>
                      <w:highlight w:val="none"/>
                    </w:rPr>
                  </w:pPr>
                  <w:r>
                    <w:rPr>
                      <w:rFonts w:hint="default" w:ascii="Times New Roman" w:hAnsi="Times New Roman" w:cs="Times New Roman"/>
                      <w:szCs w:val="21"/>
                      <w:highlight w:val="none"/>
                    </w:rPr>
                    <w:t>完善投资项目在线审批监管平台，建立新建项目实时电子台账，实现动态监管、全程监测。各级审批机关指导项目建设单位，根据国民经济行业分类合理确定项目所属行业，客观、准确、完整填报项目信息。项目信息应当包含产能、煤耗、能耗、碳排放、污染物排放和减量替代情况，以及建设期限、建设内容、开工建设、建设进度、竣工验收等情况；项目建设内容，必须明确生产规模、产品方案、工艺技术和流程、主要设备及选型、原材料及来源等。</w:t>
                  </w:r>
                </w:p>
              </w:tc>
              <w:tc>
                <w:tcPr>
                  <w:tcW w:w="1365" w:type="dxa"/>
                  <w:vAlign w:val="center"/>
                </w:tcPr>
                <w:p w14:paraId="46FE00F2">
                  <w:pPr>
                    <w:pStyle w:val="46"/>
                    <w:spacing w:after="0"/>
                    <w:ind w:left="0" w:leftChars="0" w:firstLine="0" w:firstLineChars="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015" w:type="dxa"/>
                  <w:vAlign w:val="center"/>
                </w:tcPr>
                <w:p w14:paraId="197722E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CC4F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4" w:hRule="atLeast"/>
                <w:jc w:val="center"/>
              </w:trPr>
              <w:tc>
                <w:tcPr>
                  <w:tcW w:w="1179" w:type="dxa"/>
                  <w:vAlign w:val="center"/>
                </w:tcPr>
                <w:p w14:paraId="764BF0DD">
                  <w:pPr>
                    <w:pStyle w:val="46"/>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项目能效管理</w:t>
                  </w:r>
                </w:p>
              </w:tc>
              <w:tc>
                <w:tcPr>
                  <w:tcW w:w="5320" w:type="dxa"/>
                  <w:vAlign w:val="center"/>
                </w:tcPr>
                <w:p w14:paraId="5A64365C">
                  <w:pPr>
                    <w:pStyle w:val="46"/>
                    <w:spacing w:after="0"/>
                    <w:ind w:left="0" w:leftChars="0" w:firstLine="0" w:firstLineChars="0"/>
                    <w:jc w:val="left"/>
                    <w:rPr>
                      <w:rFonts w:hint="default" w:ascii="Times New Roman" w:hAnsi="Times New Roman" w:cs="Times New Roman"/>
                      <w:szCs w:val="21"/>
                      <w:highlight w:val="none"/>
                    </w:rPr>
                  </w:pPr>
                  <w:r>
                    <w:rPr>
                      <w:rFonts w:hint="default" w:ascii="Times New Roman" w:hAnsi="Times New Roman" w:cs="Times New Roman"/>
                      <w:szCs w:val="21"/>
                      <w:highlight w:val="none"/>
                    </w:rPr>
                    <w:t>对存量项目，纳入重点用能单位能耗在线监测系统，开展节能监察行动，逐一核实能耗、煤耗数据，有节能减排潜力的，督促企业实施节能改造提升；对在建项目，主要产品能效水平低于本行业能耗限额准入值的，依法依规责令停建整改，整改到位前不得续建。</w:t>
                  </w:r>
                </w:p>
              </w:tc>
              <w:tc>
                <w:tcPr>
                  <w:tcW w:w="1365" w:type="dxa"/>
                  <w:vAlign w:val="center"/>
                </w:tcPr>
                <w:p w14:paraId="51864CCD">
                  <w:pPr>
                    <w:pStyle w:val="46"/>
                    <w:spacing w:after="0"/>
                    <w:ind w:left="0" w:leftChars="0" w:firstLine="0" w:firstLineChars="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本项目不属于</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1015" w:type="dxa"/>
                  <w:vAlign w:val="center"/>
                </w:tcPr>
                <w:p w14:paraId="283D251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3AEA1923">
            <w:pPr>
              <w:pStyle w:val="153"/>
              <w:spacing w:before="120" w:beforeLines="50"/>
              <w:ind w:firstLine="482"/>
              <w:rPr>
                <w:rFonts w:hint="default" w:ascii="Times New Roman" w:hAnsi="Times New Roman" w:cs="Times New Roman"/>
                <w:highlight w:val="none"/>
              </w:rPr>
            </w:pPr>
            <w:r>
              <w:rPr>
                <w:rFonts w:hint="eastAsia" w:ascii="Times New Roman" w:hAnsi="Times New Roman" w:cs="Times New Roman"/>
                <w:b/>
                <w:bCs/>
                <w:highlight w:val="none"/>
                <w:lang w:val="en-US" w:eastAsia="zh-CN"/>
              </w:rPr>
              <w:t>7</w:t>
            </w:r>
            <w:r>
              <w:rPr>
                <w:rFonts w:hint="default" w:ascii="Times New Roman" w:hAnsi="Times New Roman" w:cs="Times New Roman"/>
                <w:b/>
                <w:bCs/>
                <w:highlight w:val="none"/>
              </w:rPr>
              <w:t>、与《山东省环境保护条例》符合性分析</w:t>
            </w:r>
          </w:p>
          <w:p w14:paraId="41D31A39">
            <w:pPr>
              <w:pStyle w:val="155"/>
              <w:spacing w:line="240" w:lineRule="auto"/>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表1-</w:t>
            </w:r>
            <w:r>
              <w:rPr>
                <w:rFonts w:hint="eastAsia" w:ascii="Times New Roman" w:hAnsi="Times New Roman" w:eastAsia="宋体" w:cs="Times New Roman"/>
                <w:b/>
                <w:bCs/>
                <w:highlight w:val="none"/>
                <w:lang w:val="en-US" w:eastAsia="zh-CN"/>
              </w:rPr>
              <w:t>6</w:t>
            </w:r>
            <w:r>
              <w:rPr>
                <w:rFonts w:hint="default" w:ascii="Times New Roman" w:hAnsi="Times New Roman" w:eastAsia="宋体" w:cs="Times New Roman"/>
                <w:b/>
                <w:bCs/>
                <w:highlight w:val="none"/>
              </w:rPr>
              <w:t xml:space="preserve">  项目与《山东省环境保护条例》符合性分析</w:t>
            </w:r>
          </w:p>
          <w:tbl>
            <w:tblPr>
              <w:tblStyle w:val="47"/>
              <w:tblW w:w="8910" w:type="dxa"/>
              <w:tblInd w:w="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25"/>
              <w:gridCol w:w="4649"/>
              <w:gridCol w:w="2090"/>
              <w:gridCol w:w="1046"/>
            </w:tblGrid>
            <w:tr w14:paraId="70C5F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31" w:type="pct"/>
                  <w:tcBorders>
                    <w:tl2br w:val="nil"/>
                    <w:tr2bl w:val="nil"/>
                  </w:tcBorders>
                  <w:shd w:val="clear" w:color="auto" w:fill="auto"/>
                  <w:vAlign w:val="center"/>
                </w:tcPr>
                <w:p w14:paraId="5AA1D39F">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条目</w:t>
                  </w:r>
                </w:p>
              </w:tc>
              <w:tc>
                <w:tcPr>
                  <w:tcW w:w="2609" w:type="pct"/>
                  <w:tcBorders>
                    <w:tl2br w:val="nil"/>
                    <w:tr2bl w:val="nil"/>
                  </w:tcBorders>
                  <w:shd w:val="clear" w:color="auto" w:fill="auto"/>
                  <w:vAlign w:val="center"/>
                </w:tcPr>
                <w:p w14:paraId="0D406F94">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相关要求</w:t>
                  </w:r>
                </w:p>
              </w:tc>
              <w:tc>
                <w:tcPr>
                  <w:tcW w:w="1173" w:type="pct"/>
                  <w:tcBorders>
                    <w:tl2br w:val="nil"/>
                    <w:tr2bl w:val="nil"/>
                  </w:tcBorders>
                  <w:shd w:val="clear" w:color="auto" w:fill="auto"/>
                  <w:vAlign w:val="center"/>
                </w:tcPr>
                <w:p w14:paraId="7C053B0E">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符合情况</w:t>
                  </w:r>
                </w:p>
              </w:tc>
              <w:tc>
                <w:tcPr>
                  <w:tcW w:w="584" w:type="pct"/>
                  <w:tcBorders>
                    <w:tl2br w:val="nil"/>
                    <w:tr2bl w:val="nil"/>
                  </w:tcBorders>
                  <w:shd w:val="clear" w:color="auto" w:fill="auto"/>
                  <w:vAlign w:val="center"/>
                </w:tcPr>
                <w:p w14:paraId="6FB7946D">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符合性</w:t>
                  </w:r>
                </w:p>
              </w:tc>
            </w:tr>
            <w:tr w14:paraId="38CEB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5000" w:type="pct"/>
                  <w:gridSpan w:val="4"/>
                  <w:tcBorders>
                    <w:tl2br w:val="nil"/>
                    <w:tr2bl w:val="nil"/>
                  </w:tcBorders>
                  <w:shd w:val="clear" w:color="auto" w:fill="auto"/>
                  <w:vAlign w:val="center"/>
                </w:tcPr>
                <w:p w14:paraId="76551335">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第二章监督管理</w:t>
                  </w:r>
                </w:p>
              </w:tc>
            </w:tr>
            <w:tr w14:paraId="6324D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631" w:type="pct"/>
                  <w:tcBorders>
                    <w:tl2br w:val="nil"/>
                    <w:tr2bl w:val="nil"/>
                  </w:tcBorders>
                  <w:vAlign w:val="center"/>
                </w:tcPr>
                <w:p w14:paraId="6E9E3CED">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第十七条</w:t>
                  </w:r>
                </w:p>
              </w:tc>
              <w:tc>
                <w:tcPr>
                  <w:tcW w:w="2609" w:type="pct"/>
                  <w:tcBorders>
                    <w:tl2br w:val="nil"/>
                    <w:tr2bl w:val="nil"/>
                  </w:tcBorders>
                  <w:vAlign w:val="center"/>
                </w:tcPr>
                <w:p w14:paraId="479441B0">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实行排污许可管理制度。纳入排污许可管理目录的排污单位，应当依法申请领取排污许可证。未取得排污许可证的，不得排放污染物。</w:t>
                  </w:r>
                </w:p>
              </w:tc>
              <w:tc>
                <w:tcPr>
                  <w:tcW w:w="1173" w:type="pct"/>
                  <w:tcBorders>
                    <w:tl2br w:val="nil"/>
                    <w:tr2bl w:val="nil"/>
                  </w:tcBorders>
                  <w:vAlign w:val="center"/>
                </w:tcPr>
                <w:p w14:paraId="1DA8E4DE">
                  <w:pPr>
                    <w:pStyle w:val="235"/>
                    <w:spacing w:line="245" w:lineRule="auto"/>
                    <w:rPr>
                      <w:rFonts w:hint="eastAsia" w:ascii="Times New Roman" w:hAnsi="Times New Roman" w:eastAsia="宋体" w:cs="Times New Roman"/>
                      <w:bCs/>
                      <w:snapToGrid w:val="0"/>
                      <w:highlight w:val="none"/>
                      <w:lang w:eastAsia="zh-CN"/>
                    </w:rPr>
                  </w:pPr>
                  <w:r>
                    <w:rPr>
                      <w:rFonts w:hint="default" w:ascii="Times New Roman" w:hAnsi="Times New Roman" w:eastAsia="宋体" w:cs="Times New Roman"/>
                      <w:sz w:val="21"/>
                      <w:szCs w:val="21"/>
                      <w:highlight w:val="none"/>
                    </w:rPr>
                    <w:t>企业严格落实排污许可制度</w:t>
                  </w:r>
                  <w:r>
                    <w:rPr>
                      <w:rFonts w:hint="eastAsia" w:cs="Times New Roman"/>
                      <w:sz w:val="21"/>
                      <w:szCs w:val="21"/>
                      <w:highlight w:val="none"/>
                      <w:lang w:eastAsia="zh-CN"/>
                    </w:rPr>
                    <w:t>。</w:t>
                  </w:r>
                </w:p>
              </w:tc>
              <w:tc>
                <w:tcPr>
                  <w:tcW w:w="584" w:type="pct"/>
                  <w:tcBorders>
                    <w:tl2br w:val="nil"/>
                    <w:tr2bl w:val="nil"/>
                  </w:tcBorders>
                  <w:vAlign w:val="center"/>
                </w:tcPr>
                <w:p w14:paraId="7360C9A6">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r w14:paraId="4BB50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631" w:type="pct"/>
                  <w:tcBorders>
                    <w:tl2br w:val="nil"/>
                    <w:tr2bl w:val="nil"/>
                  </w:tcBorders>
                  <w:vAlign w:val="center"/>
                </w:tcPr>
                <w:p w14:paraId="1854CBAF">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第十八条</w:t>
                  </w:r>
                </w:p>
              </w:tc>
              <w:tc>
                <w:tcPr>
                  <w:tcW w:w="2609" w:type="pct"/>
                  <w:tcBorders>
                    <w:tl2br w:val="nil"/>
                    <w:tr2bl w:val="nil"/>
                  </w:tcBorders>
                  <w:vAlign w:val="center"/>
                </w:tcPr>
                <w:p w14:paraId="0816C169">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173" w:type="pct"/>
                  <w:tcBorders>
                    <w:tl2br w:val="nil"/>
                    <w:tr2bl w:val="nil"/>
                  </w:tcBorders>
                  <w:vAlign w:val="center"/>
                </w:tcPr>
                <w:p w14:paraId="6C067B89">
                  <w:pPr>
                    <w:pStyle w:val="235"/>
                    <w:spacing w:line="245" w:lineRule="auto"/>
                    <w:rPr>
                      <w:rFonts w:hint="default" w:ascii="Times New Roman" w:hAnsi="Times New Roman" w:cs="Times New Roman"/>
                      <w:bCs/>
                      <w:snapToGrid w:val="0"/>
                      <w:highlight w:val="none"/>
                    </w:rPr>
                  </w:pPr>
                  <w:r>
                    <w:rPr>
                      <w:rFonts w:hint="default" w:ascii="Times New Roman" w:hAnsi="Times New Roman" w:cs="Times New Roman"/>
                      <w:bCs/>
                      <w:snapToGrid w:val="0"/>
                      <w:highlight w:val="none"/>
                    </w:rPr>
                    <w:t>项目依法进行环境影响评价</w:t>
                  </w:r>
                </w:p>
              </w:tc>
              <w:tc>
                <w:tcPr>
                  <w:tcW w:w="584" w:type="pct"/>
                  <w:tcBorders>
                    <w:tl2br w:val="nil"/>
                    <w:tr2bl w:val="nil"/>
                  </w:tcBorders>
                  <w:vAlign w:val="center"/>
                </w:tcPr>
                <w:p w14:paraId="4FBE1EEB">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r w14:paraId="34EE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5000" w:type="pct"/>
                  <w:gridSpan w:val="4"/>
                  <w:tcBorders>
                    <w:tl2br w:val="nil"/>
                    <w:tr2bl w:val="nil"/>
                  </w:tcBorders>
                  <w:vAlign w:val="center"/>
                </w:tcPr>
                <w:p w14:paraId="7B458437">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第四章防治污染和其他公害</w:t>
                  </w:r>
                </w:p>
              </w:tc>
            </w:tr>
            <w:tr w14:paraId="66E27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631" w:type="pct"/>
                  <w:tcBorders>
                    <w:tl2br w:val="nil"/>
                    <w:tr2bl w:val="nil"/>
                  </w:tcBorders>
                  <w:vAlign w:val="center"/>
                </w:tcPr>
                <w:p w14:paraId="2D47F204">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第四十四条</w:t>
                  </w:r>
                </w:p>
              </w:tc>
              <w:tc>
                <w:tcPr>
                  <w:tcW w:w="2609" w:type="pct"/>
                  <w:tcBorders>
                    <w:tl2br w:val="nil"/>
                    <w:tr2bl w:val="nil"/>
                  </w:tcBorders>
                  <w:vAlign w:val="center"/>
                </w:tcPr>
                <w:p w14:paraId="3C1C5F2A">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173" w:type="pct"/>
                  <w:tcBorders>
                    <w:tl2br w:val="nil"/>
                    <w:tr2bl w:val="nil"/>
                  </w:tcBorders>
                  <w:vAlign w:val="center"/>
                </w:tcPr>
                <w:p w14:paraId="277BB4B0">
                  <w:pPr>
                    <w:pStyle w:val="235"/>
                    <w:spacing w:line="245" w:lineRule="auto"/>
                    <w:rPr>
                      <w:rFonts w:hint="default" w:ascii="Times New Roman" w:hAnsi="Times New Roman" w:cs="Times New Roman"/>
                      <w:bCs/>
                      <w:snapToGrid w:val="0"/>
                      <w:highlight w:val="none"/>
                    </w:rPr>
                  </w:pPr>
                  <w:r>
                    <w:rPr>
                      <w:rFonts w:hint="default" w:ascii="Times New Roman" w:hAnsi="Times New Roman" w:cs="Times New Roman"/>
                      <w:bCs/>
                      <w:highlight w:val="none"/>
                    </w:rPr>
                    <w:t>项目位于</w:t>
                  </w:r>
                  <w:r>
                    <w:rPr>
                      <w:rFonts w:hint="eastAsia" w:cs="Times New Roman"/>
                      <w:bCs/>
                      <w:highlight w:val="none"/>
                      <w:lang w:eastAsia="zh-CN"/>
                    </w:rPr>
                    <w:t>凤凰镇梧台工业集聚区</w:t>
                  </w:r>
                  <w:r>
                    <w:rPr>
                      <w:rFonts w:hint="default" w:ascii="Times New Roman" w:hAnsi="Times New Roman" w:cs="Times New Roman"/>
                      <w:bCs/>
                      <w:highlight w:val="none"/>
                    </w:rPr>
                    <w:t>内</w:t>
                  </w:r>
                </w:p>
              </w:tc>
              <w:tc>
                <w:tcPr>
                  <w:tcW w:w="584" w:type="pct"/>
                  <w:tcBorders>
                    <w:tl2br w:val="nil"/>
                    <w:tr2bl w:val="nil"/>
                  </w:tcBorders>
                  <w:vAlign w:val="center"/>
                </w:tcPr>
                <w:p w14:paraId="4FCF8307">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r w14:paraId="0FBE2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631" w:type="pct"/>
                  <w:tcBorders>
                    <w:tl2br w:val="nil"/>
                    <w:tr2bl w:val="nil"/>
                  </w:tcBorders>
                  <w:vAlign w:val="center"/>
                </w:tcPr>
                <w:p w14:paraId="199AAE28">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第四十五条</w:t>
                  </w:r>
                </w:p>
              </w:tc>
              <w:tc>
                <w:tcPr>
                  <w:tcW w:w="2609" w:type="pct"/>
                  <w:tcBorders>
                    <w:tl2br w:val="nil"/>
                    <w:tr2bl w:val="nil"/>
                  </w:tcBorders>
                  <w:vAlign w:val="center"/>
                </w:tcPr>
                <w:p w14:paraId="5E17F019">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w:t>
                  </w:r>
                </w:p>
              </w:tc>
              <w:tc>
                <w:tcPr>
                  <w:tcW w:w="1173" w:type="pct"/>
                  <w:tcBorders>
                    <w:tl2br w:val="nil"/>
                    <w:tr2bl w:val="nil"/>
                  </w:tcBorders>
                  <w:vAlign w:val="center"/>
                </w:tcPr>
                <w:p w14:paraId="5762D86E">
                  <w:pPr>
                    <w:pStyle w:val="235"/>
                    <w:spacing w:line="245" w:lineRule="auto"/>
                    <w:rPr>
                      <w:rFonts w:hint="default" w:ascii="Times New Roman" w:hAnsi="Times New Roman" w:cs="Times New Roman"/>
                      <w:bCs/>
                      <w:snapToGrid w:val="0"/>
                      <w:highlight w:val="none"/>
                    </w:rPr>
                  </w:pPr>
                  <w:r>
                    <w:rPr>
                      <w:rFonts w:hint="default" w:ascii="Times New Roman" w:hAnsi="Times New Roman" w:cs="Times New Roman"/>
                      <w:bCs/>
                      <w:snapToGrid w:val="0"/>
                      <w:highlight w:val="none"/>
                    </w:rPr>
                    <w:t>项目针对可能产生的废气、废水、固废等采取可行的防治措施，不</w:t>
                  </w:r>
                  <w:r>
                    <w:rPr>
                      <w:rFonts w:hint="eastAsia" w:cs="Times New Roman"/>
                      <w:bCs/>
                      <w:snapToGrid w:val="0"/>
                      <w:highlight w:val="none"/>
                      <w:lang w:eastAsia="zh-CN"/>
                    </w:rPr>
                    <w:t>超过</w:t>
                  </w:r>
                  <w:r>
                    <w:rPr>
                      <w:rFonts w:hint="default" w:ascii="Times New Roman" w:hAnsi="Times New Roman" w:cs="Times New Roman"/>
                      <w:bCs/>
                      <w:snapToGrid w:val="0"/>
                      <w:highlight w:val="none"/>
                    </w:rPr>
                    <w:t>总量指标</w:t>
                  </w:r>
                </w:p>
              </w:tc>
              <w:tc>
                <w:tcPr>
                  <w:tcW w:w="584" w:type="pct"/>
                  <w:tcBorders>
                    <w:tl2br w:val="nil"/>
                    <w:tr2bl w:val="nil"/>
                  </w:tcBorders>
                  <w:vAlign w:val="center"/>
                </w:tcPr>
                <w:p w14:paraId="0615DCA4">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r w14:paraId="5DDC1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631" w:type="pct"/>
                  <w:tcBorders>
                    <w:tl2br w:val="nil"/>
                    <w:tr2bl w:val="nil"/>
                  </w:tcBorders>
                  <w:vAlign w:val="center"/>
                </w:tcPr>
                <w:p w14:paraId="0D4C6230">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第四十六条</w:t>
                  </w:r>
                </w:p>
              </w:tc>
              <w:tc>
                <w:tcPr>
                  <w:tcW w:w="2609" w:type="pct"/>
                  <w:tcBorders>
                    <w:tl2br w:val="nil"/>
                    <w:tr2bl w:val="nil"/>
                  </w:tcBorders>
                  <w:vAlign w:val="center"/>
                </w:tcPr>
                <w:p w14:paraId="465F70C0">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新建、改建、扩建建设项目，应当根据环境影响评价文件以及生态环境主管部门审批决定的要求建设环境保护设施、落实环境保护措施。</w:t>
                  </w:r>
                </w:p>
                <w:p w14:paraId="5675611F">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环境保护设施应当与主体工程同时设计、同时施工、同时投产使用。</w:t>
                  </w:r>
                </w:p>
              </w:tc>
              <w:tc>
                <w:tcPr>
                  <w:tcW w:w="1173" w:type="pct"/>
                  <w:tcBorders>
                    <w:tl2br w:val="nil"/>
                    <w:tr2bl w:val="nil"/>
                  </w:tcBorders>
                  <w:vAlign w:val="center"/>
                </w:tcPr>
                <w:p w14:paraId="701BC743">
                  <w:pPr>
                    <w:pStyle w:val="235"/>
                    <w:spacing w:line="245" w:lineRule="auto"/>
                    <w:rPr>
                      <w:rFonts w:hint="default" w:ascii="Times New Roman" w:hAnsi="Times New Roman" w:cs="Times New Roman"/>
                      <w:bCs/>
                      <w:snapToGrid w:val="0"/>
                      <w:highlight w:val="none"/>
                    </w:rPr>
                  </w:pPr>
                  <w:r>
                    <w:rPr>
                      <w:rFonts w:hint="default" w:ascii="Times New Roman" w:hAnsi="Times New Roman" w:cs="Times New Roman"/>
                      <w:bCs/>
                      <w:snapToGrid w:val="0"/>
                      <w:highlight w:val="none"/>
                    </w:rPr>
                    <w:t>项目环境保护设施与主体工程同时设计、同时施工、同时投产使用</w:t>
                  </w:r>
                </w:p>
              </w:tc>
              <w:tc>
                <w:tcPr>
                  <w:tcW w:w="584" w:type="pct"/>
                  <w:tcBorders>
                    <w:tl2br w:val="nil"/>
                    <w:tr2bl w:val="nil"/>
                  </w:tcBorders>
                  <w:vAlign w:val="center"/>
                </w:tcPr>
                <w:p w14:paraId="74B84FD8">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bl>
          <w:p w14:paraId="5E87C644">
            <w:pPr>
              <w:pStyle w:val="153"/>
              <w:spacing w:before="120" w:beforeLines="50"/>
              <w:ind w:firstLine="482"/>
              <w:rPr>
                <w:rFonts w:hint="default" w:ascii="Times New Roman" w:hAnsi="Times New Roman" w:cs="Times New Roman"/>
                <w:b/>
                <w:bCs/>
                <w:highlight w:val="none"/>
              </w:rPr>
            </w:pPr>
            <w:r>
              <w:rPr>
                <w:rFonts w:hint="eastAsia" w:ascii="Times New Roman" w:hAnsi="Times New Roman" w:cs="Times New Roman"/>
                <w:b/>
                <w:bCs/>
                <w:highlight w:val="none"/>
                <w:lang w:val="en-US" w:eastAsia="zh-CN"/>
              </w:rPr>
              <w:t>8</w:t>
            </w:r>
            <w:r>
              <w:rPr>
                <w:rFonts w:hint="default" w:ascii="Times New Roman" w:hAnsi="Times New Roman" w:cs="Times New Roman"/>
                <w:b/>
                <w:bCs/>
                <w:highlight w:val="none"/>
              </w:rPr>
              <w:t>、项目与《山东省深入打好蓝天保卫战行动计划（2021-2025年）》（鲁环委办〔2021〕30号）、《山东省深入打好碧水保卫战行动计划（2021-2025年）》（鲁环委办〔2021〕30号）、《山东省深入打好净土保卫战行动计划（2021-2025年）》（鲁环委办〔2021〕30号）符合性分析</w:t>
            </w:r>
          </w:p>
          <w:p w14:paraId="19CDF9AB">
            <w:pPr>
              <w:pStyle w:val="153"/>
              <w:spacing w:before="120" w:beforeLines="50"/>
              <w:ind w:firstLine="0" w:firstLineChars="0"/>
              <w:jc w:val="center"/>
              <w:rPr>
                <w:rFonts w:hint="default" w:ascii="Times New Roman" w:hAnsi="Times New Roman" w:cs="Times New Roman"/>
                <w:b/>
                <w:bCs/>
                <w:highlight w:val="none"/>
              </w:rPr>
            </w:pPr>
            <w:r>
              <w:rPr>
                <w:rFonts w:hint="default" w:ascii="Times New Roman" w:hAnsi="Times New Roman" w:cs="Times New Roman"/>
                <w:b/>
                <w:bCs/>
                <w:highlight w:val="none"/>
              </w:rPr>
              <w:t>表1-</w:t>
            </w:r>
            <w:r>
              <w:rPr>
                <w:rFonts w:hint="eastAsia" w:ascii="Times New Roman" w:hAnsi="Times New Roman" w:cs="Times New Roman"/>
                <w:b/>
                <w:bCs/>
                <w:highlight w:val="none"/>
                <w:lang w:val="en-US" w:eastAsia="zh-CN"/>
              </w:rPr>
              <w:t>7</w:t>
            </w:r>
            <w:r>
              <w:rPr>
                <w:rFonts w:hint="default" w:ascii="Times New Roman" w:hAnsi="Times New Roman" w:cs="Times New Roman"/>
                <w:b/>
                <w:bCs/>
                <w:highlight w:val="none"/>
              </w:rPr>
              <w:t xml:space="preserve">  </w:t>
            </w:r>
            <w:r>
              <w:rPr>
                <w:rFonts w:hint="default" w:ascii="Times New Roman" w:hAnsi="Times New Roman" w:cs="Times New Roman"/>
                <w:b/>
                <w:bCs/>
                <w:szCs w:val="21"/>
                <w:highlight w:val="none"/>
              </w:rPr>
              <w:t>项目鲁环委办〔2021〕30号符合性分析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6247"/>
              <w:gridCol w:w="1266"/>
              <w:gridCol w:w="832"/>
            </w:tblGrid>
            <w:tr w14:paraId="7B090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0DEFDC3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6247" w:type="dxa"/>
                  <w:tcBorders>
                    <w:tl2br w:val="nil"/>
                    <w:tr2bl w:val="nil"/>
                  </w:tcBorders>
                  <w:vAlign w:val="center"/>
                </w:tcPr>
                <w:p w14:paraId="45E0855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通知内容</w:t>
                  </w:r>
                </w:p>
              </w:tc>
              <w:tc>
                <w:tcPr>
                  <w:tcW w:w="1266" w:type="dxa"/>
                  <w:tcBorders>
                    <w:tl2br w:val="nil"/>
                    <w:tr2bl w:val="nil"/>
                  </w:tcBorders>
                  <w:vAlign w:val="center"/>
                </w:tcPr>
                <w:p w14:paraId="5169615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项目情况</w:t>
                  </w:r>
                </w:p>
              </w:tc>
              <w:tc>
                <w:tcPr>
                  <w:tcW w:w="832" w:type="dxa"/>
                  <w:tcBorders>
                    <w:tl2br w:val="nil"/>
                    <w:tr2bl w:val="nil"/>
                  </w:tcBorders>
                  <w:vAlign w:val="center"/>
                </w:tcPr>
                <w:p w14:paraId="52C8C3B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符合性</w:t>
                  </w:r>
                </w:p>
              </w:tc>
            </w:tr>
            <w:tr w14:paraId="309A2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254F802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247" w:type="dxa"/>
                  <w:tcBorders>
                    <w:tl2br w:val="nil"/>
                    <w:tr2bl w:val="nil"/>
                  </w:tcBorders>
                  <w:vAlign w:val="center"/>
                </w:tcPr>
                <w:p w14:paraId="75F397A7">
                  <w:pPr>
                    <w:rPr>
                      <w:rFonts w:hint="default" w:ascii="Times New Roman" w:hAnsi="Times New Roman" w:cs="Times New Roman"/>
                      <w:szCs w:val="21"/>
                      <w:highlight w:val="none"/>
                    </w:rPr>
                  </w:pPr>
                  <w:r>
                    <w:rPr>
                      <w:rStyle w:val="51"/>
                      <w:rFonts w:hint="default" w:ascii="Times New Roman" w:hAnsi="Times New Roman" w:cs="Times New Roman"/>
                      <w:szCs w:val="21"/>
                      <w:highlight w:val="none"/>
                    </w:rPr>
                    <w:t xml:space="preserve">淘汰低效落后产能 </w:t>
                  </w:r>
                  <w:r>
                    <w:rPr>
                      <w:rFonts w:hint="default" w:ascii="Times New Roman" w:hAnsi="Times New Roman" w:cs="Times New Roman"/>
                      <w:szCs w:val="21"/>
                      <w:highlight w:val="none"/>
                    </w:rPr>
                    <w:t>聚焦钢铁、地炼、焦化、煤电、水泥、轮胎、煤炭、化工8个重点行业，加快淘汰低效落后产能。严格执行质量、环保、能耗、安全等法规标准，按照《产业结构调整指导目录》，对</w:t>
                  </w:r>
                  <w:r>
                    <w:rPr>
                      <w:rFonts w:hint="eastAsia" w:cs="Times New Roman"/>
                      <w:szCs w:val="21"/>
                      <w:highlight w:val="none"/>
                      <w:lang w:eastAsia="zh-CN"/>
                    </w:rPr>
                    <w:t>“</w:t>
                  </w:r>
                  <w:r>
                    <w:rPr>
                      <w:rFonts w:hint="default" w:ascii="Times New Roman" w:hAnsi="Times New Roman" w:cs="Times New Roman"/>
                      <w:szCs w:val="21"/>
                      <w:highlight w:val="none"/>
                    </w:rPr>
                    <w:t>淘汰类</w:t>
                  </w:r>
                  <w:r>
                    <w:rPr>
                      <w:rFonts w:hint="eastAsia" w:cs="Times New Roman"/>
                      <w:szCs w:val="21"/>
                      <w:highlight w:val="none"/>
                      <w:lang w:eastAsia="zh-CN"/>
                    </w:rPr>
                    <w:t>”</w:t>
                  </w:r>
                  <w:r>
                    <w:rPr>
                      <w:rFonts w:hint="default" w:ascii="Times New Roman" w:hAnsi="Times New Roman" w:cs="Times New Roman"/>
                      <w:szCs w:val="21"/>
                      <w:highlight w:val="none"/>
                    </w:rPr>
                    <w:t>落后生产工艺装备和落后产品全部淘汰出清。各市聚焦</w:t>
                  </w:r>
                  <w:r>
                    <w:rPr>
                      <w:rFonts w:hint="eastAsia" w:cs="Times New Roman"/>
                      <w:szCs w:val="21"/>
                      <w:highlight w:val="none"/>
                      <w:lang w:eastAsia="zh-CN"/>
                    </w:rPr>
                    <w:t>“</w:t>
                  </w:r>
                  <w:r>
                    <w:rPr>
                      <w:rFonts w:hint="default" w:ascii="Times New Roman" w:hAnsi="Times New Roman" w:cs="Times New Roman"/>
                      <w:szCs w:val="21"/>
                      <w:highlight w:val="none"/>
                    </w:rPr>
                    <w:t>高耗能、高污染、高排放、高风险</w:t>
                  </w:r>
                  <w:r>
                    <w:rPr>
                      <w:rFonts w:hint="eastAsia" w:cs="Times New Roman"/>
                      <w:szCs w:val="21"/>
                      <w:highlight w:val="none"/>
                      <w:lang w:eastAsia="zh-CN"/>
                    </w:rPr>
                    <w:t>”</w:t>
                  </w:r>
                  <w:r>
                    <w:rPr>
                      <w:rFonts w:hint="default" w:ascii="Times New Roman" w:hAnsi="Times New Roman" w:cs="Times New Roman"/>
                      <w:szCs w:val="21"/>
                      <w:highlight w:val="none"/>
                    </w:rPr>
                    <w:t>等行业。分类组织实施转移、压减、整合、关停任务。到2025年，传输通道城市和胶济铁路沿线地区的钢铁产能应退尽进。沿海地区钢铁产能占比提升到70%以上：提高地炼行业的区域集中度和规模集约化程度，在布局新的大型炼化一体化项目基础上。将500万吨及以下未实现炼化一体化的地炼企业炼油产能分批分步进行整合转移：全省焦化企业户数压减到20家以内单厂区焦化产能100万吨/年以下的全部退出：除特种水泥熟料和化工配套水泥熟料生产线外，2500吨日以下的水泥熟料生产线全部整合退出。按照</w:t>
                  </w:r>
                  <w:r>
                    <w:rPr>
                      <w:rFonts w:hint="eastAsia" w:cs="Times New Roman"/>
                      <w:szCs w:val="21"/>
                      <w:highlight w:val="none"/>
                      <w:lang w:eastAsia="zh-CN"/>
                    </w:rPr>
                    <w:t>“</w:t>
                  </w:r>
                  <w:r>
                    <w:rPr>
                      <w:rFonts w:hint="default" w:ascii="Times New Roman" w:hAnsi="Times New Roman" w:cs="Times New Roman"/>
                      <w:szCs w:val="21"/>
                      <w:highlight w:val="none"/>
                    </w:rPr>
                    <w:t>发现一起、处置一起</w:t>
                  </w:r>
                  <w:r>
                    <w:rPr>
                      <w:rFonts w:hint="eastAsia" w:cs="Times New Roman"/>
                      <w:szCs w:val="21"/>
                      <w:highlight w:val="none"/>
                      <w:lang w:eastAsia="zh-CN"/>
                    </w:rPr>
                    <w:t>”</w:t>
                  </w:r>
                  <w:r>
                    <w:rPr>
                      <w:rFonts w:hint="default" w:ascii="Times New Roman" w:hAnsi="Times New Roman" w:cs="Times New Roman"/>
                      <w:szCs w:val="21"/>
                      <w:highlight w:val="none"/>
                    </w:rPr>
                    <w:t>的原则，实行</w:t>
                  </w:r>
                  <w:r>
                    <w:rPr>
                      <w:rFonts w:hint="eastAsia" w:cs="Times New Roman"/>
                      <w:szCs w:val="21"/>
                      <w:highlight w:val="none"/>
                      <w:lang w:eastAsia="zh-CN"/>
                    </w:rPr>
                    <w:t>“</w:t>
                  </w:r>
                  <w:r>
                    <w:rPr>
                      <w:rFonts w:hint="default" w:ascii="Times New Roman" w:hAnsi="Times New Roman" w:cs="Times New Roman"/>
                      <w:szCs w:val="21"/>
                      <w:highlight w:val="none"/>
                    </w:rPr>
                    <w:t>散乱污</w:t>
                  </w:r>
                  <w:r>
                    <w:rPr>
                      <w:rFonts w:hint="eastAsia" w:cs="Times New Roman"/>
                      <w:szCs w:val="21"/>
                      <w:highlight w:val="none"/>
                      <w:lang w:eastAsia="zh-CN"/>
                    </w:rPr>
                    <w:t>”</w:t>
                  </w:r>
                  <w:r>
                    <w:rPr>
                      <w:rFonts w:hint="default" w:ascii="Times New Roman" w:hAnsi="Times New Roman" w:cs="Times New Roman"/>
                      <w:szCs w:val="21"/>
                      <w:highlight w:val="none"/>
                    </w:rPr>
                    <w:t>企业动态清零。严格项目准入，高耗能、高排放（以下简称</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）项目建设做到产能减量、能耗减量煤炭减量、碳排放减量和污染物排放减量</w:t>
                  </w:r>
                  <w:r>
                    <w:rPr>
                      <w:rFonts w:hint="eastAsia" w:cs="Times New Roman"/>
                      <w:szCs w:val="21"/>
                      <w:highlight w:val="none"/>
                      <w:lang w:eastAsia="zh-CN"/>
                    </w:rPr>
                    <w:t>“</w:t>
                  </w:r>
                  <w:r>
                    <w:rPr>
                      <w:rFonts w:hint="default" w:ascii="Times New Roman" w:hAnsi="Times New Roman" w:cs="Times New Roman"/>
                      <w:szCs w:val="21"/>
                      <w:highlight w:val="none"/>
                    </w:rPr>
                    <w:t>五个减量</w:t>
                  </w:r>
                  <w:r>
                    <w:rPr>
                      <w:rFonts w:hint="eastAsia" w:cs="Times New Roman"/>
                      <w:szCs w:val="21"/>
                      <w:highlight w:val="none"/>
                      <w:lang w:eastAsia="zh-CN"/>
                    </w:rPr>
                    <w:t>”</w:t>
                  </w:r>
                  <w:r>
                    <w:rPr>
                      <w:rFonts w:hint="default" w:ascii="Times New Roman" w:hAnsi="Times New Roman" w:cs="Times New Roman"/>
                      <w:szCs w:val="21"/>
                      <w:highlight w:val="none"/>
                    </w:rPr>
                    <w:t>替代。有序推进</w:t>
                  </w:r>
                  <w:r>
                    <w:rPr>
                      <w:rFonts w:hint="eastAsia" w:cs="Times New Roman"/>
                      <w:szCs w:val="21"/>
                      <w:highlight w:val="none"/>
                      <w:lang w:eastAsia="zh-CN"/>
                    </w:rPr>
                    <w:t>“</w:t>
                  </w:r>
                  <w:r>
                    <w:rPr>
                      <w:rFonts w:hint="default" w:ascii="Times New Roman" w:hAnsi="Times New Roman" w:cs="Times New Roman"/>
                      <w:szCs w:val="21"/>
                      <w:highlight w:val="none"/>
                    </w:rPr>
                    <w:t>两高</w:t>
                  </w:r>
                  <w:r>
                    <w:rPr>
                      <w:rFonts w:hint="eastAsia" w:cs="Times New Roman"/>
                      <w:szCs w:val="21"/>
                      <w:highlight w:val="none"/>
                      <w:lang w:eastAsia="zh-CN"/>
                    </w:rPr>
                    <w:t>”</w:t>
                  </w:r>
                  <w:r>
                    <w:rPr>
                      <w:rFonts w:hint="default" w:ascii="Times New Roman" w:hAnsi="Times New Roman" w:cs="Times New Roman"/>
                      <w:szCs w:val="21"/>
                      <w:highlight w:val="none"/>
                    </w:rPr>
                    <w:t>项目清理工作，确保</w:t>
                  </w:r>
                  <w:r>
                    <w:rPr>
                      <w:rFonts w:hint="eastAsia" w:cs="Times New Roman"/>
                      <w:szCs w:val="21"/>
                      <w:highlight w:val="none"/>
                      <w:lang w:eastAsia="zh-CN"/>
                    </w:rPr>
                    <w:t>“</w:t>
                  </w:r>
                  <w:r>
                    <w:rPr>
                      <w:rFonts w:hint="default" w:ascii="Times New Roman" w:hAnsi="Times New Roman" w:cs="Times New Roman"/>
                      <w:szCs w:val="21"/>
                      <w:highlight w:val="none"/>
                    </w:rPr>
                    <w:t>三个坚决</w:t>
                  </w:r>
                  <w:r>
                    <w:rPr>
                      <w:rFonts w:hint="eastAsia" w:cs="Times New Roman"/>
                      <w:szCs w:val="21"/>
                      <w:highlight w:val="none"/>
                      <w:lang w:eastAsia="zh-CN"/>
                    </w:rPr>
                    <w:t>”</w:t>
                  </w:r>
                  <w:r>
                    <w:rPr>
                      <w:rFonts w:hint="default" w:ascii="Times New Roman" w:hAnsi="Times New Roman" w:cs="Times New Roman"/>
                      <w:szCs w:val="21"/>
                      <w:highlight w:val="none"/>
                    </w:rPr>
                    <w:t>落实到位，未纳入国家规划的炼油、乙醇、对二甲苯、煤制油气项目，一律不得建设。</w:t>
                  </w:r>
                </w:p>
              </w:tc>
              <w:tc>
                <w:tcPr>
                  <w:tcW w:w="1266" w:type="dxa"/>
                  <w:tcBorders>
                    <w:tl2br w:val="nil"/>
                    <w:tr2bl w:val="nil"/>
                  </w:tcBorders>
                  <w:vAlign w:val="center"/>
                </w:tcPr>
                <w:p w14:paraId="1D0DD2D0">
                  <w:pPr>
                    <w:rPr>
                      <w:rFonts w:hint="default" w:ascii="Times New Roman" w:hAnsi="Times New Roman" w:cs="Times New Roman"/>
                      <w:szCs w:val="21"/>
                      <w:highlight w:val="none"/>
                    </w:rPr>
                  </w:pPr>
                  <w:r>
                    <w:rPr>
                      <w:rFonts w:hint="default" w:ascii="Times New Roman" w:hAnsi="Times New Roman" w:cs="Times New Roman"/>
                      <w:szCs w:val="21"/>
                      <w:highlight w:val="none"/>
                    </w:rPr>
                    <w:t>本项目为</w:t>
                  </w:r>
                  <w:r>
                    <w:rPr>
                      <w:rFonts w:hint="eastAsia" w:cs="Times New Roman"/>
                      <w:szCs w:val="21"/>
                      <w:highlight w:val="none"/>
                      <w:lang w:val="zh-CN"/>
                    </w:rPr>
                    <w:t>塑料包装箱及容器制造</w:t>
                  </w:r>
                  <w:r>
                    <w:rPr>
                      <w:rFonts w:hint="default" w:ascii="Times New Roman" w:hAnsi="Times New Roman" w:cs="Times New Roman"/>
                      <w:szCs w:val="21"/>
                      <w:highlight w:val="none"/>
                      <w:lang w:val="zh-CN"/>
                    </w:rPr>
                    <w:t>项目</w:t>
                  </w:r>
                  <w:r>
                    <w:rPr>
                      <w:rFonts w:hint="default" w:ascii="Times New Roman" w:hAnsi="Times New Roman" w:cs="Times New Roman"/>
                      <w:szCs w:val="21"/>
                      <w:highlight w:val="none"/>
                    </w:rPr>
                    <w:t>，不属于低效落后产能，不属于《产业结构调整指导目录》中</w:t>
                  </w:r>
                  <w:r>
                    <w:rPr>
                      <w:rFonts w:hint="eastAsia" w:cs="Times New Roman"/>
                      <w:szCs w:val="21"/>
                      <w:highlight w:val="none"/>
                      <w:lang w:eastAsia="zh-CN"/>
                    </w:rPr>
                    <w:t>“</w:t>
                  </w:r>
                  <w:r>
                    <w:rPr>
                      <w:rFonts w:hint="default" w:ascii="Times New Roman" w:hAnsi="Times New Roman" w:cs="Times New Roman"/>
                      <w:szCs w:val="21"/>
                      <w:highlight w:val="none"/>
                    </w:rPr>
                    <w:t>淘汰类</w:t>
                  </w:r>
                  <w:r>
                    <w:rPr>
                      <w:rFonts w:hint="eastAsia" w:cs="Times New Roman"/>
                      <w:szCs w:val="21"/>
                      <w:highlight w:val="none"/>
                      <w:lang w:eastAsia="zh-CN"/>
                    </w:rPr>
                    <w:t>”</w:t>
                  </w:r>
                  <w:r>
                    <w:rPr>
                      <w:rFonts w:hint="default" w:ascii="Times New Roman" w:hAnsi="Times New Roman" w:cs="Times New Roman"/>
                      <w:szCs w:val="21"/>
                      <w:highlight w:val="none"/>
                    </w:rPr>
                    <w:t>项目。</w:t>
                  </w:r>
                </w:p>
              </w:tc>
              <w:tc>
                <w:tcPr>
                  <w:tcW w:w="832" w:type="dxa"/>
                  <w:tcBorders>
                    <w:tl2br w:val="nil"/>
                    <w:tr2bl w:val="nil"/>
                  </w:tcBorders>
                  <w:vAlign w:val="center"/>
                </w:tcPr>
                <w:p w14:paraId="365D33D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2224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2457B7F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6247" w:type="dxa"/>
                  <w:tcBorders>
                    <w:tl2br w:val="nil"/>
                    <w:tr2bl w:val="nil"/>
                  </w:tcBorders>
                  <w:vAlign w:val="center"/>
                </w:tcPr>
                <w:p w14:paraId="5439F5FE">
                  <w:pPr>
                    <w:rPr>
                      <w:rFonts w:hint="default" w:ascii="Times New Roman" w:hAnsi="Times New Roman" w:cs="Times New Roman"/>
                      <w:szCs w:val="21"/>
                      <w:highlight w:val="none"/>
                    </w:rPr>
                  </w:pPr>
                  <w:r>
                    <w:rPr>
                      <w:rStyle w:val="51"/>
                      <w:rFonts w:hint="default" w:ascii="Times New Roman" w:hAnsi="Times New Roman" w:cs="Times New Roman"/>
                      <w:szCs w:val="21"/>
                      <w:highlight w:val="none"/>
                    </w:rPr>
                    <w:t xml:space="preserve">压减煤炭消费量 </w:t>
                  </w:r>
                  <w:r>
                    <w:rPr>
                      <w:rFonts w:hint="default" w:ascii="Times New Roman" w:hAnsi="Times New Roman" w:cs="Times New Roman"/>
                      <w:szCs w:val="21"/>
                      <w:highlight w:val="none"/>
                    </w:rPr>
                    <w:t>持续压减煤炭消费总量。</w:t>
                  </w:r>
                  <w:r>
                    <w:rPr>
                      <w:rFonts w:hint="eastAsia" w:cs="Times New Roman"/>
                      <w:szCs w:val="21"/>
                      <w:highlight w:val="none"/>
                      <w:lang w:eastAsia="zh-CN"/>
                    </w:rPr>
                    <w:t>“</w:t>
                  </w:r>
                  <w:r>
                    <w:rPr>
                      <w:rFonts w:hint="default" w:ascii="Times New Roman" w:hAnsi="Times New Roman" w:cs="Times New Roman"/>
                      <w:szCs w:val="21"/>
                      <w:highlight w:val="none"/>
                    </w:rPr>
                    <w:t>十四五</w:t>
                  </w:r>
                  <w:r>
                    <w:rPr>
                      <w:rFonts w:hint="eastAsia" w:cs="Times New Roman"/>
                      <w:szCs w:val="21"/>
                      <w:highlight w:val="none"/>
                      <w:lang w:eastAsia="zh-CN"/>
                    </w:rPr>
                    <w:t>”</w:t>
                  </w:r>
                  <w:r>
                    <w:rPr>
                      <w:rFonts w:hint="default" w:ascii="Times New Roman" w:hAnsi="Times New Roman" w:cs="Times New Roman"/>
                      <w:szCs w:val="21"/>
                      <w:highlight w:val="none"/>
                    </w:rPr>
                    <w:t>期间，全省煤炭消费总量下降10%，控制在3.5亿吨左右。非化石能源消费比重提高到13%左右。制定碳达峰方案推动钢铁、建材、有色、电力等重点行业率先达峰，加快能源低碳转型，实施可再生能源倍增行动，到2025年，可再生能源装机规模达到9000万千瓦左右。持续推进</w:t>
                  </w:r>
                  <w:r>
                    <w:rPr>
                      <w:rFonts w:hint="eastAsia" w:cs="Times New Roman"/>
                      <w:szCs w:val="21"/>
                      <w:highlight w:val="none"/>
                      <w:lang w:eastAsia="zh-CN"/>
                    </w:rPr>
                    <w:t>“</w:t>
                  </w:r>
                  <w:r>
                    <w:rPr>
                      <w:rFonts w:hint="default" w:ascii="Times New Roman" w:hAnsi="Times New Roman" w:cs="Times New Roman"/>
                      <w:szCs w:val="21"/>
                      <w:highlight w:val="none"/>
                    </w:rPr>
                    <w:t>外电入鲁</w:t>
                  </w:r>
                  <w:r>
                    <w:rPr>
                      <w:rFonts w:hint="eastAsia" w:cs="Times New Roman"/>
                      <w:szCs w:val="21"/>
                      <w:highlight w:val="none"/>
                      <w:lang w:eastAsia="zh-CN"/>
                    </w:rPr>
                    <w:t>”</w:t>
                  </w:r>
                  <w:r>
                    <w:rPr>
                      <w:rFonts w:hint="default" w:ascii="Times New Roman" w:hAnsi="Times New Roman" w:cs="Times New Roman"/>
                      <w:szCs w:val="21"/>
                      <w:highlight w:val="none"/>
                    </w:rPr>
                    <w:t>，到2025年，省外来电规模达到1700亿千瓦时左右。大力推进集中供热和余热利用、淘汰集中供热范围内的燃煤锅炉和散煤到2025年，工业余热利用量新增165亿平方米。基本完成30万千瓦及以上热电联产电厂30公里供热半径范围内低效小电机组关停整合。对以煤、石油焦、渣油、重油等为燃料的工业炉窑，加快使用工厂余热、电厂热力、清洁能源等进行替代。新、改、扩建熔化炉、加热炉、热处理炉、干燥炉原则上使用清洁低碳能源，不得使用煤炭、重油。按照</w:t>
                  </w:r>
                  <w:r>
                    <w:rPr>
                      <w:rFonts w:hint="eastAsia" w:cs="Times New Roman"/>
                      <w:szCs w:val="21"/>
                      <w:highlight w:val="none"/>
                      <w:lang w:eastAsia="zh-CN"/>
                    </w:rPr>
                    <w:t>“</w:t>
                  </w:r>
                  <w:r>
                    <w:rPr>
                      <w:rFonts w:hint="default" w:ascii="Times New Roman" w:hAnsi="Times New Roman" w:cs="Times New Roman"/>
                      <w:szCs w:val="21"/>
                      <w:highlight w:val="none"/>
                    </w:rPr>
                    <w:t>先立后破</w:t>
                  </w:r>
                  <w:r>
                    <w:rPr>
                      <w:rFonts w:hint="eastAsia" w:cs="Times New Roman"/>
                      <w:szCs w:val="21"/>
                      <w:highlight w:val="none"/>
                      <w:lang w:eastAsia="zh-CN"/>
                    </w:rPr>
                    <w:t>”</w:t>
                  </w:r>
                  <w:r>
                    <w:rPr>
                      <w:rFonts w:hint="default" w:ascii="Times New Roman" w:hAnsi="Times New Roman" w:cs="Times New Roman"/>
                      <w:szCs w:val="21"/>
                      <w:highlight w:val="none"/>
                    </w:rPr>
                    <w:t>的原则，持续推进清洁取暖改造，扩大集中供热范围，因地制宜推行气代煤、电代煤、热代煤、集中生物质等清洁采暖方式，力争2023年采暖季前实现平原地区清洁取暖全覆盖。</w:t>
                  </w:r>
                </w:p>
              </w:tc>
              <w:tc>
                <w:tcPr>
                  <w:tcW w:w="1266" w:type="dxa"/>
                  <w:tcBorders>
                    <w:tl2br w:val="nil"/>
                    <w:tr2bl w:val="nil"/>
                  </w:tcBorders>
                  <w:vAlign w:val="center"/>
                </w:tcPr>
                <w:p w14:paraId="4E9EFAFF">
                  <w:pPr>
                    <w:rPr>
                      <w:rFonts w:hint="default" w:ascii="Times New Roman" w:hAnsi="Times New Roman" w:cs="Times New Roman"/>
                      <w:szCs w:val="21"/>
                      <w:highlight w:val="none"/>
                    </w:rPr>
                  </w:pPr>
                  <w:r>
                    <w:rPr>
                      <w:rFonts w:hint="default" w:ascii="Times New Roman" w:hAnsi="Times New Roman" w:cs="Times New Roman"/>
                      <w:szCs w:val="21"/>
                      <w:highlight w:val="none"/>
                    </w:rPr>
                    <w:t>本项目不使用煤炭。</w:t>
                  </w:r>
                </w:p>
              </w:tc>
              <w:tc>
                <w:tcPr>
                  <w:tcW w:w="832" w:type="dxa"/>
                  <w:tcBorders>
                    <w:tl2br w:val="nil"/>
                    <w:tr2bl w:val="nil"/>
                  </w:tcBorders>
                  <w:vAlign w:val="center"/>
                </w:tcPr>
                <w:p w14:paraId="440FEDC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4029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670FE62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w:t>
                  </w:r>
                </w:p>
              </w:tc>
              <w:tc>
                <w:tcPr>
                  <w:tcW w:w="6247" w:type="dxa"/>
                  <w:tcBorders>
                    <w:tl2br w:val="nil"/>
                    <w:tr2bl w:val="nil"/>
                  </w:tcBorders>
                  <w:vAlign w:val="center"/>
                </w:tcPr>
                <w:p w14:paraId="67FD4699">
                  <w:pPr>
                    <w:pStyle w:val="42"/>
                    <w:shd w:val="clear" w:color="auto" w:fill="FFFFFF"/>
                    <w:spacing w:before="0" w:beforeAutospacing="0" w:after="0" w:afterAutospacing="0"/>
                    <w:rPr>
                      <w:rFonts w:hint="default" w:ascii="Times New Roman" w:hAnsi="Times New Roman" w:cs="Times New Roman"/>
                      <w:sz w:val="21"/>
                      <w:szCs w:val="21"/>
                      <w:highlight w:val="none"/>
                    </w:rPr>
                  </w:pPr>
                  <w:r>
                    <w:rPr>
                      <w:rStyle w:val="51"/>
                      <w:rFonts w:hint="default" w:ascii="Times New Roman" w:hAnsi="Times New Roman" w:cs="Times New Roman"/>
                      <w:sz w:val="21"/>
                      <w:szCs w:val="21"/>
                      <w:highlight w:val="none"/>
                    </w:rPr>
                    <w:t xml:space="preserve">强化工业源NOx深度治理 </w:t>
                  </w:r>
                  <w:r>
                    <w:rPr>
                      <w:rFonts w:hint="default" w:ascii="Times New Roman" w:hAnsi="Times New Roman" w:cs="Times New Roman"/>
                      <w:sz w:val="21"/>
                      <w:szCs w:val="21"/>
                      <w:highlight w:val="none"/>
                    </w:rPr>
                    <w:t>严格治理设施运行监管，燃煤机组、锅炉、钢铁企业污染排放稳定达到超低排放要求。2023年年底前，完成焦化、水泥行业超低排放改造。实施玻璃、陶瓷、铸造、铁合金、有色等行业污染深度治理，确保各类大气污染物稳定达标排放。重点涉气排放企业取消烟气旁路，确因安全生产等原因无法取消的，应安装有效监控装置纳入监管。引导重点企业在秋冬季安排停产检修、维修，减少污染物排放。</w:t>
                  </w:r>
                </w:p>
              </w:tc>
              <w:tc>
                <w:tcPr>
                  <w:tcW w:w="1266" w:type="dxa"/>
                  <w:tcBorders>
                    <w:tl2br w:val="nil"/>
                    <w:tr2bl w:val="nil"/>
                  </w:tcBorders>
                  <w:vAlign w:val="center"/>
                </w:tcPr>
                <w:p w14:paraId="7A8A530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w:t>
                  </w:r>
                  <w:r>
                    <w:rPr>
                      <w:rFonts w:hint="eastAsia" w:cs="Times New Roman"/>
                      <w:szCs w:val="21"/>
                      <w:highlight w:val="none"/>
                      <w:lang w:val="en-US" w:eastAsia="zh-CN"/>
                    </w:rPr>
                    <w:t>不</w:t>
                  </w:r>
                  <w:r>
                    <w:rPr>
                      <w:rFonts w:hint="default" w:ascii="Times New Roman" w:hAnsi="Times New Roman" w:cs="Times New Roman"/>
                      <w:szCs w:val="21"/>
                      <w:highlight w:val="none"/>
                    </w:rPr>
                    <w:t>产生NOx。</w:t>
                  </w:r>
                </w:p>
              </w:tc>
              <w:tc>
                <w:tcPr>
                  <w:tcW w:w="832" w:type="dxa"/>
                  <w:tcBorders>
                    <w:tl2br w:val="nil"/>
                    <w:tr2bl w:val="nil"/>
                  </w:tcBorders>
                  <w:vAlign w:val="center"/>
                </w:tcPr>
                <w:p w14:paraId="279FAED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95EB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636346A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w:t>
                  </w:r>
                </w:p>
              </w:tc>
              <w:tc>
                <w:tcPr>
                  <w:tcW w:w="6247" w:type="dxa"/>
                  <w:tcBorders>
                    <w:tl2br w:val="nil"/>
                    <w:tr2bl w:val="nil"/>
                  </w:tcBorders>
                  <w:vAlign w:val="center"/>
                </w:tcPr>
                <w:p w14:paraId="729B1883">
                  <w:pPr>
                    <w:pStyle w:val="42"/>
                    <w:shd w:val="clear" w:color="auto" w:fill="FFFFFF"/>
                    <w:spacing w:before="0" w:beforeAutospacing="0" w:after="0" w:afterAutospacing="0"/>
                    <w:rPr>
                      <w:rStyle w:val="51"/>
                      <w:rFonts w:hint="default" w:ascii="Times New Roman" w:hAnsi="Times New Roman" w:cs="Times New Roman"/>
                      <w:b w:val="0"/>
                      <w:bCs w:val="0"/>
                      <w:sz w:val="21"/>
                      <w:szCs w:val="21"/>
                      <w:highlight w:val="none"/>
                    </w:rPr>
                  </w:pPr>
                  <w:r>
                    <w:rPr>
                      <w:rStyle w:val="51"/>
                      <w:rFonts w:hint="default" w:ascii="Times New Roman" w:hAnsi="Times New Roman" w:cs="Times New Roman"/>
                      <w:sz w:val="21"/>
                      <w:szCs w:val="21"/>
                      <w:highlight w:val="none"/>
                    </w:rPr>
                    <w:t xml:space="preserve">严格扬尘污染管控 </w:t>
                  </w:r>
                  <w:r>
                    <w:rPr>
                      <w:rFonts w:hint="default" w:ascii="Times New Roman" w:hAnsi="Times New Roman" w:cs="Times New Roman"/>
                      <w:sz w:val="21"/>
                      <w:szCs w:val="21"/>
                      <w:highlight w:val="none"/>
                    </w:rPr>
                    <w:t>加强施工扬尘精细化管控，建立并动态更新施工工地清单。全面推行绿色施工，将扬尘污染防治费用纳入工程造价，各类施工工地严格落实扬尘污染防治措施，其中建筑施工工地严格执行</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六项措施</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规模以上建筑施工工地安装在线监测和视频监控设施，并接入当地监管平台。加强执法监管，对问题严重的依法依规实施联合惩戒。强化道路扬尘综合治理，到2025年，设区市和县（市）城市建成区道路机械化清扫率达到85%。规范房屋建筑（含拆除）工程、市政工程建筑垃圾密闭运输和扬尘防控，通过视频监控、车牌号识别、安装卫星定位设备等措施，实行全过程监督。大型煤炭、矿石等干散货码头物料堆场全面完成围挡、苫盖、自动喷淋等抑尘设施建设和物料输送系统封闭改造，鼓励有条件的码头堆场实施全封闭改造。推进露天矿山生态保护和修复，加强对露天矿山生态环境的监测。实施城市降尘监测考核，各市平均降尘量不得高于7.5吨/月•平方公里。鼓励各市细化降尘控制要求，实施县（市、区）降尘量逐月监测排名。</w:t>
                  </w:r>
                </w:p>
              </w:tc>
              <w:tc>
                <w:tcPr>
                  <w:tcW w:w="1266" w:type="dxa"/>
                  <w:tcBorders>
                    <w:tl2br w:val="nil"/>
                    <w:tr2bl w:val="nil"/>
                  </w:tcBorders>
                  <w:vAlign w:val="center"/>
                </w:tcPr>
                <w:p w14:paraId="4308463C">
                  <w:pPr>
                    <w:rPr>
                      <w:rFonts w:hint="default" w:ascii="Times New Roman" w:hAnsi="Times New Roman" w:cs="Times New Roman"/>
                      <w:szCs w:val="21"/>
                      <w:highlight w:val="none"/>
                    </w:rPr>
                  </w:pPr>
                  <w:r>
                    <w:rPr>
                      <w:rFonts w:hint="default" w:ascii="Times New Roman" w:hAnsi="Times New Roman" w:cs="Times New Roman"/>
                      <w:szCs w:val="21"/>
                      <w:highlight w:val="none"/>
                    </w:rPr>
                    <w:t>项目依托现有厂房进行建设，施工仅涉及设备安装，产生的扬尘较少，企业严格落实扬尘污染控制，将扬尘污染降至最低。</w:t>
                  </w:r>
                </w:p>
              </w:tc>
              <w:tc>
                <w:tcPr>
                  <w:tcW w:w="832" w:type="dxa"/>
                  <w:tcBorders>
                    <w:tl2br w:val="nil"/>
                    <w:tr2bl w:val="nil"/>
                  </w:tcBorders>
                  <w:vAlign w:val="center"/>
                </w:tcPr>
                <w:p w14:paraId="2F7B545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1C3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0" w:type="dxa"/>
                  <w:gridSpan w:val="4"/>
                  <w:tcBorders>
                    <w:tl2br w:val="nil"/>
                    <w:tr2bl w:val="nil"/>
                  </w:tcBorders>
                  <w:vAlign w:val="center"/>
                </w:tcPr>
                <w:p w14:paraId="318DA36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项目与</w:t>
                  </w:r>
                  <w:bookmarkStart w:id="11" w:name="_Hlk93392779"/>
                  <w:r>
                    <w:rPr>
                      <w:rFonts w:hint="default" w:ascii="Times New Roman" w:hAnsi="Times New Roman" w:cs="Times New Roman"/>
                      <w:szCs w:val="21"/>
                      <w:highlight w:val="none"/>
                    </w:rPr>
                    <w:t>《山东省深入打好碧水保卫战行动计划（2021-2025年）》（鲁环委办〔2021〕30号），</w:t>
                  </w:r>
                  <w:bookmarkEnd w:id="11"/>
                  <w:r>
                    <w:rPr>
                      <w:rFonts w:hint="default" w:ascii="Times New Roman" w:hAnsi="Times New Roman" w:cs="Times New Roman"/>
                      <w:szCs w:val="21"/>
                      <w:highlight w:val="none"/>
                    </w:rPr>
                    <w:t>符合性分析</w:t>
                  </w:r>
                </w:p>
              </w:tc>
            </w:tr>
            <w:tr w14:paraId="6720E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5E01A21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247" w:type="dxa"/>
                  <w:tcBorders>
                    <w:tl2br w:val="nil"/>
                    <w:tr2bl w:val="nil"/>
                  </w:tcBorders>
                  <w:vAlign w:val="center"/>
                </w:tcPr>
                <w:p w14:paraId="7FB45A91">
                  <w:pPr>
                    <w:pStyle w:val="42"/>
                    <w:shd w:val="clear" w:color="auto" w:fill="FFFFFF"/>
                    <w:spacing w:before="0" w:beforeAutospacing="0" w:after="0" w:afterAutospacing="0"/>
                    <w:rPr>
                      <w:rStyle w:val="51"/>
                      <w:rFonts w:hint="default" w:ascii="Times New Roman" w:hAnsi="Times New Roman" w:cs="Times New Roman"/>
                      <w:sz w:val="21"/>
                      <w:szCs w:val="21"/>
                      <w:highlight w:val="none"/>
                    </w:rPr>
                  </w:pPr>
                  <w:r>
                    <w:rPr>
                      <w:rStyle w:val="51"/>
                      <w:rFonts w:hint="default" w:ascii="Times New Roman" w:hAnsi="Times New Roman" w:cs="Times New Roman"/>
                      <w:sz w:val="21"/>
                      <w:szCs w:val="21"/>
                      <w:highlight w:val="none"/>
                    </w:rPr>
                    <w:t xml:space="preserve">补齐城镇生活污水治理设施短板 </w:t>
                  </w:r>
                  <w:r>
                    <w:rPr>
                      <w:rFonts w:hint="default" w:ascii="Times New Roman" w:hAnsi="Times New Roman" w:cs="Times New Roman"/>
                      <w:sz w:val="21"/>
                      <w:szCs w:val="21"/>
                      <w:highlight w:val="none"/>
                    </w:rPr>
                    <w:t>开展</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污水零直排区</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建设，控制城市面源污染。彻底摸清城市（含县城）管网底数，加快雨污分流改造，推进实现整县域合流制管网清零。2025年年底前，新建改造修复城区污水管网5000公里，改造城区雨污合流管网3000余公里，基本消除城市管网空白区和生活污水直排口。总结推广</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庆云经验</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以多元融资模式保障基础设施工程建设，改善城市水环境质量。南四湖流域及水质不达标或不稳定达标断面汇水区域提前2年完成管网补短板任务。开展城镇生活污水处理设施能力评估，优化生活污水处理厂布局，提升污水处理能力并适度超前。2025年年底前，新增污水处理能力200万吨/日以上。加强建制镇生活污水收集处理设施建设，并实现稳定运行，2025年年底前，建制镇生活污水处理率达到75%以上。</w:t>
                  </w:r>
                </w:p>
              </w:tc>
              <w:tc>
                <w:tcPr>
                  <w:tcW w:w="1266" w:type="dxa"/>
                  <w:tcBorders>
                    <w:tl2br w:val="nil"/>
                    <w:tr2bl w:val="nil"/>
                  </w:tcBorders>
                  <w:vAlign w:val="center"/>
                </w:tcPr>
                <w:p w14:paraId="45036370">
                  <w:pPr>
                    <w:pStyle w:val="42"/>
                    <w:shd w:val="clear" w:color="auto" w:fill="FFFFFF"/>
                    <w:spacing w:before="0" w:beforeAutospacing="0" w:after="0" w:afterAutospacing="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项目</w:t>
                  </w:r>
                  <w:r>
                    <w:rPr>
                      <w:rFonts w:hint="default" w:ascii="Times New Roman" w:hAnsi="Times New Roman" w:eastAsia="宋体" w:cs="Times New Roman"/>
                      <w:sz w:val="21"/>
                      <w:szCs w:val="21"/>
                      <w:highlight w:val="none"/>
                      <w:lang w:val="en-US" w:eastAsia="zh-CN"/>
                    </w:rPr>
                    <w:t>生活污水经厂区化粪池处理后由环卫部门定期处理</w:t>
                  </w:r>
                  <w:r>
                    <w:rPr>
                      <w:rFonts w:hint="default" w:ascii="Times New Roman" w:hAnsi="Times New Roman" w:eastAsia="宋体" w:cs="Times New Roman"/>
                      <w:sz w:val="21"/>
                      <w:szCs w:val="21"/>
                      <w:highlight w:val="none"/>
                    </w:rPr>
                    <w:t>。</w:t>
                  </w:r>
                </w:p>
              </w:tc>
              <w:tc>
                <w:tcPr>
                  <w:tcW w:w="832" w:type="dxa"/>
                  <w:tcBorders>
                    <w:tl2br w:val="nil"/>
                    <w:tr2bl w:val="nil"/>
                  </w:tcBorders>
                  <w:vAlign w:val="center"/>
                </w:tcPr>
                <w:p w14:paraId="2E0A95C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13C0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7478145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6247" w:type="dxa"/>
                  <w:tcBorders>
                    <w:tl2br w:val="nil"/>
                    <w:tr2bl w:val="nil"/>
                  </w:tcBorders>
                  <w:vAlign w:val="center"/>
                </w:tcPr>
                <w:p w14:paraId="3DB10919">
                  <w:pPr>
                    <w:pStyle w:val="42"/>
                    <w:shd w:val="clear" w:color="auto" w:fill="FFFFFF"/>
                    <w:spacing w:before="0" w:beforeAutospacing="0" w:after="60" w:afterAutospacing="0"/>
                    <w:rPr>
                      <w:rStyle w:val="51"/>
                      <w:rFonts w:hint="default" w:ascii="Times New Roman" w:hAnsi="Times New Roman" w:cs="Times New Roman"/>
                      <w:b w:val="0"/>
                      <w:bCs w:val="0"/>
                      <w:sz w:val="21"/>
                      <w:szCs w:val="21"/>
                      <w:highlight w:val="none"/>
                    </w:rPr>
                  </w:pPr>
                  <w:r>
                    <w:rPr>
                      <w:rStyle w:val="51"/>
                      <w:rFonts w:hint="default" w:ascii="Times New Roman" w:hAnsi="Times New Roman" w:cs="Times New Roman"/>
                      <w:sz w:val="21"/>
                      <w:szCs w:val="21"/>
                      <w:highlight w:val="none"/>
                    </w:rPr>
                    <w:t xml:space="preserve">推动地表水环境质量持续向好 </w:t>
                  </w:r>
                  <w:r>
                    <w:rPr>
                      <w:rFonts w:hint="default" w:ascii="Times New Roman" w:hAnsi="Times New Roman" w:cs="Times New Roman"/>
                      <w:sz w:val="21"/>
                      <w:szCs w:val="21"/>
                      <w:highlight w:val="none"/>
                    </w:rPr>
                    <w:t>开展入河排污口溯源分析，建立</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排污单位—排污通道—排污口—受纳水体</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的排污路径，完成排污口分类、命名、编码和标志牌树立等工作，形成规范的排污口</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户籍</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管理。按照</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取缔一批、合并一批、规范一批</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要求，编制整治工作方案，提出</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一口一策</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整治措施。2021年年底前，完成工业企业、城镇污水集中处理设施排污口以及黄河干流排污口整治任务；2023年年底前，完成南四湖流域入河排污口整治；2025年年底前，完成全省入河排污口整治任务。强化水污染物排放口排污许可信息管理，规范污染因子、排放标准、许可年排放量限值、排放去向、自行监测因子及频次等内容。</w:t>
                  </w:r>
                </w:p>
              </w:tc>
              <w:tc>
                <w:tcPr>
                  <w:tcW w:w="1266" w:type="dxa"/>
                  <w:tcBorders>
                    <w:tl2br w:val="nil"/>
                    <w:tr2bl w:val="nil"/>
                  </w:tcBorders>
                  <w:vAlign w:val="center"/>
                </w:tcPr>
                <w:p w14:paraId="4BB6E69D">
                  <w:pPr>
                    <w:pStyle w:val="42"/>
                    <w:shd w:val="clear" w:color="auto" w:fill="FFFFFF"/>
                    <w:spacing w:before="0" w:beforeAutospacing="0" w:after="0" w:afterAutospacing="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企业严格落实排污许可制度，严格规范污染因子、排放标准、许可年排放量限值、排放去向、自行监测因子及频次等内容。</w:t>
                  </w:r>
                </w:p>
              </w:tc>
              <w:tc>
                <w:tcPr>
                  <w:tcW w:w="832" w:type="dxa"/>
                  <w:tcBorders>
                    <w:tl2br w:val="nil"/>
                    <w:tr2bl w:val="nil"/>
                  </w:tcBorders>
                  <w:vAlign w:val="center"/>
                </w:tcPr>
                <w:p w14:paraId="42B9E96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3869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263848B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w:t>
                  </w:r>
                </w:p>
              </w:tc>
              <w:tc>
                <w:tcPr>
                  <w:tcW w:w="6247" w:type="dxa"/>
                  <w:tcBorders>
                    <w:tl2br w:val="nil"/>
                    <w:tr2bl w:val="nil"/>
                  </w:tcBorders>
                  <w:vAlign w:val="center"/>
                </w:tcPr>
                <w:p w14:paraId="584B072C">
                  <w:pPr>
                    <w:pStyle w:val="42"/>
                    <w:shd w:val="clear" w:color="auto" w:fill="FFFFFF"/>
                    <w:spacing w:before="0" w:beforeAutospacing="0" w:after="60" w:afterAutospacing="0"/>
                    <w:rPr>
                      <w:rStyle w:val="51"/>
                      <w:rFonts w:hint="default" w:ascii="Times New Roman" w:hAnsi="Times New Roman" w:cs="Times New Roman"/>
                      <w:b w:val="0"/>
                      <w:bCs w:val="0"/>
                      <w:sz w:val="21"/>
                      <w:szCs w:val="21"/>
                      <w:highlight w:val="none"/>
                    </w:rPr>
                  </w:pPr>
                  <w:r>
                    <w:rPr>
                      <w:rStyle w:val="51"/>
                      <w:rFonts w:hint="default" w:ascii="Times New Roman" w:hAnsi="Times New Roman" w:cs="Times New Roman"/>
                      <w:sz w:val="21"/>
                      <w:szCs w:val="21"/>
                      <w:highlight w:val="none"/>
                    </w:rPr>
                    <w:t xml:space="preserve">防控地下水污染风险 </w:t>
                  </w:r>
                  <w:r>
                    <w:rPr>
                      <w:rFonts w:hint="default" w:ascii="Times New Roman" w:hAnsi="Times New Roman" w:cs="Times New Roman"/>
                      <w:sz w:val="21"/>
                      <w:szCs w:val="21"/>
                      <w:highlight w:val="none"/>
                    </w:rPr>
                    <w:t>识别地下水型饮用水水源补给区内潜在污染源，建立优先管控污染源清单，推进地级及以上浅层地下水型饮用水重要水源补给区划定。强化危险废物处置场和生活垃圾填埋场等地下水污染风险管控。试点开展废弃矿井地下水污染防治。完善报废矿井、钻井等清单，持续推进封井回填工作。在黄河流域、南水北调沿线等重点区域选择典型城市，开展地下水污染综合防治试点城市建设，探索城市区域地下水环境风险管控。探索地下水治理修复模式，实施泰安市宁阳化工产业园及周边地下水污染防控修复试点项目，推进地下水污染风险管控与修复，2022年年底前完成阻控地下水污染和建立地下水监控体系工作。2022年年底前，全省化工园区编制</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一区一策</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地下水污染整治方案并组织实施。实施淄博市高青县化工产业园地下水污染源防渗试点。</w:t>
                  </w:r>
                </w:p>
              </w:tc>
              <w:tc>
                <w:tcPr>
                  <w:tcW w:w="1266" w:type="dxa"/>
                  <w:tcBorders>
                    <w:tl2br w:val="nil"/>
                    <w:tr2bl w:val="nil"/>
                  </w:tcBorders>
                  <w:vAlign w:val="center"/>
                </w:tcPr>
                <w:p w14:paraId="515F09A3">
                  <w:pP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项目厂区积极防控地下水污染，地面采取硬化措施，生产车间做防渗处理，可有效杜绝污染物向土壤、地下水转移。</w:t>
                  </w:r>
                </w:p>
              </w:tc>
              <w:tc>
                <w:tcPr>
                  <w:tcW w:w="832" w:type="dxa"/>
                  <w:tcBorders>
                    <w:tl2br w:val="nil"/>
                    <w:tr2bl w:val="nil"/>
                  </w:tcBorders>
                  <w:vAlign w:val="center"/>
                </w:tcPr>
                <w:p w14:paraId="4601863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FE97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0" w:type="dxa"/>
                  <w:gridSpan w:val="4"/>
                  <w:tcBorders>
                    <w:tl2br w:val="nil"/>
                    <w:tr2bl w:val="nil"/>
                  </w:tcBorders>
                  <w:vAlign w:val="center"/>
                </w:tcPr>
                <w:p w14:paraId="1C6F966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项目与《山东省深入打好净土保卫战行动计划（2021-2025年）》（鲁环委办〔2021〕30号），符合性分析</w:t>
                  </w:r>
                </w:p>
              </w:tc>
            </w:tr>
            <w:tr w14:paraId="3D0C0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3AAFA95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247" w:type="dxa"/>
                  <w:tcBorders>
                    <w:tl2br w:val="nil"/>
                    <w:tr2bl w:val="nil"/>
                  </w:tcBorders>
                  <w:vAlign w:val="center"/>
                </w:tcPr>
                <w:p w14:paraId="00008358">
                  <w:pPr>
                    <w:pStyle w:val="42"/>
                    <w:shd w:val="clear" w:color="auto" w:fill="FFFFFF"/>
                    <w:spacing w:before="0" w:beforeAutospacing="0" w:after="60" w:afterAutospacing="0"/>
                    <w:rPr>
                      <w:rStyle w:val="51"/>
                      <w:rFonts w:hint="default" w:ascii="Times New Roman" w:hAnsi="Times New Roman" w:cs="Times New Roman"/>
                      <w:sz w:val="21"/>
                      <w:szCs w:val="21"/>
                      <w:highlight w:val="none"/>
                    </w:rPr>
                  </w:pPr>
                  <w:r>
                    <w:rPr>
                      <w:rStyle w:val="51"/>
                      <w:rFonts w:hint="default" w:ascii="Times New Roman" w:hAnsi="Times New Roman" w:cs="Times New Roman"/>
                      <w:sz w:val="21"/>
                      <w:szCs w:val="21"/>
                      <w:highlight w:val="none"/>
                    </w:rPr>
                    <w:t xml:space="preserve">加强土壤污染重点监管单位环境监管 </w:t>
                  </w:r>
                  <w:r>
                    <w:rPr>
                      <w:rStyle w:val="51"/>
                      <w:rFonts w:hint="default" w:ascii="Times New Roman" w:hAnsi="Times New Roman" w:cs="Times New Roman"/>
                      <w:b w:val="0"/>
                      <w:bCs w:val="0"/>
                      <w:sz w:val="21"/>
                      <w:szCs w:val="21"/>
                      <w:highlight w:val="none"/>
                    </w:rPr>
                    <w:t>每年更新土壤污染重点监管单位名录并向社会公开。全省1415家土壤污染重点监管单位在2021年年底前应完成一轮隐患排查，制定整改方案并落实。新增纳入土壤污染重点监管单位名录的单位，在一年内应开展隐患排查，2025年年底前，至少完成一轮隐患排查。土壤污染重点监管单位应制定、实施自行监测方案，将监测数据公开并报生态环境部门；严格控制有毒有害物质排放，并按年度向生态环境部门报告排放情况；法定义务在排污许可证发放和变更时应予以载明。生态环境部门每年选取不低于10%的土壤污染重点监管单位开展周边土壤环境监测。</w:t>
                  </w:r>
                </w:p>
              </w:tc>
              <w:tc>
                <w:tcPr>
                  <w:tcW w:w="1266" w:type="dxa"/>
                  <w:tcBorders>
                    <w:tl2br w:val="nil"/>
                    <w:tr2bl w:val="nil"/>
                  </w:tcBorders>
                  <w:vAlign w:val="center"/>
                </w:tcPr>
                <w:p w14:paraId="2EBB6970">
                  <w:pP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本项目</w:t>
                  </w:r>
                  <w:r>
                    <w:rPr>
                      <w:rFonts w:hint="default" w:ascii="Times New Roman" w:hAnsi="Times New Roman" w:cs="Times New Roman"/>
                      <w:highlight w:val="none"/>
                    </w:rPr>
                    <w:t>原辅材料、产品不属于易燃易爆危险物质，项目工艺不属于高温高压等危险工艺，项目车间已做好防渗，项目正常工况下无对区域地下水、土壤产生污染的重大污染源、污染物及污染途径。</w:t>
                  </w:r>
                </w:p>
              </w:tc>
              <w:tc>
                <w:tcPr>
                  <w:tcW w:w="832" w:type="dxa"/>
                  <w:tcBorders>
                    <w:tl2br w:val="nil"/>
                    <w:tr2bl w:val="nil"/>
                  </w:tcBorders>
                  <w:vAlign w:val="center"/>
                </w:tcPr>
                <w:p w14:paraId="66C8B67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D6F4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10DB7A0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6247" w:type="dxa"/>
                  <w:tcBorders>
                    <w:tl2br w:val="nil"/>
                    <w:tr2bl w:val="nil"/>
                  </w:tcBorders>
                  <w:vAlign w:val="center"/>
                </w:tcPr>
                <w:p w14:paraId="4EE446E3">
                  <w:pPr>
                    <w:pStyle w:val="42"/>
                    <w:shd w:val="clear" w:color="auto" w:fill="FFFFFF"/>
                    <w:spacing w:before="0" w:beforeAutospacing="0" w:after="60" w:afterAutospacing="0"/>
                    <w:rPr>
                      <w:rStyle w:val="51"/>
                      <w:rFonts w:hint="default" w:ascii="Times New Roman" w:hAnsi="Times New Roman" w:cs="Times New Roman"/>
                      <w:b w:val="0"/>
                      <w:bCs w:val="0"/>
                      <w:sz w:val="21"/>
                      <w:szCs w:val="21"/>
                      <w:highlight w:val="none"/>
                    </w:rPr>
                  </w:pPr>
                  <w:r>
                    <w:rPr>
                      <w:rStyle w:val="51"/>
                      <w:rFonts w:hint="default" w:ascii="Times New Roman" w:hAnsi="Times New Roman" w:cs="Times New Roman"/>
                      <w:sz w:val="21"/>
                      <w:szCs w:val="21"/>
                      <w:highlight w:val="none"/>
                    </w:rPr>
                    <w:t xml:space="preserve">加强固体废物环境管理 </w:t>
                  </w:r>
                  <w:r>
                    <w:rPr>
                      <w:rStyle w:val="51"/>
                      <w:rFonts w:hint="default" w:ascii="Times New Roman" w:hAnsi="Times New Roman" w:cs="Times New Roman"/>
                      <w:b w:val="0"/>
                      <w:bCs w:val="0"/>
                      <w:sz w:val="21"/>
                      <w:szCs w:val="21"/>
                      <w:highlight w:val="none"/>
                    </w:rPr>
                    <w:t>总结威海市试点经验，选择1～3个试点城市深入开展</w:t>
                  </w:r>
                  <w:r>
                    <w:rPr>
                      <w:rStyle w:val="51"/>
                      <w:rFonts w:hint="eastAsia" w:ascii="Times New Roman" w:hAnsi="Times New Roman" w:cs="Times New Roman"/>
                      <w:b w:val="0"/>
                      <w:bCs w:val="0"/>
                      <w:sz w:val="21"/>
                      <w:szCs w:val="21"/>
                      <w:highlight w:val="none"/>
                      <w:lang w:eastAsia="zh-CN"/>
                    </w:rPr>
                    <w:t>“</w:t>
                  </w:r>
                  <w:r>
                    <w:rPr>
                      <w:rStyle w:val="51"/>
                      <w:rFonts w:hint="default" w:ascii="Times New Roman" w:hAnsi="Times New Roman" w:cs="Times New Roman"/>
                      <w:b w:val="0"/>
                      <w:bCs w:val="0"/>
                      <w:sz w:val="21"/>
                      <w:szCs w:val="21"/>
                      <w:highlight w:val="none"/>
                    </w:rPr>
                    <w:t>无废城市</w:t>
                  </w:r>
                  <w:r>
                    <w:rPr>
                      <w:rStyle w:val="51"/>
                      <w:rFonts w:hint="eastAsia" w:ascii="Times New Roman" w:hAnsi="Times New Roman" w:cs="Times New Roman"/>
                      <w:b w:val="0"/>
                      <w:bCs w:val="0"/>
                      <w:sz w:val="21"/>
                      <w:szCs w:val="21"/>
                      <w:highlight w:val="none"/>
                      <w:lang w:eastAsia="zh-CN"/>
                    </w:rPr>
                    <w:t>”</w:t>
                  </w:r>
                  <w:r>
                    <w:rPr>
                      <w:rStyle w:val="51"/>
                      <w:rFonts w:hint="default" w:ascii="Times New Roman" w:hAnsi="Times New Roman" w:cs="Times New Roman"/>
                      <w:b w:val="0"/>
                      <w:bCs w:val="0"/>
                      <w:sz w:val="21"/>
                      <w:szCs w:val="21"/>
                      <w:highlight w:val="none"/>
                    </w:rPr>
                    <w:t>建设。以赤泥、尾矿和共伴生矿、煤矸石、粉煤灰、建筑垃圾等为重点，推动大宗工业固体废物贮存处置总量趋零增长。推动赤泥在生产透水砖、砂石等方面的综合利用。加快黄金冶炼尾渣综合处理技术研发进程，以烟台等市为重点加强推广应用。开展非正规固体废物堆存场所排查整治。构建集污水、垃圾、固废、危废、医废处理处置设施和监测监管能力于一体的环境基础设施体系，形成由城市向建制镇和乡村延伸覆盖的环境基础设施网络。到2025年，试点城市建立起</w:t>
                  </w:r>
                  <w:r>
                    <w:rPr>
                      <w:rStyle w:val="51"/>
                      <w:rFonts w:hint="eastAsia" w:ascii="Times New Roman" w:hAnsi="Times New Roman" w:cs="Times New Roman"/>
                      <w:b w:val="0"/>
                      <w:bCs w:val="0"/>
                      <w:sz w:val="21"/>
                      <w:szCs w:val="21"/>
                      <w:highlight w:val="none"/>
                      <w:lang w:eastAsia="zh-CN"/>
                    </w:rPr>
                    <w:t>“</w:t>
                  </w:r>
                  <w:r>
                    <w:rPr>
                      <w:rStyle w:val="51"/>
                      <w:rFonts w:hint="default" w:ascii="Times New Roman" w:hAnsi="Times New Roman" w:cs="Times New Roman"/>
                      <w:b w:val="0"/>
                      <w:bCs w:val="0"/>
                      <w:sz w:val="21"/>
                      <w:szCs w:val="21"/>
                      <w:highlight w:val="none"/>
                    </w:rPr>
                    <w:t>无废城市</w:t>
                  </w:r>
                  <w:r>
                    <w:rPr>
                      <w:rStyle w:val="51"/>
                      <w:rFonts w:hint="eastAsia" w:ascii="Times New Roman" w:hAnsi="Times New Roman" w:cs="Times New Roman"/>
                      <w:b w:val="0"/>
                      <w:bCs w:val="0"/>
                      <w:sz w:val="21"/>
                      <w:szCs w:val="21"/>
                      <w:highlight w:val="none"/>
                      <w:lang w:eastAsia="zh-CN"/>
                    </w:rPr>
                    <w:t>”</w:t>
                  </w:r>
                  <w:r>
                    <w:rPr>
                      <w:rStyle w:val="51"/>
                      <w:rFonts w:hint="default" w:ascii="Times New Roman" w:hAnsi="Times New Roman" w:cs="Times New Roman"/>
                      <w:b w:val="0"/>
                      <w:bCs w:val="0"/>
                      <w:sz w:val="21"/>
                      <w:szCs w:val="21"/>
                      <w:highlight w:val="none"/>
                    </w:rPr>
                    <w:t>建设综合管理制度和监管体系。</w:t>
                  </w:r>
                </w:p>
                <w:p w14:paraId="26805A18">
                  <w:pPr>
                    <w:pStyle w:val="42"/>
                    <w:shd w:val="clear" w:color="auto" w:fill="FFFFFF"/>
                    <w:spacing w:before="0" w:beforeAutospacing="0" w:after="60" w:afterAutospacing="0"/>
                    <w:rPr>
                      <w:rStyle w:val="51"/>
                      <w:rFonts w:hint="default" w:ascii="Times New Roman" w:hAnsi="Times New Roman" w:cs="Times New Roman"/>
                      <w:sz w:val="21"/>
                      <w:szCs w:val="21"/>
                      <w:highlight w:val="none"/>
                    </w:rPr>
                  </w:pPr>
                  <w:r>
                    <w:rPr>
                      <w:rStyle w:val="51"/>
                      <w:rFonts w:hint="default" w:ascii="Times New Roman" w:hAnsi="Times New Roman" w:cs="Times New Roman"/>
                      <w:b w:val="0"/>
                      <w:bCs w:val="0"/>
                      <w:sz w:val="21"/>
                      <w:szCs w:val="21"/>
                      <w:highlight w:val="none"/>
                    </w:rPr>
                    <w:t>深入推进生活垃圾分类，建立有害垃圾收集转运体系。严格落实《山东省城市生活垃圾分类制度实施方案》，完善垃圾分类标识体系，健全垃圾分类奖励制度。</w:t>
                  </w:r>
                </w:p>
              </w:tc>
              <w:tc>
                <w:tcPr>
                  <w:tcW w:w="1266" w:type="dxa"/>
                  <w:tcBorders>
                    <w:tl2br w:val="nil"/>
                    <w:tr2bl w:val="nil"/>
                  </w:tcBorders>
                  <w:vAlign w:val="center"/>
                </w:tcPr>
                <w:p w14:paraId="250D0637">
                  <w:pP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厂区设有危废库，危险废物定期由危废资质单位处理。生活垃圾经分类后交由环卫部门处理。</w:t>
                  </w:r>
                </w:p>
              </w:tc>
              <w:tc>
                <w:tcPr>
                  <w:tcW w:w="832" w:type="dxa"/>
                  <w:tcBorders>
                    <w:tl2br w:val="nil"/>
                    <w:tr2bl w:val="nil"/>
                  </w:tcBorders>
                  <w:vAlign w:val="center"/>
                </w:tcPr>
                <w:p w14:paraId="7FB427F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2C8C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Borders>
                    <w:tl2br w:val="nil"/>
                    <w:tr2bl w:val="nil"/>
                  </w:tcBorders>
                  <w:vAlign w:val="center"/>
                </w:tcPr>
                <w:p w14:paraId="7220C84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w:t>
                  </w:r>
                </w:p>
              </w:tc>
              <w:tc>
                <w:tcPr>
                  <w:tcW w:w="6247" w:type="dxa"/>
                  <w:tcBorders>
                    <w:tl2br w:val="nil"/>
                    <w:tr2bl w:val="nil"/>
                  </w:tcBorders>
                  <w:vAlign w:val="center"/>
                </w:tcPr>
                <w:p w14:paraId="6EAFF800">
                  <w:pPr>
                    <w:pStyle w:val="42"/>
                    <w:shd w:val="clear" w:color="auto" w:fill="FFFFFF"/>
                    <w:spacing w:before="0" w:beforeAutospacing="0" w:after="60" w:afterAutospacing="0"/>
                    <w:rPr>
                      <w:rStyle w:val="51"/>
                      <w:rFonts w:hint="default" w:ascii="Times New Roman" w:hAnsi="Times New Roman" w:cs="Times New Roman"/>
                      <w:b w:val="0"/>
                      <w:bCs w:val="0"/>
                      <w:sz w:val="21"/>
                      <w:szCs w:val="21"/>
                      <w:highlight w:val="none"/>
                    </w:rPr>
                  </w:pPr>
                  <w:r>
                    <w:rPr>
                      <w:rStyle w:val="51"/>
                      <w:rFonts w:hint="default" w:ascii="Times New Roman" w:hAnsi="Times New Roman" w:cs="Times New Roman"/>
                      <w:sz w:val="21"/>
                      <w:szCs w:val="21"/>
                      <w:highlight w:val="none"/>
                    </w:rPr>
                    <w:t xml:space="preserve">严格建设用地风险管控与修复 </w:t>
                  </w:r>
                  <w:r>
                    <w:rPr>
                      <w:rStyle w:val="51"/>
                      <w:rFonts w:hint="default" w:ascii="Times New Roman" w:hAnsi="Times New Roman" w:cs="Times New Roman"/>
                      <w:b w:val="0"/>
                      <w:bCs w:val="0"/>
                      <w:sz w:val="21"/>
                      <w:szCs w:val="21"/>
                      <w:highlight w:val="none"/>
                    </w:rPr>
                    <w:t>加强部门协同，畅通信息共享，完善建设用地风险信息互通机制。从严管控农药、化工等行业的重度污染地块规划用途，确需开发利用的，鼓励用于拓展生态空间。结合空间规划及地块出让条件，对依法应当开展土壤污染状况调查的地块，应当明确开发利用必须符合相关规划用途的土壤环境质量要求。未依法开展或尚未完成土壤污染状况调查评估的土壤污染风险不明地块，杜绝进入用地程序。对未达到土壤污染风险评估报告确定的风险管控、修复目标的建设用地地块，禁止开工建设任何与风险管控、修复无关的项目。对注销、撤销排污许可证的企业，及时纳入监管范围，防止腾退地块游离于监管之外。在土地出让和房地产出售环节实行土壤污染状况公示制度。</w:t>
                  </w:r>
                </w:p>
                <w:p w14:paraId="6FC9F86E">
                  <w:pPr>
                    <w:pStyle w:val="42"/>
                    <w:shd w:val="clear" w:color="auto" w:fill="FFFFFF"/>
                    <w:spacing w:before="0" w:beforeAutospacing="0" w:after="60" w:afterAutospacing="0"/>
                    <w:rPr>
                      <w:rStyle w:val="51"/>
                      <w:rFonts w:hint="default" w:ascii="Times New Roman" w:hAnsi="Times New Roman" w:cs="Times New Roman"/>
                      <w:b w:val="0"/>
                      <w:bCs w:val="0"/>
                      <w:sz w:val="21"/>
                      <w:szCs w:val="21"/>
                      <w:highlight w:val="none"/>
                    </w:rPr>
                  </w:pPr>
                  <w:r>
                    <w:rPr>
                      <w:rStyle w:val="51"/>
                      <w:rFonts w:hint="default" w:ascii="Times New Roman" w:hAnsi="Times New Roman" w:cs="Times New Roman"/>
                      <w:b w:val="0"/>
                      <w:bCs w:val="0"/>
                      <w:sz w:val="21"/>
                      <w:szCs w:val="21"/>
                      <w:highlight w:val="none"/>
                    </w:rPr>
                    <w:t>严格落实建设用地风险管控和修复名录管理制度，定期更新建设用地土壤污染风险管控和修复名录。推进重点地区危险化学品生产企业搬迁腾退地块的风险管控和修复工作。土壤污染责任人或者土地使用权人全面落实污染地块风险管控措施，防止对土壤和周边环境造成新的污染。强化风险管控和修复工程监管，防止转运污染土壤非法处置，减少污染地块风险管控和修复过程中的二次污染。针对风险管控地块，各地要建立清单，严格落实风险管控措施，通过跟踪监测和现场检查等方式，强化后期管理。</w:t>
                  </w:r>
                </w:p>
              </w:tc>
              <w:tc>
                <w:tcPr>
                  <w:tcW w:w="1266" w:type="dxa"/>
                  <w:tcBorders>
                    <w:tl2br w:val="nil"/>
                    <w:tr2bl w:val="nil"/>
                  </w:tcBorders>
                  <w:vAlign w:val="center"/>
                </w:tcPr>
                <w:p w14:paraId="324C8B79">
                  <w:pP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本项目不新建厂房。</w:t>
                  </w:r>
                </w:p>
              </w:tc>
              <w:tc>
                <w:tcPr>
                  <w:tcW w:w="832" w:type="dxa"/>
                  <w:tcBorders>
                    <w:tl2br w:val="nil"/>
                    <w:tr2bl w:val="nil"/>
                  </w:tcBorders>
                  <w:vAlign w:val="center"/>
                </w:tcPr>
                <w:p w14:paraId="3D8F700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1704AEE3">
            <w:pPr>
              <w:pStyle w:val="153"/>
              <w:spacing w:before="120" w:beforeLines="50"/>
              <w:ind w:firstLine="482"/>
              <w:rPr>
                <w:rFonts w:hint="default" w:ascii="Times New Roman" w:hAnsi="Times New Roman" w:cs="Times New Roman"/>
                <w:highlight w:val="none"/>
              </w:rPr>
            </w:pPr>
            <w:r>
              <w:rPr>
                <w:rFonts w:hint="eastAsia" w:ascii="Times New Roman" w:hAnsi="Times New Roman" w:cs="Times New Roman"/>
                <w:b/>
                <w:bCs/>
                <w:highlight w:val="none"/>
                <w:lang w:val="en-US" w:eastAsia="zh-CN"/>
              </w:rPr>
              <w:t>9</w:t>
            </w:r>
            <w:r>
              <w:rPr>
                <w:rFonts w:hint="default" w:ascii="Times New Roman" w:hAnsi="Times New Roman" w:cs="Times New Roman"/>
                <w:b/>
                <w:bCs/>
                <w:highlight w:val="none"/>
              </w:rPr>
              <w:t>、与</w:t>
            </w:r>
            <w:r>
              <w:rPr>
                <w:rFonts w:hint="eastAsia" w:ascii="Times New Roman" w:hAnsi="Times New Roman" w:cs="Times New Roman"/>
                <w:b/>
                <w:bCs/>
                <w:highlight w:val="none"/>
                <w:lang w:eastAsia="zh-CN"/>
              </w:rPr>
              <w:t>《“</w:t>
            </w:r>
            <w:r>
              <w:rPr>
                <w:rFonts w:hint="default" w:ascii="Times New Roman" w:hAnsi="Times New Roman" w:cs="Times New Roman"/>
                <w:b/>
                <w:bCs/>
                <w:highlight w:val="none"/>
              </w:rPr>
              <w:t>十三五</w:t>
            </w:r>
            <w:r>
              <w:rPr>
                <w:rFonts w:hint="eastAsia" w:ascii="Times New Roman" w:hAnsi="Times New Roman" w:cs="Times New Roman"/>
                <w:b/>
                <w:bCs/>
                <w:highlight w:val="none"/>
                <w:lang w:eastAsia="zh-CN"/>
              </w:rPr>
              <w:t>”</w:t>
            </w:r>
            <w:r>
              <w:rPr>
                <w:rFonts w:hint="default" w:ascii="Times New Roman" w:hAnsi="Times New Roman" w:cs="Times New Roman"/>
                <w:b/>
                <w:bCs/>
                <w:highlight w:val="none"/>
              </w:rPr>
              <w:t>”挥发性有机物污染防治工作方案》</w:t>
            </w:r>
            <w:r>
              <w:rPr>
                <w:rFonts w:hint="default" w:ascii="Times New Roman" w:hAnsi="Times New Roman" w:cs="Times New Roman"/>
                <w:b/>
                <w:bCs/>
                <w:highlight w:val="none"/>
              </w:rPr>
              <w:tab/>
            </w:r>
            <w:r>
              <w:rPr>
                <w:rFonts w:hint="eastAsia" w:ascii="Times New Roman" w:hAnsi="Times New Roman" w:cs="Times New Roman"/>
                <w:b/>
                <w:bCs/>
                <w:highlight w:val="none"/>
                <w:lang w:eastAsia="zh-CN"/>
              </w:rPr>
              <w:t>（</w:t>
            </w:r>
            <w:r>
              <w:rPr>
                <w:rFonts w:hint="default" w:ascii="Times New Roman" w:hAnsi="Times New Roman" w:cs="Times New Roman"/>
                <w:b/>
                <w:bCs/>
                <w:highlight w:val="none"/>
              </w:rPr>
              <w:t>环大气〔2017〕121号</w:t>
            </w:r>
            <w:r>
              <w:rPr>
                <w:rFonts w:hint="eastAsia" w:ascii="Times New Roman" w:hAnsi="Times New Roman" w:cs="Times New Roman"/>
                <w:b/>
                <w:bCs/>
                <w:highlight w:val="none"/>
                <w:lang w:eastAsia="zh-CN"/>
              </w:rPr>
              <w:t>）</w:t>
            </w:r>
            <w:r>
              <w:rPr>
                <w:rFonts w:hint="default" w:ascii="Times New Roman" w:hAnsi="Times New Roman" w:cs="Times New Roman"/>
                <w:b/>
                <w:bCs/>
                <w:highlight w:val="none"/>
              </w:rPr>
              <w:t>符合性分析</w:t>
            </w:r>
          </w:p>
          <w:p w14:paraId="6ACF9EA4">
            <w:pPr>
              <w:pStyle w:val="155"/>
              <w:spacing w:line="240" w:lineRule="auto"/>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表1-</w:t>
            </w:r>
            <w:r>
              <w:rPr>
                <w:rFonts w:hint="eastAsia" w:ascii="Times New Roman" w:hAnsi="Times New Roman" w:eastAsia="宋体" w:cs="Times New Roman"/>
                <w:b/>
                <w:bCs/>
                <w:highlight w:val="none"/>
                <w:lang w:val="en-US" w:eastAsia="zh-CN"/>
              </w:rPr>
              <w:t>8</w:t>
            </w:r>
            <w:r>
              <w:rPr>
                <w:rFonts w:hint="default" w:ascii="Times New Roman" w:hAnsi="Times New Roman" w:eastAsia="宋体" w:cs="Times New Roman"/>
                <w:b/>
                <w:bCs/>
                <w:highlight w:val="none"/>
              </w:rPr>
              <w:t xml:space="preserve">  项目与《“十三五””挥发性有机物污染防治工作方案》</w:t>
            </w:r>
            <w:r>
              <w:rPr>
                <w:rFonts w:hint="default" w:ascii="Times New Roman" w:hAnsi="Times New Roman" w:eastAsia="宋体" w:cs="Times New Roman"/>
                <w:b/>
                <w:bCs/>
                <w:highlight w:val="none"/>
              </w:rPr>
              <w:tab/>
            </w:r>
            <w:r>
              <w:rPr>
                <w:rFonts w:hint="default" w:ascii="Times New Roman" w:hAnsi="Times New Roman" w:eastAsia="宋体" w:cs="Times New Roman"/>
                <w:b/>
                <w:bCs/>
                <w:highlight w:val="none"/>
              </w:rPr>
              <w:t>（环大气〔2017〕121号）符合性分析</w:t>
            </w:r>
          </w:p>
          <w:tbl>
            <w:tblPr>
              <w:tblStyle w:val="47"/>
              <w:tblW w:w="4961" w:type="pct"/>
              <w:tblInd w:w="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01"/>
              <w:gridCol w:w="5715"/>
              <w:gridCol w:w="1348"/>
              <w:gridCol w:w="1046"/>
            </w:tblGrid>
            <w:tr w14:paraId="22180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9" w:type="pct"/>
                  <w:tcBorders>
                    <w:tl2br w:val="nil"/>
                    <w:tr2bl w:val="nil"/>
                  </w:tcBorders>
                  <w:shd w:val="clear" w:color="auto" w:fill="auto"/>
                  <w:vAlign w:val="center"/>
                </w:tcPr>
                <w:p w14:paraId="6FDCE82A">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条目</w:t>
                  </w:r>
                </w:p>
              </w:tc>
              <w:tc>
                <w:tcPr>
                  <w:tcW w:w="3207" w:type="pct"/>
                  <w:tcBorders>
                    <w:tl2br w:val="nil"/>
                    <w:tr2bl w:val="nil"/>
                  </w:tcBorders>
                  <w:shd w:val="clear" w:color="auto" w:fill="auto"/>
                  <w:vAlign w:val="center"/>
                </w:tcPr>
                <w:p w14:paraId="5E9DECB4">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相关要求</w:t>
                  </w:r>
                </w:p>
              </w:tc>
              <w:tc>
                <w:tcPr>
                  <w:tcW w:w="756" w:type="pct"/>
                  <w:tcBorders>
                    <w:tl2br w:val="nil"/>
                    <w:tr2bl w:val="nil"/>
                  </w:tcBorders>
                  <w:shd w:val="clear" w:color="auto" w:fill="auto"/>
                  <w:vAlign w:val="center"/>
                </w:tcPr>
                <w:p w14:paraId="727E15A7">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符合情况</w:t>
                  </w:r>
                </w:p>
              </w:tc>
              <w:tc>
                <w:tcPr>
                  <w:tcW w:w="586" w:type="pct"/>
                  <w:tcBorders>
                    <w:tl2br w:val="nil"/>
                    <w:tr2bl w:val="nil"/>
                  </w:tcBorders>
                  <w:shd w:val="clear" w:color="auto" w:fill="auto"/>
                  <w:vAlign w:val="center"/>
                </w:tcPr>
                <w:p w14:paraId="1F5C1483">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符合性</w:t>
                  </w:r>
                </w:p>
              </w:tc>
            </w:tr>
            <w:tr w14:paraId="3E75B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5000" w:type="pct"/>
                  <w:gridSpan w:val="4"/>
                  <w:tcBorders>
                    <w:tl2br w:val="nil"/>
                    <w:tr2bl w:val="nil"/>
                  </w:tcBorders>
                  <w:shd w:val="clear" w:color="auto" w:fill="auto"/>
                  <w:vAlign w:val="center"/>
                </w:tcPr>
                <w:p w14:paraId="53F31A76">
                  <w:pPr>
                    <w:pStyle w:val="235"/>
                    <w:spacing w:line="245" w:lineRule="auto"/>
                    <w:rPr>
                      <w:rFonts w:hint="default" w:ascii="Times New Roman" w:hAnsi="Times New Roman" w:cs="Times New Roman"/>
                      <w:highlight w:val="none"/>
                    </w:rPr>
                  </w:pPr>
                  <w:r>
                    <w:rPr>
                      <w:rFonts w:hint="default" w:ascii="Times New Roman" w:hAnsi="Times New Roman" w:cs="Times New Roman"/>
                      <w:highlight w:val="none"/>
                    </w:rPr>
                    <w:t>四、主要任务</w:t>
                  </w:r>
                </w:p>
              </w:tc>
            </w:tr>
            <w:tr w14:paraId="46D41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449" w:type="pct"/>
                  <w:tcBorders>
                    <w:tl2br w:val="nil"/>
                    <w:tr2bl w:val="nil"/>
                  </w:tcBorders>
                  <w:vAlign w:val="center"/>
                </w:tcPr>
                <w:p w14:paraId="7C315494">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（一）加大产业结构调整力度。</w:t>
                  </w:r>
                </w:p>
              </w:tc>
              <w:tc>
                <w:tcPr>
                  <w:tcW w:w="3207" w:type="pct"/>
                  <w:tcBorders>
                    <w:tl2br w:val="nil"/>
                    <w:tr2bl w:val="nil"/>
                  </w:tcBorders>
                  <w:vAlign w:val="center"/>
                </w:tcPr>
                <w:p w14:paraId="58C8420C">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1.加快推进“散乱污”企业综合整治。各地要全面开展涉VOCs排放的“散乱污”企业排查工作，建立管理台账，实施分类处置。列入淘汰类的，依法依规予以取缔，做到“两断三清”，即断水、断电，清除原料、清除产品、清除设备；列入搬迁改造、升级改造类的，按照发展规模化、现代化产业的原则，制定改造提升方案，落实时间表和责任人；对“散乱污”企业集群，要制定总体整改方案，统一标准要求，并向社会公开，同步推进区域环境综合整治和企业升级改造。实行网格化管理，建立由乡、镇、街道党政主要领导为“网格长”的监管制度，明确网格督查员，落实排查和整改责任。京津冀大气污染传输通道城市于2017年9月底前完成“散乱污”企业综合整治工作。重点地区其他城市于2017年底前基本完成涉VOCs“散乱污”企业排查工作，建立管理台账，2018年底前依法依规完成清理整顿工作。涉VOCs排放的“散乱污”企业主要为涂料、油墨、合成革、橡胶制品、塑料制品、化纤生产等化工企业，使用溶剂型涂料、油墨、胶粘剂和其他有机溶剂的印刷、家具、钢结构、人造板、注塑等制造加工企业，以及露天喷涂汽车维修作业等。</w:t>
                  </w:r>
                </w:p>
              </w:tc>
              <w:tc>
                <w:tcPr>
                  <w:tcW w:w="756" w:type="pct"/>
                  <w:tcBorders>
                    <w:tl2br w:val="nil"/>
                    <w:tr2bl w:val="nil"/>
                  </w:tcBorders>
                  <w:vAlign w:val="center"/>
                </w:tcPr>
                <w:p w14:paraId="3B9CC5DF">
                  <w:pPr>
                    <w:pStyle w:val="235"/>
                    <w:spacing w:line="245" w:lineRule="auto"/>
                    <w:rPr>
                      <w:rFonts w:hint="default" w:ascii="Times New Roman" w:hAnsi="Times New Roman" w:eastAsia="宋体" w:cs="Times New Roman"/>
                      <w:bCs/>
                      <w:snapToGrid w:val="0"/>
                      <w:highlight w:val="none"/>
                      <w:lang w:val="en-US" w:eastAsia="zh-CN"/>
                    </w:rPr>
                  </w:pPr>
                  <w:r>
                    <w:rPr>
                      <w:rFonts w:hint="eastAsia" w:cs="Times New Roman"/>
                      <w:bCs/>
                      <w:snapToGrid w:val="0"/>
                      <w:highlight w:val="none"/>
                      <w:lang w:val="en-US" w:eastAsia="zh-CN"/>
                    </w:rPr>
                    <w:t>项目属于</w:t>
                  </w:r>
                  <w:r>
                    <w:rPr>
                      <w:rFonts w:hint="eastAsia" w:ascii="Times New Roman" w:hAnsi="Times New Roman" w:eastAsia="宋体" w:cs="Times New Roman"/>
                      <w:bCs/>
                      <w:snapToGrid w:val="0"/>
                      <w:highlight w:val="none"/>
                      <w:lang w:val="zh-CN" w:eastAsia="zh-CN"/>
                    </w:rPr>
                    <w:t>C</w:t>
                  </w:r>
                  <w:r>
                    <w:rPr>
                      <w:rFonts w:hint="eastAsia" w:ascii="Times New Roman" w:hAnsi="Times New Roman" w:eastAsia="宋体" w:cs="Times New Roman"/>
                      <w:bCs/>
                      <w:snapToGrid w:val="0"/>
                      <w:highlight w:val="none"/>
                      <w:lang w:val="en-US" w:eastAsia="zh-CN"/>
                    </w:rPr>
                    <w:t>2926</w:t>
                  </w:r>
                  <w:r>
                    <w:rPr>
                      <w:rFonts w:hint="eastAsia" w:ascii="Times New Roman" w:hAnsi="Times New Roman" w:eastAsia="宋体" w:cs="Times New Roman"/>
                      <w:bCs/>
                      <w:snapToGrid w:val="0"/>
                      <w:highlight w:val="none"/>
                      <w:lang w:val="zh-CN" w:eastAsia="zh-CN"/>
                    </w:rPr>
                    <w:t>塑料包装箱及容器制造</w:t>
                  </w:r>
                  <w:r>
                    <w:rPr>
                      <w:rFonts w:hint="eastAsia" w:cs="Times New Roman"/>
                      <w:bCs/>
                      <w:snapToGrid w:val="0"/>
                      <w:highlight w:val="none"/>
                      <w:lang w:val="zh-CN" w:eastAsia="zh-CN"/>
                    </w:rPr>
                    <w:t>，</w:t>
                  </w:r>
                  <w:r>
                    <w:rPr>
                      <w:rFonts w:hint="eastAsia" w:cs="Times New Roman"/>
                      <w:bCs/>
                      <w:snapToGrid w:val="0"/>
                      <w:highlight w:val="none"/>
                      <w:lang w:val="en-US" w:eastAsia="zh-CN"/>
                    </w:rPr>
                    <w:t>不属于“散乱污”企业。</w:t>
                  </w:r>
                </w:p>
              </w:tc>
              <w:tc>
                <w:tcPr>
                  <w:tcW w:w="586" w:type="pct"/>
                  <w:tcBorders>
                    <w:tl2br w:val="nil"/>
                    <w:tr2bl w:val="nil"/>
                  </w:tcBorders>
                  <w:vAlign w:val="center"/>
                </w:tcPr>
                <w:p w14:paraId="5902F798">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r w14:paraId="1A543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rPr>
              <w:tc>
                <w:tcPr>
                  <w:tcW w:w="449" w:type="pct"/>
                  <w:tcBorders>
                    <w:tl2br w:val="nil"/>
                    <w:tr2bl w:val="nil"/>
                  </w:tcBorders>
                  <w:vAlign w:val="center"/>
                </w:tcPr>
                <w:p w14:paraId="3D8327A7">
                  <w:pPr>
                    <w:pStyle w:val="235"/>
                    <w:spacing w:line="245" w:lineRule="auto"/>
                    <w:rPr>
                      <w:rFonts w:hint="default" w:ascii="Times New Roman" w:hAnsi="Times New Roman" w:cs="Times New Roman"/>
                      <w:bCs/>
                      <w:highlight w:val="none"/>
                    </w:rPr>
                  </w:pPr>
                </w:p>
              </w:tc>
              <w:tc>
                <w:tcPr>
                  <w:tcW w:w="3207" w:type="pct"/>
                  <w:tcBorders>
                    <w:tl2br w:val="nil"/>
                    <w:tr2bl w:val="nil"/>
                  </w:tcBorders>
                  <w:vAlign w:val="center"/>
                </w:tcPr>
                <w:p w14:paraId="2F85E8A4">
                  <w:pPr>
                    <w:pStyle w:val="235"/>
                    <w:spacing w:line="245" w:lineRule="auto"/>
                    <w:jc w:val="both"/>
                    <w:rPr>
                      <w:rFonts w:hint="default" w:ascii="Times New Roman" w:hAnsi="Times New Roman" w:cs="Times New Roman"/>
                      <w:bCs/>
                      <w:highlight w:val="none"/>
                    </w:rPr>
                  </w:pPr>
                  <w:r>
                    <w:rPr>
                      <w:rFonts w:hint="default" w:ascii="Times New Roman" w:hAnsi="Times New Roman" w:cs="Times New Roman"/>
                      <w:bCs/>
                      <w:highlight w:val="none"/>
                    </w:rPr>
                    <w:t>2.严格建设项目环境准入。提高VOCs排放重点行业环保准入门槛，严格控制新增污染物排放量。重点地区要严格限制石化、化工、包装印刷、工业涂装等高VOCs排放建设项目。新建涉VOCs排放的工业企业要入园区。未纳入《石化产业规划布局方案》的新建炼化项目一律不得建设。严格涉VOCs建设项目环境影响评价，实行区域内VOCs排放等量或倍量削减替代，并将替代方案落实到企业排污许可证中，纳入环境执法管理。新、改、扩建涉VOCs排放项目，应从源头加强控制，使用低（无）VOCs含量的原辅材料，加强废气收集，安装高效治理设施。</w:t>
                  </w:r>
                </w:p>
              </w:tc>
              <w:tc>
                <w:tcPr>
                  <w:tcW w:w="756" w:type="pct"/>
                  <w:tcBorders>
                    <w:tl2br w:val="nil"/>
                    <w:tr2bl w:val="nil"/>
                  </w:tcBorders>
                  <w:vAlign w:val="center"/>
                </w:tcPr>
                <w:p w14:paraId="58AB52FC">
                  <w:pPr>
                    <w:pStyle w:val="235"/>
                    <w:spacing w:line="245" w:lineRule="auto"/>
                    <w:rPr>
                      <w:rFonts w:hint="default" w:ascii="Times New Roman" w:hAnsi="Times New Roman" w:eastAsia="宋体" w:cs="Times New Roman"/>
                      <w:bCs/>
                      <w:snapToGrid w:val="0"/>
                      <w:highlight w:val="none"/>
                      <w:lang w:val="en-US" w:eastAsia="zh-CN"/>
                    </w:rPr>
                  </w:pPr>
                  <w:r>
                    <w:rPr>
                      <w:rFonts w:hint="eastAsia" w:cs="Times New Roman"/>
                      <w:bCs/>
                      <w:snapToGrid w:val="0"/>
                      <w:highlight w:val="none"/>
                      <w:lang w:val="en-US" w:eastAsia="zh-CN"/>
                    </w:rPr>
                    <w:t>项目属于</w:t>
                  </w:r>
                  <w:r>
                    <w:rPr>
                      <w:rFonts w:hint="eastAsia" w:ascii="Times New Roman" w:hAnsi="Times New Roman" w:eastAsia="宋体" w:cs="Times New Roman"/>
                      <w:bCs/>
                      <w:snapToGrid w:val="0"/>
                      <w:highlight w:val="none"/>
                      <w:lang w:val="zh-CN" w:eastAsia="zh-CN"/>
                    </w:rPr>
                    <w:t>C</w:t>
                  </w:r>
                  <w:r>
                    <w:rPr>
                      <w:rFonts w:hint="eastAsia" w:ascii="Times New Roman" w:hAnsi="Times New Roman" w:eastAsia="宋体" w:cs="Times New Roman"/>
                      <w:bCs/>
                      <w:snapToGrid w:val="0"/>
                      <w:highlight w:val="none"/>
                      <w:lang w:val="en-US" w:eastAsia="zh-CN"/>
                    </w:rPr>
                    <w:t>2926</w:t>
                  </w:r>
                  <w:r>
                    <w:rPr>
                      <w:rFonts w:hint="eastAsia" w:ascii="Times New Roman" w:hAnsi="Times New Roman" w:eastAsia="宋体" w:cs="Times New Roman"/>
                      <w:bCs/>
                      <w:snapToGrid w:val="0"/>
                      <w:highlight w:val="none"/>
                      <w:lang w:val="zh-CN" w:eastAsia="zh-CN"/>
                    </w:rPr>
                    <w:t>塑料包装箱及容器制造</w:t>
                  </w:r>
                  <w:r>
                    <w:rPr>
                      <w:rFonts w:hint="eastAsia" w:cs="Times New Roman"/>
                      <w:bCs/>
                      <w:snapToGrid w:val="0"/>
                      <w:highlight w:val="none"/>
                      <w:lang w:val="zh-CN" w:eastAsia="zh-CN"/>
                    </w:rPr>
                    <w:t>，</w:t>
                  </w:r>
                  <w:r>
                    <w:rPr>
                      <w:rFonts w:hint="eastAsia" w:cs="Times New Roman"/>
                      <w:bCs/>
                      <w:snapToGrid w:val="0"/>
                      <w:highlight w:val="none"/>
                      <w:lang w:val="en-US" w:eastAsia="zh-CN"/>
                    </w:rPr>
                    <w:t>不属于</w:t>
                  </w:r>
                  <w:r>
                    <w:rPr>
                      <w:rFonts w:hint="default" w:ascii="Times New Roman" w:hAnsi="Times New Roman" w:cs="Times New Roman"/>
                      <w:bCs/>
                      <w:highlight w:val="none"/>
                    </w:rPr>
                    <w:t>VOCs排放</w:t>
                  </w:r>
                  <w:r>
                    <w:rPr>
                      <w:rFonts w:hint="eastAsia" w:cs="Times New Roman"/>
                      <w:bCs/>
                      <w:snapToGrid w:val="0"/>
                      <w:highlight w:val="none"/>
                      <w:lang w:val="en-US" w:eastAsia="zh-CN"/>
                    </w:rPr>
                    <w:t>重点行业，项目位于凤凰镇梧台工业集聚区，严格落实主要污染物总量控制和排污许可制度。</w:t>
                  </w:r>
                </w:p>
              </w:tc>
              <w:tc>
                <w:tcPr>
                  <w:tcW w:w="586" w:type="pct"/>
                  <w:tcBorders>
                    <w:tl2br w:val="nil"/>
                    <w:tr2bl w:val="nil"/>
                  </w:tcBorders>
                  <w:vAlign w:val="center"/>
                </w:tcPr>
                <w:p w14:paraId="19468721">
                  <w:pPr>
                    <w:pStyle w:val="235"/>
                    <w:spacing w:line="245" w:lineRule="auto"/>
                    <w:rPr>
                      <w:rFonts w:hint="default" w:ascii="Times New Roman" w:hAnsi="Times New Roman" w:cs="Times New Roman"/>
                      <w:bCs/>
                      <w:highlight w:val="none"/>
                    </w:rPr>
                  </w:pPr>
                  <w:r>
                    <w:rPr>
                      <w:rFonts w:hint="default" w:ascii="Times New Roman" w:hAnsi="Times New Roman" w:cs="Times New Roman"/>
                      <w:bCs/>
                      <w:highlight w:val="none"/>
                    </w:rPr>
                    <w:t>符合</w:t>
                  </w:r>
                </w:p>
              </w:tc>
            </w:tr>
          </w:tbl>
          <w:p w14:paraId="75F5D633">
            <w:pPr>
              <w:pStyle w:val="153"/>
              <w:ind w:firstLine="480"/>
              <w:rPr>
                <w:rFonts w:hint="default" w:ascii="Times New Roman" w:hAnsi="Times New Roman" w:cs="Times New Roman"/>
                <w:highlight w:val="none"/>
              </w:rPr>
            </w:pPr>
          </w:p>
          <w:p w14:paraId="22DCC694">
            <w:pPr>
              <w:pStyle w:val="153"/>
              <w:ind w:firstLine="480"/>
              <w:rPr>
                <w:rFonts w:hint="default" w:ascii="Times New Roman" w:hAnsi="Times New Roman" w:cs="Times New Roman"/>
                <w:highlight w:val="none"/>
              </w:rPr>
            </w:pPr>
          </w:p>
        </w:tc>
      </w:tr>
    </w:tbl>
    <w:p w14:paraId="3F9E41CD">
      <w:pPr>
        <w:spacing w:line="360" w:lineRule="auto"/>
        <w:outlineLvl w:val="0"/>
        <w:rPr>
          <w:rFonts w:hint="default" w:ascii="Times New Roman" w:hAnsi="Times New Roman" w:eastAsia="黑体" w:cs="Times New Roman"/>
          <w:sz w:val="30"/>
          <w:highlight w:val="none"/>
        </w:rPr>
        <w:sectPr>
          <w:footerReference r:id="rId6" w:type="default"/>
          <w:pgSz w:w="11906" w:h="16838"/>
          <w:pgMar w:top="1440" w:right="1080" w:bottom="1440" w:left="1080" w:header="851" w:footer="737" w:gutter="0"/>
          <w:pgNumType w:start="1" w:chapStyle="1"/>
          <w:cols w:space="720" w:num="1"/>
          <w:docGrid w:linePitch="312" w:charSpace="0"/>
        </w:sectPr>
      </w:pPr>
    </w:p>
    <w:p w14:paraId="354F3A2D">
      <w:pPr>
        <w:pStyle w:val="42"/>
        <w:spacing w:before="0" w:beforeAutospacing="0" w:after="0" w:afterAutospacing="0" w:line="360" w:lineRule="auto"/>
        <w:jc w:val="center"/>
        <w:outlineLvl w:val="0"/>
        <w:rPr>
          <w:rFonts w:hint="default" w:ascii="Times New Roman" w:hAnsi="Times New Roman" w:eastAsia="黑体" w:cs="Times New Roman"/>
          <w:snapToGrid w:val="0"/>
          <w:sz w:val="30"/>
          <w:szCs w:val="30"/>
          <w:highlight w:val="none"/>
        </w:rPr>
        <w:sectPr>
          <w:type w:val="continuous"/>
          <w:pgSz w:w="11906" w:h="16838"/>
          <w:pgMar w:top="1440" w:right="1080" w:bottom="1440" w:left="1080" w:header="851" w:footer="851" w:gutter="0"/>
          <w:cols w:space="720" w:num="1"/>
          <w:docGrid w:linePitch="312" w:charSpace="0"/>
        </w:sectPr>
      </w:pPr>
    </w:p>
    <w:p w14:paraId="3B77AEFC">
      <w:pPr>
        <w:pStyle w:val="42"/>
        <w:spacing w:before="0" w:beforeAutospacing="0" w:after="0" w:afterAutospacing="0" w:line="360" w:lineRule="auto"/>
        <w:jc w:val="center"/>
        <w:outlineLvl w:val="0"/>
        <w:rPr>
          <w:rFonts w:hint="default" w:ascii="Times New Roman" w:hAnsi="Times New Roman" w:eastAsia="黑体" w:cs="Times New Roman"/>
          <w:snapToGrid w:val="0"/>
          <w:sz w:val="30"/>
          <w:szCs w:val="30"/>
          <w:highlight w:val="none"/>
        </w:rPr>
      </w:pPr>
      <w:r>
        <w:rPr>
          <w:rFonts w:hint="default" w:ascii="Times New Roman" w:hAnsi="Times New Roman" w:eastAsia="黑体" w:cs="Times New Roman"/>
          <w:snapToGrid w:val="0"/>
          <w:sz w:val="30"/>
          <w:szCs w:val="30"/>
          <w:highlight w:val="none"/>
        </w:rPr>
        <w:t>二、建设项目工程分析</w:t>
      </w:r>
    </w:p>
    <w:tbl>
      <w:tblPr>
        <w:tblStyle w:val="47"/>
        <w:tblW w:w="494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4"/>
        <w:gridCol w:w="9316"/>
      </w:tblGrid>
      <w:tr w14:paraId="61139F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1" w:type="pct"/>
            <w:vAlign w:val="center"/>
          </w:tcPr>
          <w:p w14:paraId="7980BCD4">
            <w:pPr>
              <w:pStyle w:val="42"/>
              <w:adjustRightInd w:val="0"/>
              <w:snapToGrid w:val="0"/>
              <w:spacing w:before="0" w:beforeAutospacing="0" w:after="0" w:afterAutospacing="0"/>
              <w:jc w:val="center"/>
              <w:rPr>
                <w:rFonts w:hint="default" w:ascii="Times New Roman" w:hAnsi="Times New Roman" w:eastAsia="黑体" w:cs="Times New Roman"/>
                <w:szCs w:val="24"/>
                <w:highlight w:val="none"/>
              </w:rPr>
            </w:pPr>
            <w:r>
              <w:rPr>
                <w:rFonts w:hint="default" w:ascii="Times New Roman" w:hAnsi="Times New Roman" w:eastAsia="黑体" w:cs="Times New Roman"/>
                <w:szCs w:val="24"/>
                <w:highlight w:val="none"/>
              </w:rPr>
              <w:t>建设内容</w:t>
            </w:r>
          </w:p>
        </w:tc>
        <w:tc>
          <w:tcPr>
            <w:tcW w:w="4728" w:type="pct"/>
          </w:tcPr>
          <w:p w14:paraId="5AD91590">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1、项目基本情况</w:t>
            </w:r>
          </w:p>
          <w:p w14:paraId="69B0854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淄博齐钰达塑业有限公司成立于2025年12月</w:t>
            </w:r>
            <w:r>
              <w:rPr>
                <w:rFonts w:hint="eastAsia" w:cs="Times New Roman"/>
                <w:sz w:val="24"/>
                <w:highlight w:val="none"/>
                <w:lang w:val="en-US" w:eastAsia="zh-CN"/>
              </w:rPr>
              <w:t>8日，注册地址位于山东省淄博市临淄区凤凰镇土桥村辛河路与梧台路交叉口东400米</w:t>
            </w:r>
            <w:r>
              <w:rPr>
                <w:rFonts w:hint="default" w:ascii="Times New Roman" w:hAnsi="Times New Roman" w:cs="Times New Roman"/>
                <w:sz w:val="24"/>
                <w:highlight w:val="none"/>
              </w:rPr>
              <w:t>。经营范围：塑料包装箱及容器制造；塑料制品制造；塑料制品销售；化工产品销售（不含许可类化工产品）；五金产品零售。（除依法须经批准的项目外，凭营业执照依法自主开展经营活动）</w:t>
            </w:r>
          </w:p>
          <w:p w14:paraId="58B8475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近年来，</w:t>
            </w:r>
            <w:r>
              <w:rPr>
                <w:rFonts w:hint="eastAsia" w:cs="Times New Roman"/>
                <w:sz w:val="24"/>
                <w:highlight w:val="none"/>
                <w:lang w:val="en-US" w:eastAsia="zh-CN"/>
              </w:rPr>
              <w:t>塑料桶</w:t>
            </w:r>
            <w:r>
              <w:rPr>
                <w:rFonts w:hint="default" w:ascii="Times New Roman" w:hAnsi="Times New Roman" w:cs="Times New Roman"/>
                <w:sz w:val="24"/>
                <w:highlight w:val="none"/>
              </w:rPr>
              <w:t>的市场需求不断增大，为满足市场需求，公司拟投资</w:t>
            </w:r>
            <w:r>
              <w:rPr>
                <w:rFonts w:hint="eastAsia" w:cs="Times New Roman"/>
                <w:sz w:val="24"/>
                <w:highlight w:val="none"/>
                <w:lang w:val="en-US" w:eastAsia="zh-CN"/>
              </w:rPr>
              <w:t>532</w:t>
            </w:r>
            <w:r>
              <w:rPr>
                <w:rFonts w:hint="default" w:ascii="Times New Roman" w:hAnsi="Times New Roman" w:cs="Times New Roman"/>
                <w:sz w:val="24"/>
                <w:highlight w:val="none"/>
              </w:rPr>
              <w:t>万元，建设</w:t>
            </w:r>
            <w:r>
              <w:rPr>
                <w:rFonts w:hint="eastAsia" w:cs="Times New Roman"/>
                <w:sz w:val="24"/>
                <w:highlight w:val="none"/>
                <w:lang w:eastAsia="zh-CN"/>
              </w:rPr>
              <w:t>淄博齐钰达塑业有限公司年产30万套塑料桶制品项目</w:t>
            </w:r>
            <w:r>
              <w:rPr>
                <w:rFonts w:hint="default" w:ascii="Times New Roman" w:hAnsi="Times New Roman" w:cs="Times New Roman"/>
                <w:sz w:val="24"/>
                <w:highlight w:val="none"/>
              </w:rPr>
              <w:t>。</w:t>
            </w:r>
          </w:p>
          <w:p w14:paraId="3096E75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根据《建设项目环境保护管理条例》和《</w:t>
            </w:r>
            <w:r>
              <w:rPr>
                <w:rFonts w:hint="eastAsia" w:cs="Times New Roman"/>
                <w:sz w:val="24"/>
                <w:highlight w:val="none"/>
                <w:lang w:eastAsia="zh-CN"/>
              </w:rPr>
              <w:t>中华人民共和国环境影响评价法》</w:t>
            </w:r>
            <w:r>
              <w:rPr>
                <w:rFonts w:hint="default" w:ascii="Times New Roman" w:hAnsi="Times New Roman" w:cs="Times New Roman"/>
                <w:sz w:val="24"/>
                <w:highlight w:val="none"/>
              </w:rPr>
              <w:t>有关规定，该项目应进行环境影响评价。对照《建设项目环境影响评价分类管理名录》（2021版），属于</w:t>
            </w:r>
            <w:r>
              <w:rPr>
                <w:rFonts w:hint="eastAsia" w:cs="Times New Roman"/>
                <w:sz w:val="24"/>
                <w:highlight w:val="none"/>
                <w:lang w:eastAsia="zh-CN"/>
              </w:rPr>
              <w:t>“</w:t>
            </w:r>
            <w:r>
              <w:rPr>
                <w:rFonts w:hint="default" w:ascii="Times New Roman" w:hAnsi="Times New Roman" w:cs="Times New Roman"/>
                <w:sz w:val="24"/>
                <w:highlight w:val="none"/>
              </w:rPr>
              <w:t>53.塑料制品业 292</w:t>
            </w:r>
            <w:r>
              <w:rPr>
                <w:rFonts w:hint="eastAsia" w:cs="Times New Roman"/>
                <w:sz w:val="24"/>
                <w:highlight w:val="none"/>
                <w:lang w:eastAsia="zh-CN"/>
              </w:rPr>
              <w:t>”</w:t>
            </w:r>
            <w:r>
              <w:rPr>
                <w:rFonts w:hint="default" w:ascii="Times New Roman" w:hAnsi="Times New Roman" w:cs="Times New Roman"/>
                <w:sz w:val="24"/>
                <w:highlight w:val="none"/>
              </w:rPr>
              <w:t>中</w:t>
            </w:r>
            <w:r>
              <w:rPr>
                <w:rFonts w:hint="eastAsia" w:cs="Times New Roman"/>
                <w:sz w:val="24"/>
                <w:highlight w:val="none"/>
                <w:lang w:eastAsia="zh-CN"/>
              </w:rPr>
              <w:t>“</w:t>
            </w:r>
            <w:r>
              <w:rPr>
                <w:rFonts w:hint="default" w:ascii="Times New Roman" w:hAnsi="Times New Roman" w:cs="Times New Roman"/>
                <w:sz w:val="24"/>
                <w:highlight w:val="none"/>
              </w:rPr>
              <w:t>其他（年用非溶剂型低VOCs含量涂料10吨以下的除外）</w:t>
            </w:r>
            <w:r>
              <w:rPr>
                <w:rFonts w:hint="eastAsia" w:cs="Times New Roman"/>
                <w:sz w:val="24"/>
                <w:highlight w:val="none"/>
                <w:lang w:eastAsia="zh-CN"/>
              </w:rPr>
              <w:t>”</w:t>
            </w:r>
            <w:r>
              <w:rPr>
                <w:rFonts w:hint="default" w:ascii="Times New Roman" w:hAnsi="Times New Roman" w:cs="Times New Roman"/>
                <w:sz w:val="24"/>
                <w:highlight w:val="none"/>
              </w:rPr>
              <w:t>，应编制环境影响报告表。</w:t>
            </w:r>
          </w:p>
          <w:p w14:paraId="28360106">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2、建设规模及主要内容</w:t>
            </w:r>
          </w:p>
          <w:p w14:paraId="3AD205C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项目位于淄博市</w:t>
            </w:r>
            <w:r>
              <w:rPr>
                <w:rFonts w:hint="eastAsia" w:cs="Times New Roman"/>
                <w:sz w:val="24"/>
                <w:highlight w:val="none"/>
                <w:lang w:eastAsia="zh-CN"/>
              </w:rPr>
              <w:t>临淄区凤凰镇土桥村辛河路与梧台路交叉口东400米</w:t>
            </w:r>
            <w:r>
              <w:rPr>
                <w:rFonts w:hint="default" w:ascii="Times New Roman" w:hAnsi="Times New Roman" w:cs="Times New Roman"/>
                <w:sz w:val="24"/>
                <w:highlight w:val="none"/>
              </w:rPr>
              <w:t>，项目属于《国民经济行业分类》（2017）</w:t>
            </w:r>
            <w:r>
              <w:rPr>
                <w:rFonts w:hint="default" w:ascii="Times New Roman" w:hAnsi="Times New Roman" w:cs="Times New Roman"/>
                <w:sz w:val="24"/>
                <w:highlight w:val="none"/>
                <w:lang w:val="zh-CN"/>
              </w:rPr>
              <w:t>C</w:t>
            </w:r>
            <w:r>
              <w:rPr>
                <w:rFonts w:hint="eastAsia" w:cs="Times New Roman"/>
                <w:sz w:val="24"/>
                <w:highlight w:val="none"/>
                <w:lang w:val="en-US" w:eastAsia="zh-CN"/>
              </w:rPr>
              <w:t>2926</w:t>
            </w:r>
            <w:r>
              <w:rPr>
                <w:rFonts w:hint="eastAsia" w:cs="Times New Roman"/>
                <w:sz w:val="24"/>
                <w:highlight w:val="none"/>
                <w:lang w:val="zh-CN"/>
              </w:rPr>
              <w:t>塑料包装箱及容器制造</w:t>
            </w:r>
            <w:r>
              <w:rPr>
                <w:rFonts w:hint="default" w:ascii="Times New Roman" w:hAnsi="Times New Roman" w:cs="Times New Roman"/>
                <w:sz w:val="24"/>
                <w:highlight w:val="none"/>
              </w:rPr>
              <w:t>，项目不属于《产业结构调整指导目录》（2024年本）限制类及淘汰类。</w:t>
            </w:r>
          </w:p>
          <w:p w14:paraId="77C49219">
            <w:pPr>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项目位于临淄区凤凰镇土桥村辛河路与梧台路交叉口东400米处。在凤凰镇</w:t>
            </w:r>
            <w:r>
              <w:rPr>
                <w:rFonts w:hint="eastAsia" w:cs="Times New Roman"/>
                <w:sz w:val="24"/>
                <w:highlight w:val="none"/>
                <w:lang w:eastAsia="zh-CN"/>
              </w:rPr>
              <w:t>梧台工业集聚区</w:t>
            </w:r>
            <w:r>
              <w:rPr>
                <w:rFonts w:hint="default" w:ascii="Times New Roman" w:hAnsi="Times New Roman" w:cs="Times New Roman"/>
                <w:sz w:val="24"/>
                <w:highlight w:val="none"/>
              </w:rPr>
              <w:t>，不新征土地，租赁现有厂房，购置塑料中空吹塑机、自动注塑机等国产设备。项目建成后可实现年产30万套塑料桶制品。</w:t>
            </w:r>
          </w:p>
          <w:p w14:paraId="43E63664">
            <w:pPr>
              <w:pStyle w:val="12"/>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具体工程内容见下表。</w:t>
            </w:r>
          </w:p>
          <w:p w14:paraId="71C179A2">
            <w:pPr>
              <w:pStyle w:val="94"/>
              <w:spacing w:before="24" w:after="24" w:line="240" w:lineRule="auto"/>
              <w:rPr>
                <w:rFonts w:hint="default" w:ascii="Times New Roman" w:hAnsi="Times New Roman" w:cs="Times New Roman"/>
                <w:b/>
                <w:bCs/>
                <w:sz w:val="24"/>
                <w:szCs w:val="24"/>
                <w:highlight w:val="none"/>
              </w:rPr>
            </w:pPr>
            <w:bookmarkStart w:id="12" w:name="_Hlk18614731"/>
            <w:r>
              <w:rPr>
                <w:rFonts w:hint="default" w:ascii="Times New Roman" w:hAnsi="Times New Roman" w:cs="Times New Roman"/>
                <w:b/>
                <w:bCs/>
                <w:sz w:val="24"/>
                <w:szCs w:val="24"/>
                <w:highlight w:val="none"/>
              </w:rPr>
              <w:t>表2-1  项目工程内容情况一览表</w:t>
            </w:r>
            <w:bookmarkEnd w:id="12"/>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3"/>
              <w:gridCol w:w="1093"/>
              <w:gridCol w:w="6116"/>
              <w:gridCol w:w="1208"/>
            </w:tblGrid>
            <w:tr w14:paraId="4779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6" w:type="dxa"/>
                  <w:gridSpan w:val="2"/>
                  <w:vAlign w:val="center"/>
                </w:tcPr>
                <w:p w14:paraId="26643DDB">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项目组成</w:t>
                  </w:r>
                </w:p>
              </w:tc>
              <w:tc>
                <w:tcPr>
                  <w:tcW w:w="6116" w:type="dxa"/>
                  <w:vAlign w:val="center"/>
                </w:tcPr>
                <w:p w14:paraId="65ECD71C">
                  <w:pPr>
                    <w:jc w:val="center"/>
                    <w:rPr>
                      <w:rFonts w:hint="default"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项目建设内容及规模</w:t>
                  </w:r>
                </w:p>
              </w:tc>
              <w:tc>
                <w:tcPr>
                  <w:tcW w:w="1208" w:type="dxa"/>
                  <w:vAlign w:val="center"/>
                </w:tcPr>
                <w:p w14:paraId="4A0546C8">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备注</w:t>
                  </w:r>
                </w:p>
              </w:tc>
            </w:tr>
            <w:tr w14:paraId="1B1A6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Align w:val="center"/>
                </w:tcPr>
                <w:p w14:paraId="1089C6E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主体</w:t>
                  </w:r>
                </w:p>
                <w:p w14:paraId="109F2CA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工程</w:t>
                  </w:r>
                </w:p>
              </w:tc>
              <w:tc>
                <w:tcPr>
                  <w:tcW w:w="1093" w:type="dxa"/>
                  <w:shd w:val="clear" w:color="auto" w:fill="auto"/>
                  <w:vAlign w:val="center"/>
                </w:tcPr>
                <w:p w14:paraId="4580119A">
                  <w:pPr>
                    <w:jc w:val="center"/>
                    <w:rPr>
                      <w:rFonts w:hint="default"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生产车间</w:t>
                  </w:r>
                </w:p>
              </w:tc>
              <w:tc>
                <w:tcPr>
                  <w:tcW w:w="6116" w:type="dxa"/>
                  <w:shd w:val="clear" w:color="auto" w:fill="auto"/>
                  <w:vAlign w:val="center"/>
                </w:tcPr>
                <w:p w14:paraId="18F38908">
                  <w:pPr>
                    <w:jc w:val="center"/>
                    <w:rPr>
                      <w:rFonts w:hint="default"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1层，建筑面积234.4m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，砖混结构，购置塑料中空吹塑机、自动注塑机、空气压缩机、制冷机、混料机、上料机等设备，年产30万套塑料桶制品。</w:t>
                  </w:r>
                </w:p>
              </w:tc>
              <w:tc>
                <w:tcPr>
                  <w:tcW w:w="1208" w:type="dxa"/>
                  <w:vMerge w:val="restart"/>
                  <w:vAlign w:val="center"/>
                </w:tcPr>
                <w:p w14:paraId="51DCB50C">
                  <w:pPr>
                    <w:adjustRightInd w:val="0"/>
                    <w:snapToGrid w:val="0"/>
                    <w:jc w:val="center"/>
                    <w:rPr>
                      <w:rFonts w:hint="default"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依托租赁厂区现有</w:t>
                  </w:r>
                </w:p>
              </w:tc>
            </w:tr>
            <w:tr w14:paraId="3D90B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restart"/>
                  <w:vAlign w:val="center"/>
                </w:tcPr>
                <w:p w14:paraId="5D8F1AD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辅助</w:t>
                  </w:r>
                </w:p>
                <w:p w14:paraId="5605AAE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工程</w:t>
                  </w:r>
                </w:p>
              </w:tc>
              <w:tc>
                <w:tcPr>
                  <w:tcW w:w="1093" w:type="dxa"/>
                  <w:shd w:val="clear" w:color="auto" w:fill="auto"/>
                  <w:vAlign w:val="center"/>
                </w:tcPr>
                <w:p w14:paraId="327A6956">
                  <w:pPr>
                    <w:jc w:val="center"/>
                    <w:rPr>
                      <w:rFonts w:hint="default" w:ascii="Times New Roman" w:hAnsi="Times New Roman" w:eastAsia="宋体" w:cs="Times New Roman"/>
                      <w:bCs/>
                      <w:szCs w:val="21"/>
                      <w:highlight w:val="none"/>
                      <w:lang w:val="en-US" w:eastAsia="zh-CN"/>
                    </w:rPr>
                  </w:pPr>
                  <w:r>
                    <w:rPr>
                      <w:rFonts w:hint="eastAsia" w:ascii="Times New Roman" w:hAnsi="Times New Roman" w:eastAsia="宋体" w:cs="Times New Roman"/>
                      <w:bCs/>
                      <w:szCs w:val="21"/>
                      <w:highlight w:val="none"/>
                      <w:lang w:val="en-US" w:eastAsia="zh-CN"/>
                    </w:rPr>
                    <w:t>办公室1</w:t>
                  </w:r>
                </w:p>
              </w:tc>
              <w:tc>
                <w:tcPr>
                  <w:tcW w:w="6116" w:type="dxa"/>
                  <w:shd w:val="clear" w:color="auto" w:fill="auto"/>
                  <w:vAlign w:val="center"/>
                </w:tcPr>
                <w:p w14:paraId="1ED6C8C5">
                  <w:pPr>
                    <w:autoSpaceDE w:val="0"/>
                    <w:autoSpaceDN w:val="0"/>
                    <w:adjustRightInd w:val="0"/>
                    <w:jc w:val="center"/>
                    <w:rPr>
                      <w:rFonts w:hint="default" w:ascii="Times New Roman" w:hAnsi="Times New Roman" w:cs="Times New Roman"/>
                      <w:kern w:val="0"/>
                      <w:highlight w:val="none"/>
                      <w:lang w:val="en-US"/>
                    </w:rPr>
                  </w:pPr>
                  <w:r>
                    <w:rPr>
                      <w:rFonts w:hint="eastAsia" w:cs="Times New Roman"/>
                      <w:bCs/>
                      <w:szCs w:val="21"/>
                      <w:highlight w:val="none"/>
                      <w:lang w:val="en-US" w:eastAsia="zh-CN"/>
                    </w:rPr>
                    <w:t>1层，建筑面积45m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w:t>
                  </w:r>
                  <w:r>
                    <w:rPr>
                      <w:rFonts w:hint="default" w:ascii="Times New Roman" w:hAnsi="Times New Roman" w:cs="Times New Roman"/>
                      <w:bCs/>
                      <w:color w:val="000000"/>
                      <w:szCs w:val="21"/>
                      <w:highlight w:val="none"/>
                    </w:rPr>
                    <w:t>主要为生产管理、财务办公场所</w:t>
                  </w:r>
                  <w:r>
                    <w:rPr>
                      <w:rFonts w:hint="default" w:ascii="Times New Roman" w:hAnsi="Times New Roman" w:cs="Times New Roman"/>
                      <w:bCs/>
                      <w:color w:val="000000"/>
                      <w:szCs w:val="21"/>
                      <w:highlight w:val="none"/>
                      <w:lang w:eastAsia="zh-CN"/>
                    </w:rPr>
                    <w:t>。</w:t>
                  </w:r>
                </w:p>
              </w:tc>
              <w:tc>
                <w:tcPr>
                  <w:tcW w:w="1208" w:type="dxa"/>
                  <w:vMerge w:val="continue"/>
                  <w:vAlign w:val="center"/>
                </w:tcPr>
                <w:p w14:paraId="30E0DD26">
                  <w:pPr>
                    <w:adjustRightInd w:val="0"/>
                    <w:snapToGrid w:val="0"/>
                    <w:jc w:val="center"/>
                    <w:rPr>
                      <w:rFonts w:hint="default" w:ascii="Times New Roman" w:hAnsi="Times New Roman" w:cs="Times New Roman"/>
                      <w:bCs/>
                      <w:szCs w:val="21"/>
                      <w:highlight w:val="none"/>
                    </w:rPr>
                  </w:pPr>
                </w:p>
              </w:tc>
            </w:tr>
            <w:tr w14:paraId="7ED77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56C6D287">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75B387EF">
                  <w:pPr>
                    <w:jc w:val="center"/>
                    <w:rPr>
                      <w:rFonts w:hint="default" w:ascii="Times New Roman" w:hAnsi="Times New Roman" w:eastAsia="宋体" w:cs="Times New Roman"/>
                      <w:bCs/>
                      <w:szCs w:val="21"/>
                      <w:highlight w:val="none"/>
                      <w:lang w:val="en-US" w:eastAsia="zh-CN"/>
                    </w:rPr>
                  </w:pPr>
                  <w:r>
                    <w:rPr>
                      <w:rFonts w:hint="eastAsia" w:ascii="Times New Roman" w:hAnsi="Times New Roman" w:eastAsia="宋体" w:cs="Times New Roman"/>
                      <w:bCs/>
                      <w:szCs w:val="21"/>
                      <w:highlight w:val="none"/>
                      <w:lang w:val="en-US" w:eastAsia="zh-CN"/>
                    </w:rPr>
                    <w:t>办公室2</w:t>
                  </w:r>
                </w:p>
              </w:tc>
              <w:tc>
                <w:tcPr>
                  <w:tcW w:w="6116" w:type="dxa"/>
                  <w:shd w:val="clear" w:color="auto" w:fill="auto"/>
                  <w:vAlign w:val="center"/>
                </w:tcPr>
                <w:p w14:paraId="3638F40C">
                  <w:pPr>
                    <w:autoSpaceDE w:val="0"/>
                    <w:autoSpaceDN w:val="0"/>
                    <w:adjustRightInd w:val="0"/>
                    <w:jc w:val="center"/>
                    <w:rPr>
                      <w:rFonts w:hint="default" w:ascii="Times New Roman" w:hAnsi="Times New Roman" w:cs="Times New Roman"/>
                      <w:kern w:val="0"/>
                      <w:highlight w:val="none"/>
                    </w:rPr>
                  </w:pPr>
                  <w:r>
                    <w:rPr>
                      <w:rFonts w:hint="eastAsia" w:cs="Times New Roman"/>
                      <w:bCs/>
                      <w:szCs w:val="21"/>
                      <w:highlight w:val="none"/>
                      <w:lang w:val="en-US" w:eastAsia="zh-CN"/>
                    </w:rPr>
                    <w:t>1层，建筑面积22.5m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，砖混结构，主要为生产管理、财务办公场所。</w:t>
                  </w:r>
                </w:p>
              </w:tc>
              <w:tc>
                <w:tcPr>
                  <w:tcW w:w="1208" w:type="dxa"/>
                  <w:vMerge w:val="continue"/>
                  <w:vAlign w:val="center"/>
                </w:tcPr>
                <w:p w14:paraId="33637CCE">
                  <w:pPr>
                    <w:adjustRightInd w:val="0"/>
                    <w:snapToGrid w:val="0"/>
                    <w:jc w:val="center"/>
                    <w:rPr>
                      <w:rFonts w:hint="default" w:ascii="Times New Roman" w:hAnsi="Times New Roman" w:cs="Times New Roman"/>
                      <w:bCs/>
                      <w:szCs w:val="21"/>
                      <w:highlight w:val="none"/>
                    </w:rPr>
                  </w:pPr>
                </w:p>
              </w:tc>
            </w:tr>
            <w:tr w14:paraId="37EB4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2DD03876">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7BB7E404">
                  <w:pPr>
                    <w:jc w:val="center"/>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szCs w:val="21"/>
                      <w:highlight w:val="none"/>
                      <w:lang w:val="en-US" w:eastAsia="zh-CN"/>
                    </w:rPr>
                    <w:t>办公室</w:t>
                  </w:r>
                  <w:r>
                    <w:rPr>
                      <w:rFonts w:hint="eastAsia" w:cs="Times New Roman"/>
                      <w:bCs/>
                      <w:szCs w:val="21"/>
                      <w:highlight w:val="none"/>
                      <w:lang w:val="en-US" w:eastAsia="zh-CN"/>
                    </w:rPr>
                    <w:t>3</w:t>
                  </w:r>
                </w:p>
              </w:tc>
              <w:tc>
                <w:tcPr>
                  <w:tcW w:w="6116" w:type="dxa"/>
                  <w:shd w:val="clear" w:color="auto" w:fill="auto"/>
                  <w:vAlign w:val="center"/>
                </w:tcPr>
                <w:p w14:paraId="703ABAD4">
                  <w:pPr>
                    <w:autoSpaceDE w:val="0"/>
                    <w:autoSpaceDN w:val="0"/>
                    <w:adjustRightInd w:val="0"/>
                    <w:jc w:val="center"/>
                    <w:rPr>
                      <w:rFonts w:hint="eastAsia" w:ascii="Times New Roman" w:hAnsi="Times New Roman" w:eastAsia="宋体" w:cs="Times New Roman"/>
                      <w:kern w:val="0"/>
                      <w:sz w:val="21"/>
                      <w:szCs w:val="24"/>
                      <w:highlight w:val="none"/>
                      <w:lang w:val="en-US" w:eastAsia="zh-CN" w:bidi="ar-SA"/>
                    </w:rPr>
                  </w:pPr>
                  <w:r>
                    <w:rPr>
                      <w:rFonts w:hint="eastAsia" w:cs="Times New Roman"/>
                      <w:bCs/>
                      <w:szCs w:val="21"/>
                      <w:highlight w:val="none"/>
                      <w:lang w:val="en-US" w:eastAsia="zh-CN"/>
                    </w:rPr>
                    <w:t>1层，建筑面积22.5m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，砖混结构，主要为生产管理、财务办公场所。</w:t>
                  </w:r>
                </w:p>
              </w:tc>
              <w:tc>
                <w:tcPr>
                  <w:tcW w:w="1208" w:type="dxa"/>
                  <w:vMerge w:val="continue"/>
                  <w:vAlign w:val="center"/>
                </w:tcPr>
                <w:p w14:paraId="408BAA3A">
                  <w:pPr>
                    <w:adjustRightInd w:val="0"/>
                    <w:snapToGrid w:val="0"/>
                    <w:jc w:val="center"/>
                    <w:rPr>
                      <w:rFonts w:hint="default" w:ascii="Times New Roman" w:hAnsi="Times New Roman" w:cs="Times New Roman"/>
                      <w:bCs/>
                      <w:szCs w:val="21"/>
                      <w:highlight w:val="none"/>
                    </w:rPr>
                  </w:pPr>
                </w:p>
              </w:tc>
            </w:tr>
            <w:tr w14:paraId="3697A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1D0954E2">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5F94384B">
                  <w:pPr>
                    <w:jc w:val="center"/>
                    <w:rPr>
                      <w:rFonts w:hint="default"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配电室</w:t>
                  </w:r>
                </w:p>
              </w:tc>
              <w:tc>
                <w:tcPr>
                  <w:tcW w:w="6116" w:type="dxa"/>
                  <w:shd w:val="clear" w:color="auto" w:fill="auto"/>
                  <w:vAlign w:val="center"/>
                </w:tcPr>
                <w:p w14:paraId="207A786F">
                  <w:pPr>
                    <w:autoSpaceDE w:val="0"/>
                    <w:autoSpaceDN w:val="0"/>
                    <w:adjustRightInd w:val="0"/>
                    <w:jc w:val="center"/>
                    <w:rPr>
                      <w:rFonts w:hint="eastAsia" w:cs="Times New Roman"/>
                      <w:bCs/>
                      <w:szCs w:val="21"/>
                      <w:highlight w:val="none"/>
                      <w:lang w:val="en-US" w:eastAsia="zh-CN"/>
                    </w:rPr>
                  </w:pPr>
                  <w:r>
                    <w:rPr>
                      <w:rFonts w:hint="eastAsia" w:cs="Times New Roman"/>
                      <w:bCs/>
                      <w:szCs w:val="21"/>
                      <w:highlight w:val="none"/>
                      <w:lang w:val="en-US" w:eastAsia="zh-CN"/>
                    </w:rPr>
                    <w:t>1层，建筑面积20m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w:t>
                  </w:r>
                  <w:r>
                    <w:rPr>
                      <w:rFonts w:hint="default" w:ascii="Times New Roman" w:hAnsi="Times New Roman" w:cs="Times New Roman"/>
                      <w:bCs/>
                      <w:color w:val="000000"/>
                      <w:szCs w:val="21"/>
                      <w:highlight w:val="none"/>
                    </w:rPr>
                    <w:t>主要</w:t>
                  </w:r>
                  <w:r>
                    <w:rPr>
                      <w:rFonts w:hint="eastAsia" w:cs="Times New Roman"/>
                      <w:bCs/>
                      <w:color w:val="000000"/>
                      <w:szCs w:val="21"/>
                      <w:highlight w:val="none"/>
                      <w:lang w:val="en-US" w:eastAsia="zh-CN"/>
                    </w:rPr>
                    <w:t>建设配电设备</w:t>
                  </w:r>
                  <w:r>
                    <w:rPr>
                      <w:rFonts w:hint="default" w:ascii="Times New Roman" w:hAnsi="Times New Roman" w:cs="Times New Roman"/>
                      <w:bCs/>
                      <w:color w:val="000000"/>
                      <w:szCs w:val="21"/>
                      <w:highlight w:val="none"/>
                      <w:lang w:eastAsia="zh-CN"/>
                    </w:rPr>
                    <w:t>。</w:t>
                  </w:r>
                </w:p>
              </w:tc>
              <w:tc>
                <w:tcPr>
                  <w:tcW w:w="1208" w:type="dxa"/>
                  <w:vMerge w:val="continue"/>
                  <w:vAlign w:val="center"/>
                </w:tcPr>
                <w:p w14:paraId="03F638DD">
                  <w:pPr>
                    <w:adjustRightInd w:val="0"/>
                    <w:snapToGrid w:val="0"/>
                    <w:jc w:val="center"/>
                    <w:rPr>
                      <w:rFonts w:hint="default" w:ascii="Times New Roman" w:hAnsi="Times New Roman" w:cs="Times New Roman"/>
                      <w:bCs/>
                      <w:szCs w:val="21"/>
                      <w:highlight w:val="none"/>
                    </w:rPr>
                  </w:pPr>
                </w:p>
              </w:tc>
            </w:tr>
            <w:tr w14:paraId="0996B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469417DD">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2F9E3654">
                  <w:pPr>
                    <w:jc w:val="center"/>
                    <w:rPr>
                      <w:rFonts w:hint="default"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门卫</w:t>
                  </w:r>
                </w:p>
              </w:tc>
              <w:tc>
                <w:tcPr>
                  <w:tcW w:w="6116" w:type="dxa"/>
                  <w:shd w:val="clear" w:color="auto" w:fill="auto"/>
                  <w:vAlign w:val="center"/>
                </w:tcPr>
                <w:p w14:paraId="3142F672">
                  <w:pPr>
                    <w:autoSpaceDE w:val="0"/>
                    <w:autoSpaceDN w:val="0"/>
                    <w:adjustRightInd w:val="0"/>
                    <w:jc w:val="center"/>
                    <w:rPr>
                      <w:rFonts w:hint="default" w:ascii="Times New Roman" w:hAnsi="Times New Roman" w:cs="Times New Roman"/>
                      <w:kern w:val="0"/>
                      <w:highlight w:val="none"/>
                    </w:rPr>
                  </w:pPr>
                  <w:r>
                    <w:rPr>
                      <w:rFonts w:hint="eastAsia" w:cs="Times New Roman"/>
                      <w:bCs/>
                      <w:szCs w:val="21"/>
                      <w:highlight w:val="none"/>
                      <w:lang w:val="en-US" w:eastAsia="zh-CN"/>
                    </w:rPr>
                    <w:t>1层，建筑面积15m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w:t>
                  </w:r>
                  <w:r>
                    <w:rPr>
                      <w:rFonts w:hint="default" w:ascii="Times New Roman" w:hAnsi="Times New Roman" w:cs="Times New Roman"/>
                      <w:bCs/>
                      <w:color w:val="000000"/>
                      <w:szCs w:val="21"/>
                      <w:highlight w:val="none"/>
                    </w:rPr>
                    <w:t>主要为</w:t>
                  </w:r>
                  <w:r>
                    <w:rPr>
                      <w:rFonts w:hint="eastAsia" w:ascii="Times New Roman" w:hAnsi="Times New Roman" w:cs="Times New Roman"/>
                      <w:bCs/>
                      <w:color w:val="000000"/>
                      <w:szCs w:val="21"/>
                      <w:highlight w:val="none"/>
                      <w:lang w:val="en-US" w:eastAsia="zh-CN"/>
                    </w:rPr>
                    <w:t>门卫工作场所</w:t>
                  </w:r>
                  <w:r>
                    <w:rPr>
                      <w:rFonts w:hint="default" w:ascii="Times New Roman" w:hAnsi="Times New Roman" w:cs="Times New Roman"/>
                      <w:bCs/>
                      <w:color w:val="000000"/>
                      <w:szCs w:val="21"/>
                      <w:highlight w:val="none"/>
                      <w:lang w:eastAsia="zh-CN"/>
                    </w:rPr>
                    <w:t>。</w:t>
                  </w:r>
                </w:p>
              </w:tc>
              <w:tc>
                <w:tcPr>
                  <w:tcW w:w="1208" w:type="dxa"/>
                  <w:vMerge w:val="continue"/>
                  <w:vAlign w:val="center"/>
                </w:tcPr>
                <w:p w14:paraId="70F53247">
                  <w:pPr>
                    <w:adjustRightInd w:val="0"/>
                    <w:snapToGrid w:val="0"/>
                    <w:jc w:val="center"/>
                    <w:rPr>
                      <w:rFonts w:hint="default" w:ascii="Times New Roman" w:hAnsi="Times New Roman" w:cs="Times New Roman"/>
                      <w:bCs/>
                      <w:szCs w:val="21"/>
                      <w:highlight w:val="none"/>
                    </w:rPr>
                  </w:pPr>
                </w:p>
              </w:tc>
            </w:tr>
            <w:tr w14:paraId="63C64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restart"/>
                  <w:vAlign w:val="center"/>
                </w:tcPr>
                <w:p w14:paraId="75F1496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仓储 工程</w:t>
                  </w:r>
                </w:p>
              </w:tc>
              <w:tc>
                <w:tcPr>
                  <w:tcW w:w="1093" w:type="dxa"/>
                  <w:shd w:val="clear" w:color="auto" w:fill="auto"/>
                  <w:vAlign w:val="center"/>
                </w:tcPr>
                <w:p w14:paraId="449A7C9D">
                  <w:pPr>
                    <w:autoSpaceDE w:val="0"/>
                    <w:autoSpaceDN w:val="0"/>
                    <w:adjustRightInd w:val="0"/>
                    <w:jc w:val="center"/>
                    <w:rPr>
                      <w:rFonts w:hint="default" w:ascii="Times New Roman" w:hAnsi="Times New Roman" w:cs="Times New Roman"/>
                      <w:kern w:val="0"/>
                      <w:highlight w:val="none"/>
                    </w:rPr>
                  </w:pPr>
                  <w:r>
                    <w:rPr>
                      <w:rFonts w:hint="eastAsia" w:cs="Times New Roman"/>
                      <w:kern w:val="0"/>
                      <w:highlight w:val="none"/>
                      <w:lang w:val="en-US" w:eastAsia="zh-CN"/>
                    </w:rPr>
                    <w:t>仓库</w:t>
                  </w:r>
                </w:p>
              </w:tc>
              <w:tc>
                <w:tcPr>
                  <w:tcW w:w="6116" w:type="dxa"/>
                  <w:shd w:val="clear" w:color="auto" w:fill="auto"/>
                  <w:vAlign w:val="center"/>
                </w:tcPr>
                <w:p w14:paraId="4F2E8002">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szCs w:val="21"/>
                      <w:highlight w:val="none"/>
                      <w:lang w:val="en-US" w:eastAsia="zh-CN"/>
                    </w:rPr>
                    <w:t>1层，建筑面积59.5m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w:t>
                  </w:r>
                  <w:r>
                    <w:rPr>
                      <w:rFonts w:hint="eastAsia"/>
                      <w:color w:val="auto"/>
                      <w:szCs w:val="20"/>
                      <w:highlight w:val="none"/>
                      <w:lang w:val="en-US" w:eastAsia="zh-CN"/>
                    </w:rPr>
                    <w:t>用于原料、产品存放。</w:t>
                  </w:r>
                </w:p>
              </w:tc>
              <w:tc>
                <w:tcPr>
                  <w:tcW w:w="1208" w:type="dxa"/>
                  <w:vMerge w:val="continue"/>
                  <w:shd w:val="clear" w:color="auto" w:fill="auto"/>
                  <w:vAlign w:val="center"/>
                </w:tcPr>
                <w:p w14:paraId="45F1AEA8">
                  <w:pPr>
                    <w:spacing w:line="320" w:lineRule="exact"/>
                    <w:jc w:val="center"/>
                    <w:rPr>
                      <w:rFonts w:hint="default" w:ascii="Times New Roman" w:hAnsi="Times New Roman" w:eastAsia="宋体" w:cs="Times New Roman"/>
                      <w:color w:val="auto"/>
                      <w:kern w:val="2"/>
                      <w:sz w:val="21"/>
                      <w:szCs w:val="21"/>
                      <w:highlight w:val="none"/>
                      <w:lang w:val="en-US" w:eastAsia="zh-CN" w:bidi="ar"/>
                    </w:rPr>
                  </w:pPr>
                </w:p>
              </w:tc>
            </w:tr>
            <w:tr w14:paraId="125F0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54EFA825">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5E838A10">
                  <w:pPr>
                    <w:autoSpaceDE w:val="0"/>
                    <w:autoSpaceDN w:val="0"/>
                    <w:adjustRightInd w:val="0"/>
                    <w:jc w:val="center"/>
                    <w:rPr>
                      <w:rFonts w:hint="default" w:cs="Times New Roman"/>
                      <w:kern w:val="0"/>
                      <w:highlight w:val="none"/>
                      <w:lang w:val="en-US" w:eastAsia="zh-CN"/>
                    </w:rPr>
                  </w:pPr>
                  <w:r>
                    <w:rPr>
                      <w:rFonts w:hint="eastAsia" w:cs="Times New Roman"/>
                      <w:kern w:val="0"/>
                      <w:highlight w:val="none"/>
                      <w:lang w:val="en-US" w:eastAsia="zh-CN"/>
                    </w:rPr>
                    <w:t>杂物间</w:t>
                  </w:r>
                </w:p>
              </w:tc>
              <w:tc>
                <w:tcPr>
                  <w:tcW w:w="6116" w:type="dxa"/>
                  <w:shd w:val="clear" w:color="auto" w:fill="auto"/>
                  <w:vAlign w:val="center"/>
                </w:tcPr>
                <w:p w14:paraId="28C38E1D">
                  <w:pPr>
                    <w:spacing w:line="240" w:lineRule="auto"/>
                    <w:jc w:val="center"/>
                    <w:rPr>
                      <w:rFonts w:hint="eastAsia" w:cs="Times New Roman"/>
                      <w:bCs/>
                      <w:szCs w:val="21"/>
                      <w:highlight w:val="none"/>
                      <w:lang w:val="en-US" w:eastAsia="zh-CN"/>
                    </w:rPr>
                  </w:pPr>
                  <w:r>
                    <w:rPr>
                      <w:rFonts w:hint="eastAsia" w:cs="Times New Roman"/>
                      <w:bCs/>
                      <w:szCs w:val="21"/>
                      <w:highlight w:val="none"/>
                      <w:lang w:val="en-US" w:eastAsia="zh-CN"/>
                    </w:rPr>
                    <w:t>1层，建筑面积45m</w:t>
                  </w:r>
                  <w:r>
                    <w:rPr>
                      <w:rFonts w:hint="eastAsia" w:cs="Times New Roman"/>
                      <w:bCs/>
                      <w:szCs w:val="21"/>
                      <w:highlight w:val="none"/>
                      <w:vertAlign w:val="superscript"/>
                      <w:lang w:val="en-US" w:eastAsia="zh-CN"/>
                    </w:rPr>
                    <w:t>2</w:t>
                  </w:r>
                  <w:r>
                    <w:rPr>
                      <w:rFonts w:hint="eastAsia" w:cs="Times New Roman"/>
                      <w:bCs/>
                      <w:szCs w:val="21"/>
                      <w:highlight w:val="none"/>
                      <w:lang w:val="en-US" w:eastAsia="zh-CN"/>
                    </w:rPr>
                    <w:t>，砖混结构，</w:t>
                  </w:r>
                  <w:r>
                    <w:rPr>
                      <w:rFonts w:hint="default" w:ascii="Times New Roman" w:hAnsi="Times New Roman" w:cs="Times New Roman"/>
                      <w:bCs/>
                      <w:color w:val="000000"/>
                      <w:szCs w:val="21"/>
                      <w:highlight w:val="none"/>
                    </w:rPr>
                    <w:t>主要</w:t>
                  </w:r>
                  <w:r>
                    <w:rPr>
                      <w:rFonts w:hint="eastAsia" w:cs="Times New Roman"/>
                      <w:bCs/>
                      <w:color w:val="000000"/>
                      <w:szCs w:val="21"/>
                      <w:highlight w:val="none"/>
                      <w:lang w:val="en-US" w:eastAsia="zh-CN"/>
                    </w:rPr>
                    <w:t>用来储存杂物</w:t>
                  </w:r>
                  <w:r>
                    <w:rPr>
                      <w:rFonts w:hint="default" w:ascii="Times New Roman" w:hAnsi="Times New Roman" w:cs="Times New Roman"/>
                      <w:bCs/>
                      <w:color w:val="000000"/>
                      <w:szCs w:val="21"/>
                      <w:highlight w:val="none"/>
                      <w:lang w:eastAsia="zh-CN"/>
                    </w:rPr>
                    <w:t>。</w:t>
                  </w:r>
                </w:p>
              </w:tc>
              <w:tc>
                <w:tcPr>
                  <w:tcW w:w="1208" w:type="dxa"/>
                  <w:vMerge w:val="continue"/>
                  <w:shd w:val="clear" w:color="auto" w:fill="auto"/>
                  <w:vAlign w:val="center"/>
                </w:tcPr>
                <w:p w14:paraId="674BB514">
                  <w:pPr>
                    <w:spacing w:line="320" w:lineRule="exact"/>
                    <w:jc w:val="center"/>
                    <w:rPr>
                      <w:rFonts w:hint="default" w:ascii="Times New Roman" w:hAnsi="Times New Roman" w:eastAsia="宋体" w:cs="Times New Roman"/>
                      <w:color w:val="auto"/>
                      <w:kern w:val="2"/>
                      <w:sz w:val="21"/>
                      <w:szCs w:val="21"/>
                      <w:highlight w:val="none"/>
                      <w:lang w:val="en-US" w:eastAsia="zh-CN" w:bidi="ar"/>
                    </w:rPr>
                  </w:pPr>
                </w:p>
              </w:tc>
            </w:tr>
            <w:tr w14:paraId="2B26D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restart"/>
                  <w:vAlign w:val="center"/>
                </w:tcPr>
                <w:p w14:paraId="6D94ED8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公用 工程</w:t>
                  </w:r>
                </w:p>
              </w:tc>
              <w:tc>
                <w:tcPr>
                  <w:tcW w:w="1093" w:type="dxa"/>
                  <w:shd w:val="clear" w:color="auto" w:fill="auto"/>
                  <w:vAlign w:val="center"/>
                </w:tcPr>
                <w:p w14:paraId="05698BC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给水系统</w:t>
                  </w:r>
                </w:p>
              </w:tc>
              <w:tc>
                <w:tcPr>
                  <w:tcW w:w="6116" w:type="dxa"/>
                  <w:shd w:val="clear" w:color="auto" w:fill="auto"/>
                  <w:vAlign w:val="center"/>
                </w:tcPr>
                <w:p w14:paraId="208BB653">
                  <w:pPr>
                    <w:tabs>
                      <w:tab w:val="left" w:pos="1857"/>
                      <w:tab w:val="center" w:pos="2585"/>
                    </w:tabs>
                    <w:autoSpaceDN w:val="0"/>
                    <w:adjustRightInd w:val="0"/>
                    <w:snapToGrid w:val="0"/>
                    <w:spacing w:line="340" w:lineRule="exact"/>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Cs w:val="20"/>
                      <w:highlight w:val="none"/>
                    </w:rPr>
                    <w:t>用水量</w:t>
                  </w:r>
                  <w:r>
                    <w:rPr>
                      <w:rFonts w:hint="eastAsia" w:cs="Times New Roman"/>
                      <w:color w:val="auto"/>
                      <w:szCs w:val="20"/>
                      <w:highlight w:val="none"/>
                      <w:lang w:val="en-US" w:eastAsia="zh-CN"/>
                    </w:rPr>
                    <w:t>435</w:t>
                  </w:r>
                  <w:r>
                    <w:rPr>
                      <w:rFonts w:hint="default" w:ascii="Times New Roman" w:hAnsi="Times New Roman" w:cs="Times New Roman"/>
                      <w:color w:val="auto"/>
                      <w:szCs w:val="20"/>
                      <w:highlight w:val="none"/>
                    </w:rPr>
                    <w:t>m</w:t>
                  </w:r>
                  <w:r>
                    <w:rPr>
                      <w:rFonts w:hint="default" w:ascii="Times New Roman" w:hAnsi="Times New Roman" w:cs="Times New Roman"/>
                      <w:color w:val="auto"/>
                      <w:szCs w:val="20"/>
                      <w:highlight w:val="none"/>
                      <w:vertAlign w:val="superscript"/>
                    </w:rPr>
                    <w:t>3</w:t>
                  </w:r>
                  <w:r>
                    <w:rPr>
                      <w:rFonts w:hint="default" w:ascii="Times New Roman" w:hAnsi="Times New Roman" w:cs="Times New Roman"/>
                      <w:bCs/>
                      <w:color w:val="auto"/>
                      <w:szCs w:val="21"/>
                      <w:highlight w:val="none"/>
                    </w:rPr>
                    <w:t>/a，由临淄区自来水管网供给</w:t>
                  </w:r>
                </w:p>
              </w:tc>
              <w:tc>
                <w:tcPr>
                  <w:tcW w:w="1208" w:type="dxa"/>
                  <w:vMerge w:val="continue"/>
                  <w:shd w:val="clear" w:color="auto" w:fill="auto"/>
                  <w:vAlign w:val="center"/>
                </w:tcPr>
                <w:p w14:paraId="2ADE3F15">
                  <w:pPr>
                    <w:autoSpaceDN w:val="0"/>
                    <w:adjustRightInd w:val="0"/>
                    <w:snapToGrid w:val="0"/>
                    <w:spacing w:line="340" w:lineRule="exact"/>
                    <w:jc w:val="center"/>
                    <w:textAlignment w:val="center"/>
                    <w:rPr>
                      <w:rFonts w:hint="default" w:ascii="Times New Roman" w:hAnsi="Times New Roman" w:eastAsia="宋体" w:cs="Times New Roman"/>
                      <w:bCs/>
                      <w:color w:val="auto"/>
                      <w:kern w:val="2"/>
                      <w:sz w:val="21"/>
                      <w:szCs w:val="21"/>
                      <w:highlight w:val="none"/>
                      <w:lang w:val="en-US" w:eastAsia="zh-CN" w:bidi="ar-SA"/>
                    </w:rPr>
                  </w:pPr>
                </w:p>
              </w:tc>
            </w:tr>
            <w:tr w14:paraId="15D74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0B8EE101">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035AA4DB">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排水系统</w:t>
                  </w:r>
                </w:p>
              </w:tc>
              <w:tc>
                <w:tcPr>
                  <w:tcW w:w="6116" w:type="dxa"/>
                  <w:shd w:val="clear" w:color="auto" w:fill="auto"/>
                  <w:vAlign w:val="center"/>
                </w:tcPr>
                <w:p w14:paraId="242A103D">
                  <w:pPr>
                    <w:autoSpaceDN w:val="0"/>
                    <w:adjustRightInd w:val="0"/>
                    <w:snapToGrid w:val="0"/>
                    <w:spacing w:line="340" w:lineRule="exact"/>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生活污水进入厂区化粪池处理后</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由环卫部门定期清运</w:t>
                  </w:r>
                  <w:r>
                    <w:rPr>
                      <w:rFonts w:hint="eastAsia" w:cs="Times New Roman"/>
                      <w:bCs/>
                      <w:color w:val="auto"/>
                      <w:szCs w:val="21"/>
                      <w:highlight w:val="none"/>
                      <w:lang w:eastAsia="zh-CN"/>
                    </w:rPr>
                    <w:t>。</w:t>
                  </w:r>
                </w:p>
              </w:tc>
              <w:tc>
                <w:tcPr>
                  <w:tcW w:w="1208" w:type="dxa"/>
                  <w:vMerge w:val="continue"/>
                  <w:shd w:val="clear" w:color="auto" w:fill="auto"/>
                  <w:vAlign w:val="center"/>
                </w:tcPr>
                <w:p w14:paraId="7CBDBBB7">
                  <w:pPr>
                    <w:autoSpaceDN w:val="0"/>
                    <w:adjustRightInd w:val="0"/>
                    <w:snapToGrid w:val="0"/>
                    <w:spacing w:line="340" w:lineRule="exact"/>
                    <w:jc w:val="center"/>
                    <w:textAlignment w:val="center"/>
                    <w:rPr>
                      <w:rFonts w:hint="default" w:ascii="Times New Roman" w:hAnsi="Times New Roman" w:eastAsia="宋体" w:cs="Times New Roman"/>
                      <w:bCs/>
                      <w:color w:val="auto"/>
                      <w:kern w:val="2"/>
                      <w:sz w:val="21"/>
                      <w:szCs w:val="21"/>
                      <w:highlight w:val="none"/>
                      <w:lang w:val="en-US" w:eastAsia="zh-CN" w:bidi="ar-SA"/>
                    </w:rPr>
                  </w:pPr>
                </w:p>
              </w:tc>
            </w:tr>
            <w:tr w14:paraId="34886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7ED45DB3">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341B8FDE">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供电系统</w:t>
                  </w:r>
                </w:p>
              </w:tc>
              <w:tc>
                <w:tcPr>
                  <w:tcW w:w="6116" w:type="dxa"/>
                  <w:shd w:val="clear" w:color="auto" w:fill="auto"/>
                  <w:vAlign w:val="center"/>
                </w:tcPr>
                <w:p w14:paraId="458245FB">
                  <w:pPr>
                    <w:autoSpaceDN w:val="0"/>
                    <w:adjustRightInd w:val="0"/>
                    <w:snapToGrid w:val="0"/>
                    <w:spacing w:line="340" w:lineRule="exact"/>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用电量为</w:t>
                  </w:r>
                  <w:r>
                    <w:rPr>
                      <w:rFonts w:hint="eastAsia" w:cs="Times New Roman"/>
                      <w:bCs/>
                      <w:color w:val="auto"/>
                      <w:szCs w:val="21"/>
                      <w:highlight w:val="none"/>
                      <w:lang w:val="en-US" w:eastAsia="zh-CN"/>
                    </w:rPr>
                    <w:t>27</w:t>
                  </w:r>
                  <w:r>
                    <w:rPr>
                      <w:rFonts w:hint="default" w:ascii="Times New Roman" w:hAnsi="Times New Roman" w:cs="Times New Roman"/>
                      <w:bCs/>
                      <w:color w:val="auto"/>
                      <w:szCs w:val="21"/>
                      <w:highlight w:val="none"/>
                    </w:rPr>
                    <w:t>万kWh/a，由临淄区供电电网接入</w:t>
                  </w:r>
                </w:p>
              </w:tc>
              <w:tc>
                <w:tcPr>
                  <w:tcW w:w="1208" w:type="dxa"/>
                  <w:vMerge w:val="continue"/>
                  <w:shd w:val="clear" w:color="auto" w:fill="auto"/>
                  <w:vAlign w:val="center"/>
                </w:tcPr>
                <w:p w14:paraId="31C38314">
                  <w:pPr>
                    <w:autoSpaceDN w:val="0"/>
                    <w:adjustRightInd w:val="0"/>
                    <w:snapToGrid w:val="0"/>
                    <w:spacing w:line="340" w:lineRule="exact"/>
                    <w:jc w:val="center"/>
                    <w:textAlignment w:val="center"/>
                    <w:rPr>
                      <w:rFonts w:hint="default" w:ascii="Times New Roman" w:hAnsi="Times New Roman" w:eastAsia="宋体" w:cs="Times New Roman"/>
                      <w:bCs/>
                      <w:color w:val="auto"/>
                      <w:kern w:val="2"/>
                      <w:sz w:val="21"/>
                      <w:szCs w:val="21"/>
                      <w:highlight w:val="none"/>
                      <w:lang w:val="en-US" w:eastAsia="zh-CN" w:bidi="ar-SA"/>
                    </w:rPr>
                  </w:pPr>
                </w:p>
              </w:tc>
            </w:tr>
            <w:tr w14:paraId="6B823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70197ACC">
                  <w:pPr>
                    <w:adjustRightInd w:val="0"/>
                    <w:snapToGrid w:val="0"/>
                    <w:jc w:val="center"/>
                    <w:rPr>
                      <w:rFonts w:hint="default" w:ascii="Times New Roman" w:hAnsi="Times New Roman" w:cs="Times New Roman"/>
                      <w:bCs/>
                      <w:szCs w:val="21"/>
                      <w:highlight w:val="none"/>
                    </w:rPr>
                  </w:pPr>
                </w:p>
              </w:tc>
              <w:tc>
                <w:tcPr>
                  <w:tcW w:w="1093" w:type="dxa"/>
                  <w:shd w:val="clear" w:color="auto" w:fill="auto"/>
                  <w:vAlign w:val="center"/>
                </w:tcPr>
                <w:p w14:paraId="1C88E65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供热系统</w:t>
                  </w:r>
                </w:p>
              </w:tc>
              <w:tc>
                <w:tcPr>
                  <w:tcW w:w="6116" w:type="dxa"/>
                  <w:shd w:val="clear" w:color="auto" w:fill="auto"/>
                  <w:vAlign w:val="center"/>
                </w:tcPr>
                <w:p w14:paraId="5701CA79">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bCs/>
                      <w:color w:val="000000"/>
                      <w:kern w:val="0"/>
                      <w:szCs w:val="21"/>
                      <w:highlight w:val="none"/>
                      <w:lang w:eastAsia="zh-CN"/>
                    </w:rPr>
                    <w:t>冬季办公取暖为电加热空调</w:t>
                  </w:r>
                  <w:r>
                    <w:rPr>
                      <w:rFonts w:hint="eastAsia" w:ascii="Times New Roman" w:hAnsi="Times New Roman" w:cs="Times New Roman"/>
                      <w:bCs/>
                      <w:color w:val="000000"/>
                      <w:kern w:val="0"/>
                      <w:szCs w:val="21"/>
                      <w:highlight w:val="none"/>
                      <w:lang w:eastAsia="zh-CN"/>
                    </w:rPr>
                    <w:t>。</w:t>
                  </w:r>
                </w:p>
              </w:tc>
              <w:tc>
                <w:tcPr>
                  <w:tcW w:w="1208" w:type="dxa"/>
                  <w:vMerge w:val="continue"/>
                  <w:vAlign w:val="center"/>
                </w:tcPr>
                <w:p w14:paraId="7AC17A6A">
                  <w:pPr>
                    <w:adjustRightInd w:val="0"/>
                    <w:snapToGrid w:val="0"/>
                    <w:jc w:val="center"/>
                    <w:rPr>
                      <w:rFonts w:hint="default" w:ascii="Times New Roman" w:hAnsi="Times New Roman" w:cs="Times New Roman"/>
                      <w:bCs/>
                      <w:szCs w:val="21"/>
                      <w:highlight w:val="none"/>
                    </w:rPr>
                  </w:pPr>
                </w:p>
              </w:tc>
            </w:tr>
            <w:tr w14:paraId="35100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restart"/>
                  <w:vAlign w:val="center"/>
                </w:tcPr>
                <w:p w14:paraId="7E2CD047">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环保 工程</w:t>
                  </w:r>
                </w:p>
              </w:tc>
              <w:tc>
                <w:tcPr>
                  <w:tcW w:w="1093" w:type="dxa"/>
                  <w:vAlign w:val="center"/>
                </w:tcPr>
                <w:p w14:paraId="183F1E1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废气</w:t>
                  </w:r>
                </w:p>
              </w:tc>
              <w:tc>
                <w:tcPr>
                  <w:tcW w:w="6116" w:type="dxa"/>
                  <w:shd w:val="clear" w:color="auto" w:fill="auto"/>
                  <w:vAlign w:val="center"/>
                </w:tcPr>
                <w:p w14:paraId="06CABAE4">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吹塑废气</w:t>
                  </w:r>
                  <w:r>
                    <w:rPr>
                      <w:rFonts w:hint="eastAsia" w:cs="Times New Roman"/>
                      <w:szCs w:val="21"/>
                      <w:highlight w:val="none"/>
                      <w:lang w:eastAsia="zh-CN"/>
                    </w:rPr>
                    <w:t>、</w:t>
                  </w:r>
                  <w:r>
                    <w:rPr>
                      <w:rFonts w:hint="default" w:ascii="Times New Roman" w:hAnsi="Times New Roman" w:cs="Times New Roman"/>
                      <w:szCs w:val="21"/>
                      <w:highlight w:val="none"/>
                    </w:rPr>
                    <w:t>注塑废气</w:t>
                  </w:r>
                  <w:r>
                    <w:rPr>
                      <w:rFonts w:hint="eastAsia" w:cs="Times New Roman"/>
                      <w:szCs w:val="21"/>
                      <w:highlight w:val="none"/>
                      <w:lang w:val="en-US" w:eastAsia="zh-CN"/>
                    </w:rPr>
                    <w:t>经2级活性炭吸附装置处理后，通过15m高排气筒DA001排放；运输、储存过程沾染少量粉尘在投料、混合过程中无组织排放。</w:t>
                  </w:r>
                </w:p>
              </w:tc>
              <w:tc>
                <w:tcPr>
                  <w:tcW w:w="1208" w:type="dxa"/>
                  <w:shd w:val="clear" w:color="auto" w:fill="auto"/>
                  <w:vAlign w:val="center"/>
                </w:tcPr>
                <w:p w14:paraId="2A706644">
                  <w:pPr>
                    <w:adjustRightInd w:val="0"/>
                    <w:snapToGrid w:val="0"/>
                    <w:jc w:val="center"/>
                    <w:rPr>
                      <w:rFonts w:hint="eastAsia" w:ascii="Times New Roman" w:hAnsi="Times New Roman" w:eastAsia="宋体" w:cs="Times New Roman"/>
                      <w:bCs/>
                      <w:szCs w:val="21"/>
                      <w:highlight w:val="none"/>
                      <w:lang w:val="en-US" w:eastAsia="zh-CN"/>
                    </w:rPr>
                  </w:pPr>
                  <w:r>
                    <w:rPr>
                      <w:rFonts w:hint="eastAsia" w:cs="Times New Roman"/>
                      <w:bCs/>
                      <w:szCs w:val="21"/>
                      <w:highlight w:val="none"/>
                      <w:lang w:val="en-US" w:eastAsia="zh-CN"/>
                    </w:rPr>
                    <w:t>新建</w:t>
                  </w:r>
                </w:p>
              </w:tc>
            </w:tr>
            <w:tr w14:paraId="0E6C6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0976F82C">
                  <w:pPr>
                    <w:adjustRightInd w:val="0"/>
                    <w:snapToGrid w:val="0"/>
                    <w:jc w:val="center"/>
                    <w:rPr>
                      <w:rFonts w:hint="default" w:ascii="Times New Roman" w:hAnsi="Times New Roman" w:cs="Times New Roman"/>
                      <w:bCs/>
                      <w:szCs w:val="21"/>
                      <w:highlight w:val="none"/>
                    </w:rPr>
                  </w:pPr>
                </w:p>
              </w:tc>
              <w:tc>
                <w:tcPr>
                  <w:tcW w:w="1093" w:type="dxa"/>
                  <w:vAlign w:val="center"/>
                </w:tcPr>
                <w:p w14:paraId="341B73C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废水</w:t>
                  </w:r>
                </w:p>
              </w:tc>
              <w:tc>
                <w:tcPr>
                  <w:tcW w:w="6116" w:type="dxa"/>
                  <w:shd w:val="clear" w:color="auto" w:fill="auto"/>
                  <w:vAlign w:val="center"/>
                </w:tcPr>
                <w:p w14:paraId="62C3EEAF">
                  <w:pPr>
                    <w:autoSpaceDN w:val="0"/>
                    <w:adjustRightInd w:val="0"/>
                    <w:snapToGrid w:val="0"/>
                    <w:spacing w:line="340" w:lineRule="exact"/>
                    <w:jc w:val="center"/>
                    <w:textAlignment w:val="center"/>
                    <w:rPr>
                      <w:rFonts w:hint="default" w:ascii="Times New Roman" w:hAnsi="Times New Roman" w:cs="Times New Roman"/>
                      <w:highlight w:val="none"/>
                    </w:rPr>
                  </w:pPr>
                  <w:r>
                    <w:rPr>
                      <w:rFonts w:hint="default" w:ascii="Times New Roman" w:hAnsi="Times New Roman" w:cs="Times New Roman"/>
                      <w:bCs/>
                      <w:color w:val="auto"/>
                      <w:szCs w:val="21"/>
                      <w:highlight w:val="none"/>
                    </w:rPr>
                    <w:t>厂区设置雨污分流，</w:t>
                  </w:r>
                  <w:r>
                    <w:rPr>
                      <w:rFonts w:hint="eastAsia" w:cs="Times New Roman"/>
                      <w:bCs/>
                      <w:color w:val="auto"/>
                      <w:szCs w:val="21"/>
                      <w:highlight w:val="none"/>
                      <w:lang w:val="en-US" w:eastAsia="zh-CN"/>
                    </w:rPr>
                    <w:t>本项目</w:t>
                  </w:r>
                  <w:r>
                    <w:rPr>
                      <w:rFonts w:hint="default" w:ascii="Times New Roman" w:hAnsi="Times New Roman" w:cs="Times New Roman"/>
                      <w:bCs/>
                      <w:color w:val="auto"/>
                      <w:szCs w:val="21"/>
                      <w:highlight w:val="none"/>
                    </w:rPr>
                    <w:t>主要为生活污水。生活污水进入厂区化粪池处理后由环卫部门定期清运</w:t>
                  </w:r>
                  <w:r>
                    <w:rPr>
                      <w:rFonts w:hint="eastAsia" w:cs="Times New Roman"/>
                      <w:bCs/>
                      <w:color w:val="auto"/>
                      <w:szCs w:val="21"/>
                      <w:highlight w:val="none"/>
                      <w:lang w:eastAsia="zh-CN"/>
                    </w:rPr>
                    <w:t>。</w:t>
                  </w:r>
                </w:p>
              </w:tc>
              <w:tc>
                <w:tcPr>
                  <w:tcW w:w="1208" w:type="dxa"/>
                  <w:vAlign w:val="center"/>
                </w:tcPr>
                <w:p w14:paraId="11A8A91C">
                  <w:pPr>
                    <w:autoSpaceDN w:val="0"/>
                    <w:adjustRightInd w:val="0"/>
                    <w:snapToGrid w:val="0"/>
                    <w:spacing w:line="340" w:lineRule="exact"/>
                    <w:jc w:val="center"/>
                    <w:textAlignment w:val="center"/>
                    <w:rPr>
                      <w:rFonts w:hint="default" w:ascii="Times New Roman" w:hAnsi="Times New Roman" w:cs="Times New Roman"/>
                      <w:bCs/>
                      <w:szCs w:val="21"/>
                      <w:highlight w:val="none"/>
                    </w:rPr>
                  </w:pPr>
                  <w:r>
                    <w:rPr>
                      <w:rFonts w:hint="default" w:ascii="Times New Roman" w:hAnsi="Times New Roman" w:cs="Times New Roman"/>
                      <w:color w:val="auto"/>
                      <w:szCs w:val="21"/>
                      <w:highlight w:val="none"/>
                      <w:lang w:bidi="ar"/>
                    </w:rPr>
                    <w:t>依托</w:t>
                  </w:r>
                  <w:r>
                    <w:rPr>
                      <w:rFonts w:hint="eastAsia" w:cs="Times New Roman"/>
                      <w:color w:val="auto"/>
                      <w:szCs w:val="21"/>
                      <w:highlight w:val="none"/>
                      <w:lang w:val="en-US" w:eastAsia="zh-CN" w:bidi="ar"/>
                    </w:rPr>
                    <w:t>租赁厂区</w:t>
                  </w:r>
                  <w:r>
                    <w:rPr>
                      <w:rFonts w:hint="default" w:ascii="Times New Roman" w:hAnsi="Times New Roman" w:cs="Times New Roman"/>
                      <w:color w:val="auto"/>
                      <w:szCs w:val="21"/>
                      <w:highlight w:val="none"/>
                      <w:lang w:bidi="ar"/>
                    </w:rPr>
                    <w:t>现有</w:t>
                  </w:r>
                </w:p>
              </w:tc>
            </w:tr>
            <w:tr w14:paraId="085E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6F0AAAD9">
                  <w:pPr>
                    <w:adjustRightInd w:val="0"/>
                    <w:snapToGrid w:val="0"/>
                    <w:jc w:val="center"/>
                    <w:rPr>
                      <w:rFonts w:hint="default" w:ascii="Times New Roman" w:hAnsi="Times New Roman" w:cs="Times New Roman"/>
                      <w:bCs/>
                      <w:szCs w:val="21"/>
                      <w:highlight w:val="none"/>
                    </w:rPr>
                  </w:pPr>
                </w:p>
              </w:tc>
              <w:tc>
                <w:tcPr>
                  <w:tcW w:w="1093" w:type="dxa"/>
                  <w:vAlign w:val="center"/>
                </w:tcPr>
                <w:p w14:paraId="0749407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噪声</w:t>
                  </w:r>
                </w:p>
              </w:tc>
              <w:tc>
                <w:tcPr>
                  <w:tcW w:w="6116" w:type="dxa"/>
                  <w:shd w:val="clear" w:color="auto" w:fill="auto"/>
                  <w:vAlign w:val="center"/>
                </w:tcPr>
                <w:p w14:paraId="6C54716E">
                  <w:pPr>
                    <w:spacing w:line="240" w:lineRule="auto"/>
                    <w:jc w:val="center"/>
                    <w:rPr>
                      <w:rFonts w:hint="default" w:ascii="Times New Roman" w:hAnsi="Times New Roman" w:cs="Times New Roman"/>
                      <w:szCs w:val="21"/>
                      <w:highlight w:val="none"/>
                    </w:rPr>
                  </w:pPr>
                  <w:r>
                    <w:rPr>
                      <w:rFonts w:hint="default" w:ascii="Times New Roman" w:hAnsi="Times New Roman" w:cs="Times New Roman"/>
                      <w:bCs/>
                      <w:color w:val="auto"/>
                      <w:szCs w:val="21"/>
                      <w:highlight w:val="none"/>
                    </w:rPr>
                    <w:t>隔声、减振设施</w:t>
                  </w:r>
                </w:p>
              </w:tc>
              <w:tc>
                <w:tcPr>
                  <w:tcW w:w="1208" w:type="dxa"/>
                  <w:vAlign w:val="center"/>
                </w:tcPr>
                <w:p w14:paraId="7E907ED2">
                  <w:pPr>
                    <w:adjustRightInd w:val="0"/>
                    <w:snapToGrid w:val="0"/>
                    <w:spacing w:line="240" w:lineRule="auto"/>
                    <w:jc w:val="center"/>
                    <w:rPr>
                      <w:rFonts w:hint="default" w:ascii="Times New Roman" w:hAnsi="Times New Roman" w:cs="Times New Roman"/>
                      <w:bCs/>
                      <w:szCs w:val="21"/>
                      <w:highlight w:val="none"/>
                    </w:rPr>
                  </w:pPr>
                  <w:r>
                    <w:rPr>
                      <w:rFonts w:hint="default" w:ascii="Times New Roman" w:hAnsi="Times New Roman" w:cs="Times New Roman"/>
                      <w:color w:val="000000"/>
                      <w:highlight w:val="none"/>
                      <w:lang w:val="en-US" w:eastAsia="zh-CN"/>
                    </w:rPr>
                    <w:t>新建</w:t>
                  </w:r>
                </w:p>
              </w:tc>
            </w:tr>
            <w:tr w14:paraId="72272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3" w:type="dxa"/>
                  <w:vMerge w:val="continue"/>
                  <w:vAlign w:val="center"/>
                </w:tcPr>
                <w:p w14:paraId="20F80BE3">
                  <w:pPr>
                    <w:adjustRightInd w:val="0"/>
                    <w:snapToGrid w:val="0"/>
                    <w:jc w:val="center"/>
                    <w:rPr>
                      <w:rFonts w:hint="default" w:ascii="Times New Roman" w:hAnsi="Times New Roman" w:cs="Times New Roman"/>
                      <w:bCs/>
                      <w:szCs w:val="21"/>
                      <w:highlight w:val="none"/>
                    </w:rPr>
                  </w:pPr>
                </w:p>
              </w:tc>
              <w:tc>
                <w:tcPr>
                  <w:tcW w:w="1093" w:type="dxa"/>
                  <w:vAlign w:val="center"/>
                </w:tcPr>
                <w:p w14:paraId="66ECC73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固废</w:t>
                  </w:r>
                </w:p>
              </w:tc>
              <w:tc>
                <w:tcPr>
                  <w:tcW w:w="6116" w:type="dxa"/>
                  <w:shd w:val="clear" w:color="auto" w:fill="auto"/>
                  <w:vAlign w:val="center"/>
                </w:tcPr>
                <w:p w14:paraId="153EDF60">
                  <w:pPr>
                    <w:spacing w:line="240" w:lineRule="auto"/>
                    <w:jc w:val="center"/>
                    <w:rPr>
                      <w:rFonts w:hint="default" w:ascii="Times New Roman" w:hAnsi="Times New Roman" w:cs="Times New Roman"/>
                      <w:szCs w:val="21"/>
                      <w:highlight w:val="none"/>
                    </w:rPr>
                  </w:pPr>
                  <w:r>
                    <w:rPr>
                      <w:rFonts w:hint="eastAsia" w:cs="Times New Roman"/>
                      <w:color w:val="000000"/>
                      <w:szCs w:val="21"/>
                      <w:highlight w:val="none"/>
                      <w:lang w:val="en-US" w:eastAsia="zh-CN"/>
                    </w:rPr>
                    <w:t>废包装材料、边角料、不合格产品</w:t>
                  </w:r>
                  <w:r>
                    <w:rPr>
                      <w:rFonts w:hint="eastAsia" w:ascii="Times New Roman" w:hAnsi="Times New Roman" w:cs="Times New Roman"/>
                      <w:color w:val="000000"/>
                      <w:szCs w:val="21"/>
                      <w:highlight w:val="none"/>
                      <w:lang w:val="en-US" w:eastAsia="zh-CN"/>
                    </w:rPr>
                    <w:t>收集后外售</w:t>
                  </w:r>
                  <w:r>
                    <w:rPr>
                      <w:rFonts w:hint="default" w:ascii="Times New Roman" w:hAnsi="Times New Roman" w:cs="Times New Roman"/>
                      <w:color w:val="000000"/>
                      <w:szCs w:val="21"/>
                      <w:highlight w:val="none"/>
                      <w:lang w:eastAsia="zh-CN"/>
                    </w:rPr>
                    <w:t>；</w:t>
                  </w:r>
                  <w:r>
                    <w:rPr>
                      <w:rFonts w:hint="eastAsia" w:cs="Times New Roman"/>
                      <w:color w:val="000000"/>
                      <w:szCs w:val="21"/>
                      <w:highlight w:val="none"/>
                      <w:lang w:val="en-US" w:eastAsia="zh-CN"/>
                    </w:rPr>
                    <w:t>生活垃圾由环卫部门清理；废润滑油、废润滑油桶、废活性炭</w:t>
                  </w:r>
                  <w:r>
                    <w:rPr>
                      <w:rFonts w:hint="eastAsia" w:ascii="Times New Roman" w:hAnsi="Times New Roman" w:eastAsia="宋体" w:cs="Times New Roman"/>
                      <w:color w:val="000000"/>
                      <w:kern w:val="2"/>
                      <w:sz w:val="21"/>
                      <w:szCs w:val="21"/>
                      <w:highlight w:val="none"/>
                      <w:u w:val="none"/>
                      <w:lang w:val="en-US" w:eastAsia="zh-CN" w:bidi="ar-SA"/>
                    </w:rPr>
                    <w:t>暂存于危废暂存间</w:t>
                  </w:r>
                  <w:r>
                    <w:rPr>
                      <w:rFonts w:hint="eastAsia" w:ascii="Times New Roman" w:hAnsi="Times New Roman" w:cs="Times New Roman"/>
                      <w:color w:val="000000"/>
                      <w:szCs w:val="21"/>
                      <w:highlight w:val="none"/>
                      <w:lang w:val="en-US" w:eastAsia="zh-CN"/>
                    </w:rPr>
                    <w:t>，</w:t>
                  </w:r>
                  <w:r>
                    <w:rPr>
                      <w:rFonts w:hint="default" w:ascii="Times New Roman" w:hAnsi="Times New Roman" w:cs="Times New Roman"/>
                      <w:color w:val="000000"/>
                      <w:szCs w:val="21"/>
                      <w:highlight w:val="none"/>
                      <w:lang w:eastAsia="zh-CN"/>
                    </w:rPr>
                    <w:t>委托有资质单位处</w:t>
                  </w:r>
                  <w:r>
                    <w:rPr>
                      <w:rFonts w:hint="eastAsia" w:ascii="Times New Roman" w:hAnsi="Times New Roman" w:eastAsia="宋体" w:cs="Times New Roman"/>
                      <w:color w:val="000000"/>
                      <w:kern w:val="2"/>
                      <w:sz w:val="21"/>
                      <w:szCs w:val="21"/>
                      <w:highlight w:val="none"/>
                      <w:u w:val="none"/>
                      <w:lang w:val="en-US" w:eastAsia="zh-CN" w:bidi="ar-SA"/>
                    </w:rPr>
                    <w:t>置</w:t>
                  </w:r>
                  <w:r>
                    <w:rPr>
                      <w:rFonts w:hint="default" w:ascii="Times New Roman" w:hAnsi="Times New Roman" w:cs="Times New Roman"/>
                      <w:color w:val="000000"/>
                      <w:szCs w:val="21"/>
                      <w:highlight w:val="none"/>
                      <w:lang w:eastAsia="zh-CN"/>
                    </w:rPr>
                    <w:t>。</w:t>
                  </w:r>
                </w:p>
              </w:tc>
              <w:tc>
                <w:tcPr>
                  <w:tcW w:w="1208" w:type="dxa"/>
                  <w:vAlign w:val="center"/>
                </w:tcPr>
                <w:p w14:paraId="280C124F">
                  <w:pPr>
                    <w:adjustRightInd w:val="0"/>
                    <w:snapToGrid w:val="0"/>
                    <w:spacing w:line="240" w:lineRule="auto"/>
                    <w:jc w:val="center"/>
                    <w:rPr>
                      <w:rFonts w:hint="default" w:ascii="Times New Roman" w:hAnsi="Times New Roman" w:cs="Times New Roman"/>
                      <w:bCs/>
                      <w:szCs w:val="21"/>
                      <w:highlight w:val="none"/>
                    </w:rPr>
                  </w:pPr>
                  <w:r>
                    <w:rPr>
                      <w:rFonts w:hint="eastAsia" w:cs="Times New Roman"/>
                      <w:bCs/>
                      <w:color w:val="000000"/>
                      <w:szCs w:val="21"/>
                      <w:highlight w:val="none"/>
                      <w:lang w:val="en-US" w:eastAsia="zh-CN"/>
                    </w:rPr>
                    <w:t>00</w:t>
                  </w:r>
                  <w:r>
                    <w:rPr>
                      <w:rFonts w:hint="default" w:ascii="Times New Roman" w:hAnsi="Times New Roman" w:eastAsia="宋体" w:cs="Times New Roman"/>
                      <w:bCs/>
                      <w:color w:val="000000"/>
                      <w:szCs w:val="21"/>
                      <w:highlight w:val="none"/>
                      <w:lang w:val="en-US" w:eastAsia="zh-CN"/>
                    </w:rPr>
                    <w:t>新建</w:t>
                  </w:r>
                </w:p>
              </w:tc>
            </w:tr>
          </w:tbl>
          <w:p w14:paraId="645704D0">
            <w:pPr>
              <w:spacing w:line="360" w:lineRule="auto"/>
              <w:ind w:right="105" w:rightChars="50"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3、项目主要产品方案</w:t>
            </w:r>
          </w:p>
          <w:p w14:paraId="7960975F">
            <w:pPr>
              <w:pStyle w:val="12"/>
              <w:spacing w:line="360" w:lineRule="auto"/>
              <w:ind w:firstLine="48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项目建成后，产品方案如下表所示。</w:t>
            </w:r>
          </w:p>
          <w:p w14:paraId="099C025D">
            <w:pPr>
              <w:pStyle w:val="12"/>
              <w:ind w:firstLine="0"/>
              <w:jc w:val="center"/>
              <w:rPr>
                <w:rFonts w:hint="default" w:ascii="Times New Roman" w:hAnsi="Times New Roman" w:cs="Times New Roman"/>
                <w:sz w:val="24"/>
                <w:szCs w:val="24"/>
                <w:highlight w:val="none"/>
              </w:rPr>
            </w:pPr>
            <w:r>
              <w:rPr>
                <w:rFonts w:hint="default" w:ascii="Times New Roman" w:hAnsi="Times New Roman" w:cs="Times New Roman"/>
                <w:b/>
                <w:bCs/>
                <w:kern w:val="0"/>
                <w:sz w:val="24"/>
                <w:szCs w:val="24"/>
                <w:highlight w:val="none"/>
              </w:rPr>
              <w:t>表2-2  项目主要产品方案一览表</w:t>
            </w:r>
          </w:p>
          <w:tbl>
            <w:tblPr>
              <w:tblStyle w:val="47"/>
              <w:tblW w:w="9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3"/>
              <w:gridCol w:w="1020"/>
              <w:gridCol w:w="1719"/>
              <w:gridCol w:w="1720"/>
              <w:gridCol w:w="2729"/>
              <w:gridCol w:w="800"/>
            </w:tblGrid>
            <w:tr w14:paraId="0B905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Align w:val="center"/>
                </w:tcPr>
                <w:p w14:paraId="41135E2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产品名称</w:t>
                  </w:r>
                </w:p>
              </w:tc>
              <w:tc>
                <w:tcPr>
                  <w:tcW w:w="1020" w:type="dxa"/>
                  <w:vAlign w:val="center"/>
                </w:tcPr>
                <w:p w14:paraId="1F10237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规格</w:t>
                  </w:r>
                </w:p>
              </w:tc>
              <w:tc>
                <w:tcPr>
                  <w:tcW w:w="1719" w:type="dxa"/>
                  <w:vAlign w:val="center"/>
                </w:tcPr>
                <w:p w14:paraId="6D137FD3">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生产方式</w:t>
                  </w:r>
                </w:p>
              </w:tc>
              <w:tc>
                <w:tcPr>
                  <w:tcW w:w="1720" w:type="dxa"/>
                  <w:shd w:val="clear" w:color="auto" w:fill="auto"/>
                  <w:vAlign w:val="center"/>
                </w:tcPr>
                <w:p w14:paraId="553F72BD">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产能</w:t>
                  </w:r>
                </w:p>
              </w:tc>
              <w:tc>
                <w:tcPr>
                  <w:tcW w:w="2729" w:type="dxa"/>
                  <w:vAlign w:val="center"/>
                </w:tcPr>
                <w:p w14:paraId="201BA2E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执行标准</w:t>
                  </w:r>
                </w:p>
              </w:tc>
              <w:tc>
                <w:tcPr>
                  <w:tcW w:w="800" w:type="dxa"/>
                  <w:vAlign w:val="center"/>
                </w:tcPr>
                <w:p w14:paraId="5F4595C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备注</w:t>
                  </w:r>
                </w:p>
              </w:tc>
            </w:tr>
            <w:tr w14:paraId="1B385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14:paraId="3C1B8CEB">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塑料桶制品</w:t>
                  </w:r>
                </w:p>
              </w:tc>
              <w:tc>
                <w:tcPr>
                  <w:tcW w:w="1020" w:type="dxa"/>
                  <w:vMerge w:val="restart"/>
                  <w:vAlign w:val="center"/>
                </w:tcPr>
                <w:p w14:paraId="17246CA8">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1.5kg/个</w:t>
                  </w:r>
                </w:p>
              </w:tc>
              <w:tc>
                <w:tcPr>
                  <w:tcW w:w="1719" w:type="dxa"/>
                  <w:vAlign w:val="center"/>
                </w:tcPr>
                <w:p w14:paraId="298FEFDD">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吹塑</w:t>
                  </w:r>
                </w:p>
              </w:tc>
              <w:tc>
                <w:tcPr>
                  <w:tcW w:w="1720" w:type="dxa"/>
                  <w:shd w:val="clear" w:color="auto" w:fill="auto"/>
                  <w:vAlign w:val="center"/>
                </w:tcPr>
                <w:p w14:paraId="029E4814">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20万个/a</w:t>
                  </w:r>
                </w:p>
              </w:tc>
              <w:tc>
                <w:tcPr>
                  <w:tcW w:w="2729" w:type="dxa"/>
                  <w:vMerge w:val="restart"/>
                  <w:vAlign w:val="center"/>
                </w:tcPr>
                <w:p w14:paraId="11F1B01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《日用塑料提桶》</w:t>
                  </w:r>
                  <w:r>
                    <w:rPr>
                      <w:rFonts w:hint="eastAsia" w:cs="Times New Roman"/>
                      <w:szCs w:val="21"/>
                      <w:highlight w:val="none"/>
                      <w:lang w:eastAsia="zh-CN"/>
                    </w:rPr>
                    <w:t>（</w:t>
                  </w:r>
                  <w:r>
                    <w:rPr>
                      <w:rFonts w:hint="default" w:ascii="Times New Roman" w:hAnsi="Times New Roman" w:cs="Times New Roman"/>
                      <w:szCs w:val="21"/>
                      <w:highlight w:val="none"/>
                    </w:rPr>
                    <w:t>‌GB/T 30403-2013</w:t>
                  </w:r>
                  <w:r>
                    <w:rPr>
                      <w:rFonts w:hint="eastAsia" w:cs="Times New Roman"/>
                      <w:szCs w:val="21"/>
                      <w:highlight w:val="none"/>
                      <w:lang w:eastAsia="zh-CN"/>
                    </w:rPr>
                    <w:t>）</w:t>
                  </w:r>
                  <w:r>
                    <w:rPr>
                      <w:rFonts w:hint="default" w:ascii="Times New Roman" w:hAnsi="Times New Roman" w:cs="Times New Roman"/>
                      <w:szCs w:val="21"/>
                      <w:highlight w:val="none"/>
                    </w:rPr>
                    <w:t>‌</w:t>
                  </w:r>
                </w:p>
              </w:tc>
              <w:tc>
                <w:tcPr>
                  <w:tcW w:w="800" w:type="dxa"/>
                  <w:vAlign w:val="center"/>
                </w:tcPr>
                <w:p w14:paraId="7FFCAAFB">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r>
            <w:tr w14:paraId="16F20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14:paraId="59B6C96F">
                  <w:pPr>
                    <w:jc w:val="center"/>
                    <w:rPr>
                      <w:rFonts w:hint="eastAsia" w:cs="Times New Roman"/>
                      <w:szCs w:val="21"/>
                      <w:highlight w:val="none"/>
                      <w:lang w:val="en-US" w:eastAsia="zh-CN"/>
                    </w:rPr>
                  </w:pPr>
                </w:p>
              </w:tc>
              <w:tc>
                <w:tcPr>
                  <w:tcW w:w="1020" w:type="dxa"/>
                  <w:vMerge w:val="continue"/>
                  <w:vAlign w:val="center"/>
                </w:tcPr>
                <w:p w14:paraId="24A9722E">
                  <w:pPr>
                    <w:jc w:val="center"/>
                    <w:rPr>
                      <w:rFonts w:hint="eastAsia" w:cs="Times New Roman"/>
                      <w:szCs w:val="21"/>
                      <w:highlight w:val="none"/>
                      <w:lang w:val="en-US" w:eastAsia="zh-CN"/>
                    </w:rPr>
                  </w:pPr>
                </w:p>
              </w:tc>
              <w:tc>
                <w:tcPr>
                  <w:tcW w:w="1719" w:type="dxa"/>
                  <w:vAlign w:val="center"/>
                </w:tcPr>
                <w:p w14:paraId="0AF9A1AF">
                  <w:pPr>
                    <w:jc w:val="center"/>
                    <w:rPr>
                      <w:rFonts w:hint="default" w:cs="Times New Roman"/>
                      <w:szCs w:val="21"/>
                      <w:highlight w:val="none"/>
                      <w:lang w:val="en-US" w:eastAsia="zh-CN"/>
                    </w:rPr>
                  </w:pPr>
                  <w:r>
                    <w:rPr>
                      <w:rFonts w:hint="eastAsia" w:cs="Times New Roman"/>
                      <w:szCs w:val="21"/>
                      <w:highlight w:val="none"/>
                      <w:lang w:val="en-US" w:eastAsia="zh-CN"/>
                    </w:rPr>
                    <w:t>注塑</w:t>
                  </w:r>
                </w:p>
              </w:tc>
              <w:tc>
                <w:tcPr>
                  <w:tcW w:w="1720" w:type="dxa"/>
                  <w:shd w:val="clear" w:color="auto" w:fill="auto"/>
                  <w:vAlign w:val="center"/>
                </w:tcPr>
                <w:p w14:paraId="5FE45717">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10万个/a</w:t>
                  </w:r>
                </w:p>
              </w:tc>
              <w:tc>
                <w:tcPr>
                  <w:tcW w:w="2729" w:type="dxa"/>
                  <w:vMerge w:val="continue"/>
                  <w:vAlign w:val="center"/>
                </w:tcPr>
                <w:p w14:paraId="6210158A">
                  <w:pPr>
                    <w:jc w:val="center"/>
                    <w:rPr>
                      <w:rFonts w:hint="default" w:ascii="Times New Roman" w:hAnsi="Times New Roman" w:cs="Times New Roman"/>
                      <w:szCs w:val="21"/>
                      <w:highlight w:val="none"/>
                    </w:rPr>
                  </w:pPr>
                </w:p>
              </w:tc>
              <w:tc>
                <w:tcPr>
                  <w:tcW w:w="800" w:type="dxa"/>
                  <w:vAlign w:val="center"/>
                </w:tcPr>
                <w:p w14:paraId="4D889744">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r>
            <w:tr w14:paraId="57A2F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91" w:type="dxa"/>
                  <w:gridSpan w:val="6"/>
                  <w:vAlign w:val="center"/>
                </w:tcPr>
                <w:p w14:paraId="7B55329A">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注：注塑工艺生产塑料桶精度高、表面质量好，但生产成本高，用于生产高档产品；吹塑工艺生产精度低，生产成本低，用于生产低端产品。两种工艺仅造型、精度不同，使用原料相同，产品重量相同，产品标准相同。</w:t>
                  </w:r>
                </w:p>
              </w:tc>
            </w:tr>
          </w:tbl>
          <w:p w14:paraId="7520972E">
            <w:pPr>
              <w:pStyle w:val="12"/>
              <w:keepNext w:val="0"/>
              <w:keepLines w:val="0"/>
              <w:pageBreakBefore w:val="0"/>
              <w:widowControl w:val="0"/>
              <w:kinsoku/>
              <w:wordWrap/>
              <w:overflowPunct/>
              <w:topLinePunct w:val="0"/>
              <w:autoSpaceDE/>
              <w:autoSpaceDN/>
              <w:bidi w:val="0"/>
              <w:adjustRightInd/>
              <w:snapToGrid/>
              <w:spacing w:before="157" w:beforeLines="50"/>
              <w:ind w:firstLine="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b/>
                <w:bCs/>
                <w:kern w:val="0"/>
                <w:sz w:val="24"/>
                <w:szCs w:val="24"/>
                <w:highlight w:val="none"/>
              </w:rPr>
              <w:t>表2-</w:t>
            </w:r>
            <w:r>
              <w:rPr>
                <w:rFonts w:hint="eastAsia" w:ascii="Times New Roman" w:hAnsi="Times New Roman" w:cs="Times New Roman"/>
                <w:b/>
                <w:bCs/>
                <w:kern w:val="0"/>
                <w:sz w:val="24"/>
                <w:szCs w:val="24"/>
                <w:highlight w:val="none"/>
                <w:lang w:val="en-US" w:eastAsia="zh-CN"/>
              </w:rPr>
              <w:t>3</w:t>
            </w:r>
            <w:r>
              <w:rPr>
                <w:rFonts w:hint="default" w:ascii="Times New Roman" w:hAnsi="Times New Roman" w:cs="Times New Roman"/>
                <w:b/>
                <w:bCs/>
                <w:kern w:val="0"/>
                <w:sz w:val="24"/>
                <w:szCs w:val="24"/>
                <w:highlight w:val="none"/>
              </w:rPr>
              <w:t xml:space="preserve">  《日用塑料提桶》</w:t>
            </w:r>
            <w:r>
              <w:rPr>
                <w:rFonts w:hint="default" w:ascii="Times New Roman" w:hAnsi="Times New Roman" w:cs="Times New Roman"/>
                <w:b/>
                <w:bCs/>
                <w:kern w:val="0"/>
                <w:sz w:val="24"/>
                <w:szCs w:val="24"/>
                <w:highlight w:val="none"/>
                <w:lang w:eastAsia="zh-CN"/>
              </w:rPr>
              <w:t>（</w:t>
            </w:r>
            <w:r>
              <w:rPr>
                <w:rFonts w:hint="default" w:ascii="Times New Roman" w:hAnsi="Times New Roman" w:cs="Times New Roman"/>
                <w:b/>
                <w:bCs/>
                <w:kern w:val="0"/>
                <w:sz w:val="24"/>
                <w:szCs w:val="24"/>
                <w:highlight w:val="none"/>
              </w:rPr>
              <w:t>‌GB/T 30403-2013</w:t>
            </w:r>
            <w:r>
              <w:rPr>
                <w:rFonts w:hint="default" w:ascii="Times New Roman" w:hAnsi="Times New Roman" w:cs="Times New Roman"/>
                <w:b/>
                <w:bCs/>
                <w:kern w:val="0"/>
                <w:sz w:val="24"/>
                <w:szCs w:val="24"/>
                <w:highlight w:val="none"/>
                <w:lang w:eastAsia="zh-CN"/>
              </w:rPr>
              <w:t>）</w:t>
            </w:r>
            <w:r>
              <w:rPr>
                <w:rFonts w:hint="eastAsia" w:ascii="Times New Roman" w:hAnsi="Times New Roman" w:cs="Times New Roman"/>
                <w:b/>
                <w:bCs/>
                <w:kern w:val="0"/>
                <w:sz w:val="24"/>
                <w:szCs w:val="24"/>
                <w:highlight w:val="none"/>
                <w:lang w:val="en-US" w:eastAsia="zh-CN"/>
              </w:rPr>
              <w:t>标准要求</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08"/>
              <w:gridCol w:w="1303"/>
              <w:gridCol w:w="2164"/>
              <w:gridCol w:w="4315"/>
            </w:tblGrid>
            <w:tr w14:paraId="02254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C98E8F">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3467" w:type="dxa"/>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C03977">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EBE4FA4">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技术要求</w:t>
                  </w:r>
                </w:p>
              </w:tc>
            </w:tr>
            <w:tr w14:paraId="7B876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163DD4">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3467" w:type="dxa"/>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79295F8">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负载</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A24FB31">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无破裂，提手不脱落</w:t>
                  </w:r>
                </w:p>
              </w:tc>
            </w:tr>
            <w:tr w14:paraId="47719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412F4D0">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3467" w:type="dxa"/>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6BE3E9">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负载变形率</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9961CC">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w:t>
                  </w:r>
                </w:p>
              </w:tc>
            </w:tr>
            <w:tr w14:paraId="73EB7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9F1580">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3467" w:type="dxa"/>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8C7C7C6">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耐热性能</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92C796">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无破裂，提手不脱落</w:t>
                  </w:r>
                </w:p>
              </w:tc>
            </w:tr>
            <w:tr w14:paraId="029F7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E32BF3">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3467" w:type="dxa"/>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A9F72F">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耐冲击性</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DF585B">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无破裂</w:t>
                  </w:r>
                </w:p>
              </w:tc>
            </w:tr>
            <w:tr w14:paraId="32076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43062A4">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3467" w:type="dxa"/>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6219C70">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跌落试验</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DD282A">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无破裂</w:t>
                  </w:r>
                </w:p>
              </w:tc>
            </w:tr>
            <w:tr w14:paraId="325E4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0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1D021B">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w:t>
                  </w:r>
                </w:p>
              </w:tc>
              <w:tc>
                <w:tcPr>
                  <w:tcW w:w="1303"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B98CD2">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老化</w:t>
                  </w:r>
                </w:p>
              </w:tc>
              <w:tc>
                <w:tcPr>
                  <w:tcW w:w="2164"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0DD2F43">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颜色变化</w:t>
                  </w:r>
                </w:p>
              </w:tc>
              <w:tc>
                <w:tcPr>
                  <w:tcW w:w="431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658BCB6">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ΔE* ≤8</w:t>
                  </w:r>
                </w:p>
              </w:tc>
            </w:tr>
            <w:tr w14:paraId="156B6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090" w:type="dxa"/>
                  <w:gridSpan w:val="4"/>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8639D1C">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注：容量小于5L的日用塑料提桶不做耐冲击性。</w:t>
                  </w:r>
                </w:p>
              </w:tc>
            </w:tr>
          </w:tbl>
          <w:p w14:paraId="595B2D13">
            <w:pPr>
              <w:spacing w:line="360"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4、工作制度及劳动定员</w:t>
            </w:r>
          </w:p>
          <w:p w14:paraId="19DD0F7E">
            <w:pPr>
              <w:spacing w:line="360" w:lineRule="auto"/>
              <w:ind w:firstLine="512" w:firstLineChars="200"/>
              <w:rPr>
                <w:rFonts w:hint="default" w:ascii="Times New Roman" w:hAnsi="Times New Roman" w:cs="Times New Roman"/>
                <w:spacing w:val="8"/>
                <w:sz w:val="24"/>
                <w:highlight w:val="none"/>
              </w:rPr>
            </w:pPr>
            <w:r>
              <w:rPr>
                <w:rFonts w:hint="default" w:ascii="Times New Roman" w:hAnsi="Times New Roman" w:cs="Times New Roman"/>
                <w:spacing w:val="8"/>
                <w:sz w:val="24"/>
                <w:highlight w:val="none"/>
              </w:rPr>
              <w:t>项目新增劳动定员</w:t>
            </w:r>
            <w:r>
              <w:rPr>
                <w:rFonts w:hint="eastAsia" w:cs="Times New Roman"/>
                <w:spacing w:val="8"/>
                <w:sz w:val="24"/>
                <w:highlight w:val="none"/>
                <w:lang w:val="en-US" w:eastAsia="zh-CN"/>
              </w:rPr>
              <w:t>5</w:t>
            </w:r>
            <w:r>
              <w:rPr>
                <w:rFonts w:hint="default" w:ascii="Times New Roman" w:hAnsi="Times New Roman" w:cs="Times New Roman"/>
                <w:spacing w:val="8"/>
                <w:sz w:val="24"/>
                <w:highlight w:val="none"/>
              </w:rPr>
              <w:t>人，</w:t>
            </w:r>
            <w:r>
              <w:rPr>
                <w:rFonts w:hint="default" w:ascii="Times New Roman" w:hAnsi="Times New Roman" w:cs="Times New Roman"/>
                <w:sz w:val="24"/>
                <w:highlight w:val="none"/>
              </w:rPr>
              <w:t>实行一班工作制，每班工作8小时，年工作300天，2400小时。</w:t>
            </w:r>
          </w:p>
          <w:p w14:paraId="50A8033A">
            <w:pPr>
              <w:spacing w:line="360"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5、原辅材料及能源消耗</w:t>
            </w:r>
          </w:p>
          <w:p w14:paraId="5890B996">
            <w:pPr>
              <w:spacing w:line="360" w:lineRule="auto"/>
              <w:ind w:firstLine="480" w:firstLineChars="200"/>
              <w:jc w:val="left"/>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项目主要原辅材料及能源消耗详见下表。</w:t>
            </w:r>
          </w:p>
          <w:p w14:paraId="432C9073">
            <w:pPr>
              <w:pStyle w:val="12"/>
              <w:ind w:firstLine="0"/>
              <w:jc w:val="center"/>
              <w:rPr>
                <w:rFonts w:hint="default" w:ascii="Times New Roman" w:hAnsi="Times New Roman" w:cs="Times New Roman"/>
                <w:highlight w:val="none"/>
              </w:rPr>
            </w:pPr>
            <w:r>
              <w:rPr>
                <w:rFonts w:hint="default" w:ascii="Times New Roman" w:hAnsi="Times New Roman" w:cs="Times New Roman"/>
                <w:b/>
                <w:bCs/>
                <w:kern w:val="0"/>
                <w:sz w:val="24"/>
                <w:szCs w:val="24"/>
                <w:highlight w:val="none"/>
              </w:rPr>
              <w:t>表2-</w:t>
            </w:r>
            <w:r>
              <w:rPr>
                <w:rFonts w:hint="eastAsia" w:ascii="Times New Roman" w:hAnsi="Times New Roman" w:cs="Times New Roman"/>
                <w:b/>
                <w:bCs/>
                <w:kern w:val="0"/>
                <w:sz w:val="24"/>
                <w:szCs w:val="24"/>
                <w:highlight w:val="none"/>
                <w:lang w:val="en-US" w:eastAsia="zh-CN"/>
              </w:rPr>
              <w:t>4</w:t>
            </w:r>
            <w:r>
              <w:rPr>
                <w:rFonts w:hint="default" w:ascii="Times New Roman" w:hAnsi="Times New Roman" w:cs="Times New Roman"/>
                <w:b/>
                <w:bCs/>
                <w:kern w:val="0"/>
                <w:sz w:val="24"/>
                <w:szCs w:val="24"/>
                <w:highlight w:val="none"/>
              </w:rPr>
              <w:t xml:space="preserve">  拟建项目主要原材料及能源消耗一览表</w:t>
            </w:r>
          </w:p>
          <w:tbl>
            <w:tblPr>
              <w:tblStyle w:val="19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020"/>
              <w:gridCol w:w="354"/>
              <w:gridCol w:w="888"/>
              <w:gridCol w:w="486"/>
              <w:gridCol w:w="1374"/>
              <w:gridCol w:w="1374"/>
              <w:gridCol w:w="309"/>
              <w:gridCol w:w="1065"/>
              <w:gridCol w:w="878"/>
            </w:tblGrid>
            <w:tr w14:paraId="04807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2" w:type="dxa"/>
                  <w:vAlign w:val="center"/>
                </w:tcPr>
                <w:p w14:paraId="1FAE674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材料名称</w:t>
                  </w:r>
                </w:p>
              </w:tc>
              <w:tc>
                <w:tcPr>
                  <w:tcW w:w="1374" w:type="dxa"/>
                  <w:gridSpan w:val="2"/>
                  <w:vAlign w:val="center"/>
                </w:tcPr>
                <w:p w14:paraId="25E0B54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年用量t/a</w:t>
                  </w:r>
                </w:p>
              </w:tc>
              <w:tc>
                <w:tcPr>
                  <w:tcW w:w="1374" w:type="dxa"/>
                  <w:gridSpan w:val="2"/>
                  <w:shd w:val="clear" w:color="auto" w:fill="auto"/>
                  <w:vAlign w:val="center"/>
                </w:tcPr>
                <w:p w14:paraId="2E559C6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性状</w:t>
                  </w:r>
                </w:p>
              </w:tc>
              <w:tc>
                <w:tcPr>
                  <w:tcW w:w="1374" w:type="dxa"/>
                  <w:shd w:val="clear" w:color="auto" w:fill="auto"/>
                  <w:vAlign w:val="center"/>
                </w:tcPr>
                <w:p w14:paraId="3357DF6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包装形式</w:t>
                  </w:r>
                </w:p>
              </w:tc>
              <w:tc>
                <w:tcPr>
                  <w:tcW w:w="1374" w:type="dxa"/>
                  <w:shd w:val="clear" w:color="auto" w:fill="auto"/>
                  <w:vAlign w:val="center"/>
                </w:tcPr>
                <w:p w14:paraId="3FE630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规格</w:t>
                  </w:r>
                </w:p>
              </w:tc>
              <w:tc>
                <w:tcPr>
                  <w:tcW w:w="1374" w:type="dxa"/>
                  <w:gridSpan w:val="2"/>
                  <w:shd w:val="clear" w:color="auto" w:fill="auto"/>
                  <w:vAlign w:val="center"/>
                </w:tcPr>
                <w:p w14:paraId="255F215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最大存储量t</w:t>
                  </w:r>
                </w:p>
              </w:tc>
              <w:tc>
                <w:tcPr>
                  <w:tcW w:w="878" w:type="dxa"/>
                  <w:vAlign w:val="center"/>
                </w:tcPr>
                <w:p w14:paraId="4D8F10B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备注</w:t>
                  </w:r>
                </w:p>
              </w:tc>
            </w:tr>
            <w:tr w14:paraId="1B407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0" w:type="dxa"/>
                  <w:gridSpan w:val="10"/>
                  <w:vAlign w:val="center"/>
                </w:tcPr>
                <w:p w14:paraId="4EE751F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原辅材料</w:t>
                  </w:r>
                </w:p>
              </w:tc>
            </w:tr>
            <w:tr w14:paraId="0928A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2" w:type="dxa"/>
                  <w:shd w:val="clear" w:color="auto" w:fill="auto"/>
                  <w:vAlign w:val="center"/>
                </w:tcPr>
                <w:p w14:paraId="12253368">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聚乙烯颗粒</w:t>
                  </w:r>
                </w:p>
              </w:tc>
              <w:tc>
                <w:tcPr>
                  <w:tcW w:w="1374" w:type="dxa"/>
                  <w:gridSpan w:val="2"/>
                  <w:shd w:val="clear" w:color="auto" w:fill="auto"/>
                  <w:vAlign w:val="center"/>
                </w:tcPr>
                <w:p w14:paraId="619A31EB">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445</w:t>
                  </w:r>
                </w:p>
              </w:tc>
              <w:tc>
                <w:tcPr>
                  <w:tcW w:w="1374" w:type="dxa"/>
                  <w:gridSpan w:val="2"/>
                  <w:shd w:val="clear" w:color="auto" w:fill="auto"/>
                  <w:vAlign w:val="center"/>
                </w:tcPr>
                <w:p w14:paraId="7379FE80">
                  <w:pPr>
                    <w:widowControl/>
                    <w:spacing w:line="340" w:lineRule="exact"/>
                    <w:jc w:val="center"/>
                    <w:rPr>
                      <w:rFonts w:hint="default" w:ascii="Times New Roman" w:hAnsi="Times New Roman" w:eastAsia="宋体" w:cs="Times New Roman"/>
                      <w:kern w:val="0"/>
                      <w:sz w:val="21"/>
                      <w:szCs w:val="21"/>
                      <w:highlight w:val="none"/>
                      <w:lang w:val="en-US" w:eastAsia="zh-CN" w:bidi="ar-SA"/>
                    </w:rPr>
                  </w:pPr>
                  <w:r>
                    <w:rPr>
                      <w:rFonts w:hint="eastAsia" w:cs="Times New Roman"/>
                      <w:kern w:val="0"/>
                      <w:szCs w:val="21"/>
                      <w:highlight w:val="none"/>
                      <w:lang w:val="en-US" w:eastAsia="zh-CN"/>
                    </w:rPr>
                    <w:t>颗粒</w:t>
                  </w:r>
                </w:p>
              </w:tc>
              <w:tc>
                <w:tcPr>
                  <w:tcW w:w="1374" w:type="dxa"/>
                  <w:vAlign w:val="center"/>
                </w:tcPr>
                <w:p w14:paraId="387BBAA1">
                  <w:pPr>
                    <w:widowControl/>
                    <w:spacing w:line="340" w:lineRule="exact"/>
                    <w:jc w:val="center"/>
                    <w:rPr>
                      <w:rFonts w:hint="eastAsia" w:ascii="Times New Roman" w:hAnsi="Times New Roman" w:eastAsia="宋体" w:cs="Times New Roman"/>
                      <w:kern w:val="0"/>
                      <w:szCs w:val="21"/>
                      <w:highlight w:val="none"/>
                      <w:lang w:val="en-US" w:eastAsia="zh-CN"/>
                    </w:rPr>
                  </w:pPr>
                  <w:r>
                    <w:rPr>
                      <w:rFonts w:hint="eastAsia" w:cs="Times New Roman"/>
                      <w:szCs w:val="21"/>
                      <w:highlight w:val="none"/>
                      <w:lang w:val="en-US" w:eastAsia="zh-CN"/>
                    </w:rPr>
                    <w:t>袋装</w:t>
                  </w:r>
                </w:p>
              </w:tc>
              <w:tc>
                <w:tcPr>
                  <w:tcW w:w="1374" w:type="dxa"/>
                  <w:vAlign w:val="center"/>
                </w:tcPr>
                <w:p w14:paraId="26D95079">
                  <w:pPr>
                    <w:widowControl/>
                    <w:spacing w:line="340" w:lineRule="exact"/>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25kg/袋</w:t>
                  </w:r>
                </w:p>
              </w:tc>
              <w:tc>
                <w:tcPr>
                  <w:tcW w:w="1374" w:type="dxa"/>
                  <w:gridSpan w:val="2"/>
                  <w:shd w:val="clear" w:color="auto" w:fill="auto"/>
                  <w:vAlign w:val="center"/>
                </w:tcPr>
                <w:p w14:paraId="2A25778D">
                  <w:pPr>
                    <w:snapToGrid w:val="0"/>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40</w:t>
                  </w:r>
                </w:p>
              </w:tc>
              <w:tc>
                <w:tcPr>
                  <w:tcW w:w="878" w:type="dxa"/>
                  <w:shd w:val="clear" w:color="auto" w:fill="auto"/>
                  <w:vAlign w:val="center"/>
                </w:tcPr>
                <w:p w14:paraId="7A682A38">
                  <w:pPr>
                    <w:snapToGrid w:val="0"/>
                    <w:spacing w:line="320" w:lineRule="exact"/>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外购</w:t>
                  </w:r>
                </w:p>
              </w:tc>
            </w:tr>
            <w:tr w14:paraId="4AAB3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2" w:type="dxa"/>
                  <w:shd w:val="clear" w:color="auto" w:fill="auto"/>
                  <w:vAlign w:val="center"/>
                </w:tcPr>
                <w:p w14:paraId="780B74B5">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色母粒</w:t>
                  </w:r>
                </w:p>
              </w:tc>
              <w:tc>
                <w:tcPr>
                  <w:tcW w:w="1374" w:type="dxa"/>
                  <w:gridSpan w:val="2"/>
                  <w:shd w:val="clear" w:color="auto" w:fill="auto"/>
                  <w:vAlign w:val="center"/>
                </w:tcPr>
                <w:p w14:paraId="07FB8B30">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5</w:t>
                  </w:r>
                </w:p>
              </w:tc>
              <w:tc>
                <w:tcPr>
                  <w:tcW w:w="1374" w:type="dxa"/>
                  <w:gridSpan w:val="2"/>
                  <w:shd w:val="clear" w:color="auto" w:fill="auto"/>
                  <w:vAlign w:val="center"/>
                </w:tcPr>
                <w:p w14:paraId="58177346">
                  <w:pPr>
                    <w:widowControl/>
                    <w:spacing w:line="340" w:lineRule="exact"/>
                    <w:jc w:val="center"/>
                    <w:rPr>
                      <w:rFonts w:hint="default" w:ascii="Times New Roman" w:hAnsi="Times New Roman" w:eastAsia="宋体" w:cs="Times New Roman"/>
                      <w:kern w:val="0"/>
                      <w:sz w:val="21"/>
                      <w:szCs w:val="21"/>
                      <w:highlight w:val="none"/>
                      <w:lang w:val="en-US" w:eastAsia="zh-CN" w:bidi="ar-SA"/>
                    </w:rPr>
                  </w:pPr>
                  <w:r>
                    <w:rPr>
                      <w:rFonts w:hint="eastAsia" w:cs="Times New Roman"/>
                      <w:kern w:val="0"/>
                      <w:szCs w:val="21"/>
                      <w:highlight w:val="none"/>
                      <w:lang w:val="en-US" w:eastAsia="zh-CN"/>
                    </w:rPr>
                    <w:t>颗粒</w:t>
                  </w:r>
                </w:p>
              </w:tc>
              <w:tc>
                <w:tcPr>
                  <w:tcW w:w="1374" w:type="dxa"/>
                  <w:vAlign w:val="center"/>
                </w:tcPr>
                <w:p w14:paraId="2386D273">
                  <w:pPr>
                    <w:widowControl/>
                    <w:spacing w:line="340" w:lineRule="exact"/>
                    <w:jc w:val="center"/>
                    <w:rPr>
                      <w:rFonts w:hint="default" w:ascii="Times New Roman" w:hAnsi="Times New Roman" w:cs="Times New Roman"/>
                      <w:kern w:val="0"/>
                      <w:szCs w:val="21"/>
                      <w:highlight w:val="none"/>
                    </w:rPr>
                  </w:pPr>
                  <w:r>
                    <w:rPr>
                      <w:rFonts w:hint="eastAsia" w:cs="Times New Roman"/>
                      <w:szCs w:val="21"/>
                      <w:highlight w:val="none"/>
                      <w:lang w:val="en-US" w:eastAsia="zh-CN"/>
                    </w:rPr>
                    <w:t>袋装</w:t>
                  </w:r>
                </w:p>
              </w:tc>
              <w:tc>
                <w:tcPr>
                  <w:tcW w:w="1374" w:type="dxa"/>
                  <w:vAlign w:val="center"/>
                </w:tcPr>
                <w:p w14:paraId="5814B5CF">
                  <w:pPr>
                    <w:widowControl/>
                    <w:spacing w:line="340" w:lineRule="exact"/>
                    <w:jc w:val="center"/>
                    <w:rPr>
                      <w:rFonts w:hint="default" w:ascii="Times New Roman" w:hAnsi="Times New Roman" w:cs="Times New Roman"/>
                      <w:kern w:val="0"/>
                      <w:szCs w:val="21"/>
                      <w:highlight w:val="none"/>
                    </w:rPr>
                  </w:pPr>
                  <w:r>
                    <w:rPr>
                      <w:rFonts w:hint="eastAsia" w:cs="Times New Roman"/>
                      <w:kern w:val="0"/>
                      <w:szCs w:val="21"/>
                      <w:highlight w:val="none"/>
                      <w:lang w:val="en-US" w:eastAsia="zh-CN"/>
                    </w:rPr>
                    <w:t>25kg/袋</w:t>
                  </w:r>
                </w:p>
              </w:tc>
              <w:tc>
                <w:tcPr>
                  <w:tcW w:w="1374" w:type="dxa"/>
                  <w:gridSpan w:val="2"/>
                  <w:shd w:val="clear" w:color="auto" w:fill="auto"/>
                  <w:vAlign w:val="center"/>
                </w:tcPr>
                <w:p w14:paraId="16AE1F2C">
                  <w:pPr>
                    <w:snapToGrid w:val="0"/>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w:t>
                  </w:r>
                </w:p>
              </w:tc>
              <w:tc>
                <w:tcPr>
                  <w:tcW w:w="878" w:type="dxa"/>
                  <w:shd w:val="clear" w:color="auto" w:fill="auto"/>
                  <w:vAlign w:val="center"/>
                </w:tcPr>
                <w:p w14:paraId="30EE8D30">
                  <w:pPr>
                    <w:snapToGrid w:val="0"/>
                    <w:spacing w:line="320" w:lineRule="exact"/>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外购</w:t>
                  </w:r>
                </w:p>
              </w:tc>
            </w:tr>
            <w:tr w14:paraId="67B01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0" w:type="dxa"/>
                  <w:gridSpan w:val="10"/>
                  <w:shd w:val="clear" w:color="auto" w:fill="auto"/>
                  <w:vAlign w:val="center"/>
                </w:tcPr>
                <w:p w14:paraId="53D684C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能源消耗</w:t>
                  </w:r>
                </w:p>
              </w:tc>
            </w:tr>
            <w:tr w14:paraId="188C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2" w:type="dxa"/>
                  <w:vAlign w:val="center"/>
                </w:tcPr>
                <w:p w14:paraId="68EE5C8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w:t>
                  </w:r>
                </w:p>
              </w:tc>
              <w:tc>
                <w:tcPr>
                  <w:tcW w:w="1020" w:type="dxa"/>
                  <w:shd w:val="clear" w:color="auto" w:fill="auto"/>
                  <w:vAlign w:val="center"/>
                </w:tcPr>
                <w:p w14:paraId="1B5FD09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/a</w:t>
                  </w:r>
                </w:p>
              </w:tc>
              <w:tc>
                <w:tcPr>
                  <w:tcW w:w="1242" w:type="dxa"/>
                  <w:gridSpan w:val="2"/>
                  <w:shd w:val="clear" w:color="auto" w:fill="auto"/>
                  <w:vAlign w:val="center"/>
                </w:tcPr>
                <w:p w14:paraId="459922E8">
                  <w:pPr>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75</w:t>
                  </w:r>
                </w:p>
              </w:tc>
              <w:tc>
                <w:tcPr>
                  <w:tcW w:w="3543" w:type="dxa"/>
                  <w:gridSpan w:val="4"/>
                  <w:shd w:val="clear" w:color="auto" w:fill="auto"/>
                  <w:vAlign w:val="center"/>
                </w:tcPr>
                <w:p w14:paraId="1EDCE9F6">
                  <w:pPr>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bCs/>
                      <w:color w:val="auto"/>
                      <w:szCs w:val="21"/>
                      <w:highlight w:val="none"/>
                    </w:rPr>
                    <w:t>临淄区自来水管网供给</w:t>
                  </w:r>
                </w:p>
              </w:tc>
              <w:tc>
                <w:tcPr>
                  <w:tcW w:w="1065" w:type="dxa"/>
                  <w:vAlign w:val="center"/>
                </w:tcPr>
                <w:p w14:paraId="1C08476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878" w:type="dxa"/>
                  <w:vAlign w:val="center"/>
                </w:tcPr>
                <w:p w14:paraId="04A712E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40D20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2" w:type="dxa"/>
                  <w:vAlign w:val="center"/>
                </w:tcPr>
                <w:p w14:paraId="11835D3D">
                  <w:pPr>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去离子水</w:t>
                  </w:r>
                </w:p>
              </w:tc>
              <w:tc>
                <w:tcPr>
                  <w:tcW w:w="1020" w:type="dxa"/>
                  <w:shd w:val="clear" w:color="auto" w:fill="auto"/>
                  <w:vAlign w:val="center"/>
                </w:tcPr>
                <w:p w14:paraId="0682911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/a</w:t>
                  </w:r>
                </w:p>
              </w:tc>
              <w:tc>
                <w:tcPr>
                  <w:tcW w:w="1242" w:type="dxa"/>
                  <w:gridSpan w:val="2"/>
                  <w:shd w:val="clear" w:color="auto" w:fill="auto"/>
                  <w:vAlign w:val="center"/>
                </w:tcPr>
                <w:p w14:paraId="3C15A54A">
                  <w:pPr>
                    <w:jc w:val="center"/>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360</w:t>
                  </w:r>
                </w:p>
              </w:tc>
              <w:tc>
                <w:tcPr>
                  <w:tcW w:w="3543" w:type="dxa"/>
                  <w:gridSpan w:val="4"/>
                  <w:shd w:val="clear" w:color="auto" w:fill="auto"/>
                  <w:vAlign w:val="center"/>
                </w:tcPr>
                <w:p w14:paraId="42B09202">
                  <w:pPr>
                    <w:jc w:val="center"/>
                    <w:rPr>
                      <w:rFonts w:hint="eastAsia"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外购</w:t>
                  </w:r>
                </w:p>
              </w:tc>
              <w:tc>
                <w:tcPr>
                  <w:tcW w:w="1065" w:type="dxa"/>
                  <w:vAlign w:val="center"/>
                </w:tcPr>
                <w:p w14:paraId="7B863D62">
                  <w:pPr>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878" w:type="dxa"/>
                  <w:vAlign w:val="center"/>
                </w:tcPr>
                <w:p w14:paraId="6B4815A7">
                  <w:pPr>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r>
            <w:tr w14:paraId="0EA3C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2" w:type="dxa"/>
                  <w:vAlign w:val="center"/>
                </w:tcPr>
                <w:p w14:paraId="5130584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电</w:t>
                  </w:r>
                </w:p>
              </w:tc>
              <w:tc>
                <w:tcPr>
                  <w:tcW w:w="1020" w:type="dxa"/>
                  <w:shd w:val="clear" w:color="auto" w:fill="auto"/>
                  <w:vAlign w:val="center"/>
                </w:tcPr>
                <w:p w14:paraId="46B7086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万</w:t>
                  </w:r>
                  <w:r>
                    <w:rPr>
                      <w:rFonts w:hint="default" w:ascii="Times New Roman" w:hAnsi="Times New Roman" w:cs="Times New Roman"/>
                      <w:highlight w:val="none"/>
                    </w:rPr>
                    <w:t>kWh</w:t>
                  </w:r>
                </w:p>
              </w:tc>
              <w:tc>
                <w:tcPr>
                  <w:tcW w:w="1242" w:type="dxa"/>
                  <w:gridSpan w:val="2"/>
                  <w:vAlign w:val="center"/>
                </w:tcPr>
                <w:p w14:paraId="4F8E5034">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27</w:t>
                  </w:r>
                </w:p>
              </w:tc>
              <w:tc>
                <w:tcPr>
                  <w:tcW w:w="3543" w:type="dxa"/>
                  <w:gridSpan w:val="4"/>
                  <w:shd w:val="clear" w:color="auto" w:fill="auto"/>
                  <w:vAlign w:val="center"/>
                </w:tcPr>
                <w:p w14:paraId="21A7CDD5">
                  <w:pPr>
                    <w:jc w:val="center"/>
                    <w:rPr>
                      <w:rFonts w:hint="default" w:ascii="Times New Roman" w:hAnsi="Times New Roman" w:cs="Times New Roman"/>
                      <w:szCs w:val="21"/>
                      <w:highlight w:val="none"/>
                    </w:rPr>
                  </w:pPr>
                  <w:r>
                    <w:rPr>
                      <w:rFonts w:hint="default" w:ascii="Times New Roman" w:hAnsi="Times New Roman" w:cs="Times New Roman"/>
                      <w:bCs/>
                      <w:color w:val="auto"/>
                      <w:szCs w:val="21"/>
                      <w:highlight w:val="none"/>
                    </w:rPr>
                    <w:t>临淄区供电电网接入</w:t>
                  </w:r>
                </w:p>
              </w:tc>
              <w:tc>
                <w:tcPr>
                  <w:tcW w:w="1065" w:type="dxa"/>
                  <w:vAlign w:val="center"/>
                </w:tcPr>
                <w:p w14:paraId="3D903048">
                  <w:pPr>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w:t>
                  </w:r>
                </w:p>
              </w:tc>
              <w:tc>
                <w:tcPr>
                  <w:tcW w:w="878" w:type="dxa"/>
                  <w:vAlign w:val="center"/>
                </w:tcPr>
                <w:p w14:paraId="5F99141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bl>
          <w:p w14:paraId="53D6E64A">
            <w:pPr>
              <w:spacing w:line="360" w:lineRule="auto"/>
              <w:ind w:firstLine="482" w:firstLineChars="200"/>
              <w:jc w:val="left"/>
              <w:textAlignment w:val="baseline"/>
              <w:rPr>
                <w:rFonts w:hint="default" w:ascii="Times New Roman" w:hAnsi="Times New Roman" w:cs="Times New Roman"/>
                <w:b/>
                <w:bCs/>
                <w:sz w:val="24"/>
                <w:highlight w:val="none"/>
                <w:lang w:val="en-US" w:eastAsia="zh-CN"/>
              </w:rPr>
            </w:pPr>
            <w:r>
              <w:rPr>
                <w:rFonts w:hint="eastAsia" w:ascii="Times New Roman" w:hAnsi="Times New Roman" w:cs="Times New Roman"/>
                <w:b/>
                <w:bCs/>
                <w:sz w:val="24"/>
                <w:highlight w:val="none"/>
                <w:lang w:val="en-US" w:eastAsia="zh-CN"/>
              </w:rPr>
              <w:t>原辅材料理化性质</w:t>
            </w:r>
          </w:p>
          <w:p w14:paraId="27950496">
            <w:pPr>
              <w:spacing w:line="360" w:lineRule="auto"/>
              <w:ind w:firstLine="480" w:firstLineChars="200"/>
              <w:jc w:val="left"/>
              <w:textAlignment w:val="baseline"/>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聚乙烯颗粒</w:t>
            </w:r>
            <w:r>
              <w:rPr>
                <w:rFonts w:hint="eastAsia" w:cs="Times New Roman"/>
                <w:sz w:val="24"/>
                <w:highlight w:val="none"/>
                <w:lang w:val="en-US" w:eastAsia="zh-CN"/>
              </w:rPr>
              <w:t>：为白色颗粒状产品，其密度范围为0.941-0.960 g/cm</w:t>
            </w:r>
            <w:r>
              <w:rPr>
                <w:rFonts w:hint="eastAsia" w:cs="Times New Roman"/>
                <w:sz w:val="24"/>
                <w:highlight w:val="none"/>
                <w:vertAlign w:val="superscript"/>
                <w:lang w:val="en-US" w:eastAsia="zh-CN"/>
              </w:rPr>
              <w:t>3</w:t>
            </w:r>
            <w:r>
              <w:rPr>
                <w:rFonts w:hint="eastAsia" w:cs="Times New Roman"/>
                <w:sz w:val="24"/>
                <w:highlight w:val="none"/>
                <w:lang w:val="en-US" w:eastAsia="zh-CN"/>
              </w:rPr>
              <w:t>，结晶度高于65%，无毒、不吸水。该材料具有良好的耐热性和耐寒性，化学稳定性好，还具有较高的刚性和韧性，机械强度好，阻隔性能、介电性能和耐环境应力开裂性亦较好。</w:t>
            </w:r>
          </w:p>
          <w:p w14:paraId="66F9B1D5">
            <w:pPr>
              <w:spacing w:line="360" w:lineRule="auto"/>
              <w:ind w:firstLine="480" w:firstLineChars="200"/>
              <w:jc w:val="left"/>
              <w:textAlignment w:val="baseline"/>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色母粒</w:t>
            </w:r>
            <w:r>
              <w:rPr>
                <w:rFonts w:hint="eastAsia" w:cs="Times New Roman"/>
                <w:sz w:val="24"/>
                <w:highlight w:val="none"/>
                <w:lang w:val="en-US" w:eastAsia="zh-CN"/>
              </w:rPr>
              <w:t>：项目使用的有机颜料有：酞菁红、酞菁蓝、酞菁绿、耐晒大红、大分子红、大分子黄、永固黄、永固紫、偶氮红等。使用聚乙烯树脂作为载体，使用分散剂为：聚乙烯低分子蜡、硬脂酸盐。由于色母粒主要载体为聚乙烯，吹塑、注塑生产过程会产生VOCs。项目不使用含重金属颜料。</w:t>
            </w:r>
          </w:p>
          <w:p w14:paraId="79FB0A41">
            <w:pPr>
              <w:spacing w:line="276"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6、主要生产设备</w:t>
            </w:r>
          </w:p>
          <w:p w14:paraId="2EC567AF">
            <w:pPr>
              <w:pStyle w:val="46"/>
              <w:ind w:left="0" w:leftChars="0" w:firstLine="480"/>
              <w:rPr>
                <w:rFonts w:hint="default" w:ascii="Times New Roman" w:hAnsi="Times New Roman" w:cs="Times New Roman"/>
                <w:sz w:val="24"/>
                <w:highlight w:val="none"/>
              </w:rPr>
            </w:pPr>
            <w:r>
              <w:rPr>
                <w:rFonts w:hint="default" w:ascii="Times New Roman" w:hAnsi="Times New Roman" w:cs="Times New Roman"/>
                <w:bCs/>
                <w:sz w:val="24"/>
                <w:highlight w:val="none"/>
              </w:rPr>
              <w:t>项目主要设备情况</w:t>
            </w:r>
            <w:r>
              <w:rPr>
                <w:rFonts w:hint="default" w:ascii="Times New Roman" w:hAnsi="Times New Roman" w:cs="Times New Roman"/>
                <w:sz w:val="24"/>
                <w:highlight w:val="none"/>
              </w:rPr>
              <w:t>见下表。</w:t>
            </w:r>
          </w:p>
          <w:p w14:paraId="66277904">
            <w:pPr>
              <w:pStyle w:val="12"/>
              <w:ind w:firstLine="0"/>
              <w:jc w:val="center"/>
              <w:rPr>
                <w:rFonts w:hint="default" w:ascii="Times New Roman" w:hAnsi="Times New Roman" w:cs="Times New Roman"/>
                <w:b/>
                <w:bCs/>
                <w:kern w:val="0"/>
                <w:sz w:val="24"/>
                <w:szCs w:val="24"/>
                <w:highlight w:val="none"/>
              </w:rPr>
            </w:pPr>
            <w:r>
              <w:rPr>
                <w:rFonts w:hint="default" w:ascii="Times New Roman" w:hAnsi="Times New Roman" w:cs="Times New Roman"/>
                <w:b/>
                <w:bCs/>
                <w:kern w:val="0"/>
                <w:sz w:val="24"/>
                <w:szCs w:val="24"/>
                <w:highlight w:val="none"/>
              </w:rPr>
              <w:t>表2-</w:t>
            </w:r>
            <w:r>
              <w:rPr>
                <w:rFonts w:hint="eastAsia" w:ascii="Times New Roman" w:hAnsi="Times New Roman" w:cs="Times New Roman"/>
                <w:b/>
                <w:bCs/>
                <w:kern w:val="0"/>
                <w:sz w:val="24"/>
                <w:szCs w:val="24"/>
                <w:highlight w:val="none"/>
                <w:lang w:val="en-US" w:eastAsia="zh-CN"/>
              </w:rPr>
              <w:t>5</w:t>
            </w:r>
            <w:r>
              <w:rPr>
                <w:rFonts w:hint="default" w:ascii="Times New Roman" w:hAnsi="Times New Roman" w:cs="Times New Roman"/>
                <w:b/>
                <w:bCs/>
                <w:kern w:val="0"/>
                <w:sz w:val="24"/>
                <w:szCs w:val="24"/>
                <w:highlight w:val="none"/>
              </w:rPr>
              <w:t xml:space="preserve">  拟建项目设备清单</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2637"/>
              <w:gridCol w:w="1620"/>
              <w:gridCol w:w="1260"/>
              <w:gridCol w:w="1539"/>
              <w:gridCol w:w="1316"/>
            </w:tblGrid>
            <w:tr w14:paraId="6C10E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135A837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2637" w:type="dxa"/>
                  <w:vAlign w:val="center"/>
                </w:tcPr>
                <w:p w14:paraId="127347F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设备名称</w:t>
                  </w:r>
                </w:p>
              </w:tc>
              <w:tc>
                <w:tcPr>
                  <w:tcW w:w="1620" w:type="dxa"/>
                  <w:vAlign w:val="center"/>
                </w:tcPr>
                <w:p w14:paraId="6B9CF51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型号/尺寸</w:t>
                  </w:r>
                </w:p>
              </w:tc>
              <w:tc>
                <w:tcPr>
                  <w:tcW w:w="1260" w:type="dxa"/>
                  <w:vAlign w:val="center"/>
                </w:tcPr>
                <w:p w14:paraId="7F7296A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摆放位置</w:t>
                  </w:r>
                </w:p>
              </w:tc>
              <w:tc>
                <w:tcPr>
                  <w:tcW w:w="1539" w:type="dxa"/>
                  <w:vAlign w:val="center"/>
                </w:tcPr>
                <w:p w14:paraId="6A0B03F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数量（台/套）</w:t>
                  </w:r>
                </w:p>
              </w:tc>
              <w:tc>
                <w:tcPr>
                  <w:tcW w:w="1316" w:type="dxa"/>
                  <w:vAlign w:val="center"/>
                </w:tcPr>
                <w:p w14:paraId="43A3556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备注</w:t>
                  </w:r>
                </w:p>
              </w:tc>
            </w:tr>
            <w:tr w14:paraId="4E9FA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0" w:type="dxa"/>
                  <w:gridSpan w:val="6"/>
                  <w:vAlign w:val="center"/>
                </w:tcPr>
                <w:p w14:paraId="5FD6CDBD">
                  <w:pPr>
                    <w:jc w:val="center"/>
                    <w:rPr>
                      <w:rFonts w:hint="default" w:ascii="Times New Roman" w:hAnsi="Times New Roman" w:cs="Times New Roman"/>
                      <w:szCs w:val="21"/>
                      <w:highlight w:val="none"/>
                    </w:rPr>
                  </w:pPr>
                  <w:r>
                    <w:rPr>
                      <w:rFonts w:hint="eastAsia" w:cs="Times New Roman"/>
                      <w:szCs w:val="21"/>
                      <w:highlight w:val="none"/>
                      <w:lang w:val="en-US" w:eastAsia="zh-CN"/>
                    </w:rPr>
                    <w:t>拟建</w:t>
                  </w:r>
                  <w:r>
                    <w:rPr>
                      <w:rFonts w:hint="default" w:ascii="Times New Roman" w:hAnsi="Times New Roman" w:cs="Times New Roman"/>
                      <w:szCs w:val="21"/>
                      <w:highlight w:val="none"/>
                    </w:rPr>
                    <w:t>设备情况</w:t>
                  </w:r>
                </w:p>
              </w:tc>
            </w:tr>
            <w:tr w14:paraId="645B0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5D5DB40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2637" w:type="dxa"/>
                  <w:shd w:val="clear" w:color="auto" w:fill="auto"/>
                  <w:vAlign w:val="center"/>
                </w:tcPr>
                <w:p w14:paraId="6ECFE4C7">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塑料中空吹塑机</w:t>
                  </w:r>
                </w:p>
              </w:tc>
              <w:tc>
                <w:tcPr>
                  <w:tcW w:w="1620" w:type="dxa"/>
                  <w:shd w:val="clear" w:color="auto" w:fill="auto"/>
                  <w:vAlign w:val="center"/>
                </w:tcPr>
                <w:p w14:paraId="388892A4">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HDZK-50L</w:t>
                  </w:r>
                </w:p>
              </w:tc>
              <w:tc>
                <w:tcPr>
                  <w:tcW w:w="1260" w:type="dxa"/>
                  <w:vMerge w:val="restart"/>
                  <w:vAlign w:val="center"/>
                </w:tcPr>
                <w:p w14:paraId="20CCEA34">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生产车间</w:t>
                  </w:r>
                </w:p>
              </w:tc>
              <w:tc>
                <w:tcPr>
                  <w:tcW w:w="1539" w:type="dxa"/>
                  <w:shd w:val="clear" w:color="auto" w:fill="auto"/>
                  <w:vAlign w:val="center"/>
                </w:tcPr>
                <w:p w14:paraId="28EE2C4E">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w:t>
                  </w:r>
                </w:p>
              </w:tc>
              <w:tc>
                <w:tcPr>
                  <w:tcW w:w="1316" w:type="dxa"/>
                  <w:vAlign w:val="center"/>
                </w:tcPr>
                <w:p w14:paraId="54268221">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新建</w:t>
                  </w:r>
                </w:p>
              </w:tc>
            </w:tr>
            <w:tr w14:paraId="53FA1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12DBC91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2637" w:type="dxa"/>
                  <w:shd w:val="clear" w:color="auto" w:fill="auto"/>
                  <w:vAlign w:val="center"/>
                </w:tcPr>
                <w:p w14:paraId="14BF1788">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自动注塑机</w:t>
                  </w:r>
                </w:p>
              </w:tc>
              <w:tc>
                <w:tcPr>
                  <w:tcW w:w="1620" w:type="dxa"/>
                  <w:shd w:val="clear" w:color="auto" w:fill="auto"/>
                  <w:vAlign w:val="center"/>
                </w:tcPr>
                <w:p w14:paraId="01F68684">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TH140SP</w:t>
                  </w:r>
                </w:p>
              </w:tc>
              <w:tc>
                <w:tcPr>
                  <w:tcW w:w="1260" w:type="dxa"/>
                  <w:vMerge w:val="continue"/>
                  <w:vAlign w:val="center"/>
                </w:tcPr>
                <w:p w14:paraId="69931BB7">
                  <w:pPr>
                    <w:jc w:val="center"/>
                    <w:rPr>
                      <w:rFonts w:hint="default" w:ascii="Times New Roman" w:hAnsi="Times New Roman" w:eastAsia="宋体" w:cs="Times New Roman"/>
                      <w:szCs w:val="21"/>
                      <w:highlight w:val="none"/>
                      <w:lang w:val="en-US" w:eastAsia="zh-CN"/>
                    </w:rPr>
                  </w:pPr>
                </w:p>
              </w:tc>
              <w:tc>
                <w:tcPr>
                  <w:tcW w:w="1539" w:type="dxa"/>
                  <w:shd w:val="clear" w:color="auto" w:fill="auto"/>
                  <w:vAlign w:val="center"/>
                </w:tcPr>
                <w:p w14:paraId="4B9B2A4D">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w:t>
                  </w:r>
                </w:p>
              </w:tc>
              <w:tc>
                <w:tcPr>
                  <w:tcW w:w="1316" w:type="dxa"/>
                  <w:vAlign w:val="center"/>
                </w:tcPr>
                <w:p w14:paraId="1AB2AF41">
                  <w:pPr>
                    <w:jc w:val="center"/>
                    <w:rPr>
                      <w:rFonts w:hint="default" w:ascii="Times New Roman" w:hAnsi="Times New Roman" w:cs="Times New Roman"/>
                      <w:szCs w:val="21"/>
                      <w:highlight w:val="none"/>
                    </w:rPr>
                  </w:pPr>
                  <w:r>
                    <w:rPr>
                      <w:rFonts w:hint="eastAsia" w:cs="Times New Roman"/>
                      <w:szCs w:val="21"/>
                      <w:highlight w:val="none"/>
                      <w:lang w:val="en-US" w:eastAsia="zh-CN"/>
                    </w:rPr>
                    <w:t>新建</w:t>
                  </w:r>
                </w:p>
              </w:tc>
            </w:tr>
            <w:tr w14:paraId="4AA1F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3D5B6B6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w:t>
                  </w:r>
                </w:p>
              </w:tc>
              <w:tc>
                <w:tcPr>
                  <w:tcW w:w="2637" w:type="dxa"/>
                  <w:shd w:val="clear" w:color="auto" w:fill="auto"/>
                  <w:vAlign w:val="center"/>
                </w:tcPr>
                <w:p w14:paraId="77347235">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空气压缩机</w:t>
                  </w:r>
                </w:p>
              </w:tc>
              <w:tc>
                <w:tcPr>
                  <w:tcW w:w="1620" w:type="dxa"/>
                  <w:shd w:val="clear" w:color="auto" w:fill="auto"/>
                  <w:vAlign w:val="center"/>
                </w:tcPr>
                <w:p w14:paraId="320E5E01">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L7.5PM</w:t>
                  </w:r>
                </w:p>
              </w:tc>
              <w:tc>
                <w:tcPr>
                  <w:tcW w:w="1260" w:type="dxa"/>
                  <w:vMerge w:val="continue"/>
                  <w:vAlign w:val="center"/>
                </w:tcPr>
                <w:p w14:paraId="6C3924DA">
                  <w:pPr>
                    <w:jc w:val="center"/>
                    <w:rPr>
                      <w:rFonts w:hint="default" w:ascii="Times New Roman" w:hAnsi="Times New Roman" w:eastAsia="宋体" w:cs="Times New Roman"/>
                      <w:szCs w:val="21"/>
                      <w:highlight w:val="none"/>
                      <w:lang w:val="en-US" w:eastAsia="zh-CN"/>
                    </w:rPr>
                  </w:pPr>
                </w:p>
              </w:tc>
              <w:tc>
                <w:tcPr>
                  <w:tcW w:w="1539" w:type="dxa"/>
                  <w:shd w:val="clear" w:color="auto" w:fill="auto"/>
                  <w:vAlign w:val="center"/>
                </w:tcPr>
                <w:p w14:paraId="6747ACE3">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w:t>
                  </w:r>
                </w:p>
              </w:tc>
              <w:tc>
                <w:tcPr>
                  <w:tcW w:w="1316" w:type="dxa"/>
                  <w:vAlign w:val="center"/>
                </w:tcPr>
                <w:p w14:paraId="43C07DAC">
                  <w:pPr>
                    <w:jc w:val="center"/>
                    <w:rPr>
                      <w:rFonts w:hint="default" w:ascii="Times New Roman" w:hAnsi="Times New Roman" w:cs="Times New Roman"/>
                      <w:szCs w:val="21"/>
                      <w:highlight w:val="none"/>
                    </w:rPr>
                  </w:pPr>
                  <w:r>
                    <w:rPr>
                      <w:rFonts w:hint="eastAsia" w:cs="Times New Roman"/>
                      <w:szCs w:val="21"/>
                      <w:highlight w:val="none"/>
                      <w:lang w:val="en-US" w:eastAsia="zh-CN"/>
                    </w:rPr>
                    <w:t>新建</w:t>
                  </w:r>
                </w:p>
              </w:tc>
            </w:tr>
            <w:tr w14:paraId="189B1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428C468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w:t>
                  </w:r>
                </w:p>
              </w:tc>
              <w:tc>
                <w:tcPr>
                  <w:tcW w:w="2637" w:type="dxa"/>
                  <w:shd w:val="clear" w:color="auto" w:fill="auto"/>
                  <w:vAlign w:val="center"/>
                </w:tcPr>
                <w:p w14:paraId="1A79CED5">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制冷机</w:t>
                  </w:r>
                </w:p>
              </w:tc>
              <w:tc>
                <w:tcPr>
                  <w:tcW w:w="1620" w:type="dxa"/>
                  <w:shd w:val="clear" w:color="auto" w:fill="auto"/>
                  <w:vAlign w:val="center"/>
                </w:tcPr>
                <w:p w14:paraId="4E00808B">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10P</w:t>
                  </w:r>
                </w:p>
              </w:tc>
              <w:tc>
                <w:tcPr>
                  <w:tcW w:w="1260" w:type="dxa"/>
                  <w:vMerge w:val="continue"/>
                  <w:vAlign w:val="center"/>
                </w:tcPr>
                <w:p w14:paraId="0450330F">
                  <w:pPr>
                    <w:jc w:val="center"/>
                    <w:rPr>
                      <w:rFonts w:hint="default" w:ascii="Times New Roman" w:hAnsi="Times New Roman" w:eastAsia="宋体" w:cs="Times New Roman"/>
                      <w:szCs w:val="21"/>
                      <w:highlight w:val="none"/>
                      <w:lang w:val="en-US" w:eastAsia="zh-CN"/>
                    </w:rPr>
                  </w:pPr>
                </w:p>
              </w:tc>
              <w:tc>
                <w:tcPr>
                  <w:tcW w:w="1539" w:type="dxa"/>
                  <w:shd w:val="clear" w:color="auto" w:fill="auto"/>
                  <w:vAlign w:val="center"/>
                </w:tcPr>
                <w:p w14:paraId="13C382C5">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w:t>
                  </w:r>
                </w:p>
              </w:tc>
              <w:tc>
                <w:tcPr>
                  <w:tcW w:w="1316" w:type="dxa"/>
                  <w:vAlign w:val="center"/>
                </w:tcPr>
                <w:p w14:paraId="4E7C7B82">
                  <w:pPr>
                    <w:jc w:val="center"/>
                    <w:rPr>
                      <w:rFonts w:hint="default" w:ascii="Times New Roman" w:hAnsi="Times New Roman" w:cs="Times New Roman"/>
                      <w:szCs w:val="21"/>
                      <w:highlight w:val="none"/>
                    </w:rPr>
                  </w:pPr>
                  <w:r>
                    <w:rPr>
                      <w:rFonts w:hint="eastAsia" w:cs="Times New Roman"/>
                      <w:szCs w:val="21"/>
                      <w:highlight w:val="none"/>
                      <w:lang w:val="en-US" w:eastAsia="zh-CN"/>
                    </w:rPr>
                    <w:t>新建</w:t>
                  </w:r>
                </w:p>
              </w:tc>
            </w:tr>
            <w:tr w14:paraId="6034D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0FC3BD2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w:t>
                  </w:r>
                </w:p>
              </w:tc>
              <w:tc>
                <w:tcPr>
                  <w:tcW w:w="2637" w:type="dxa"/>
                  <w:shd w:val="clear" w:color="auto" w:fill="auto"/>
                  <w:vAlign w:val="center"/>
                </w:tcPr>
                <w:p w14:paraId="633C79BA">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混料机</w:t>
                  </w:r>
                </w:p>
              </w:tc>
              <w:tc>
                <w:tcPr>
                  <w:tcW w:w="1620" w:type="dxa"/>
                  <w:shd w:val="clear" w:color="auto" w:fill="auto"/>
                  <w:vAlign w:val="center"/>
                </w:tcPr>
                <w:p w14:paraId="2216B860">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500Kg</w:t>
                  </w:r>
                </w:p>
              </w:tc>
              <w:tc>
                <w:tcPr>
                  <w:tcW w:w="1260" w:type="dxa"/>
                  <w:vMerge w:val="continue"/>
                  <w:vAlign w:val="center"/>
                </w:tcPr>
                <w:p w14:paraId="5CAC129D">
                  <w:pPr>
                    <w:jc w:val="center"/>
                    <w:rPr>
                      <w:rFonts w:hint="default" w:ascii="Times New Roman" w:hAnsi="Times New Roman" w:eastAsia="宋体" w:cs="Times New Roman"/>
                      <w:szCs w:val="21"/>
                      <w:highlight w:val="none"/>
                      <w:lang w:val="en-US" w:eastAsia="zh-CN"/>
                    </w:rPr>
                  </w:pPr>
                </w:p>
              </w:tc>
              <w:tc>
                <w:tcPr>
                  <w:tcW w:w="1539" w:type="dxa"/>
                  <w:shd w:val="clear" w:color="auto" w:fill="auto"/>
                  <w:vAlign w:val="center"/>
                </w:tcPr>
                <w:p w14:paraId="505305C6">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w:t>
                  </w:r>
                </w:p>
              </w:tc>
              <w:tc>
                <w:tcPr>
                  <w:tcW w:w="1316" w:type="dxa"/>
                  <w:vAlign w:val="center"/>
                </w:tcPr>
                <w:p w14:paraId="1C11569F">
                  <w:pPr>
                    <w:jc w:val="center"/>
                    <w:rPr>
                      <w:rFonts w:hint="default" w:ascii="Times New Roman" w:hAnsi="Times New Roman" w:cs="Times New Roman"/>
                      <w:szCs w:val="21"/>
                      <w:highlight w:val="none"/>
                    </w:rPr>
                  </w:pPr>
                  <w:r>
                    <w:rPr>
                      <w:rFonts w:hint="eastAsia" w:cs="Times New Roman"/>
                      <w:szCs w:val="21"/>
                      <w:highlight w:val="none"/>
                      <w:lang w:val="en-US" w:eastAsia="zh-CN"/>
                    </w:rPr>
                    <w:t>新建</w:t>
                  </w:r>
                </w:p>
              </w:tc>
            </w:tr>
            <w:tr w14:paraId="0AEBD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8" w:type="dxa"/>
                  <w:vAlign w:val="center"/>
                </w:tcPr>
                <w:p w14:paraId="65EF4AC4">
                  <w:pPr>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6</w:t>
                  </w:r>
                </w:p>
              </w:tc>
              <w:tc>
                <w:tcPr>
                  <w:tcW w:w="2637" w:type="dxa"/>
                  <w:shd w:val="clear" w:color="auto" w:fill="auto"/>
                  <w:vAlign w:val="center"/>
                </w:tcPr>
                <w:p w14:paraId="2814350B">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上料机</w:t>
                  </w:r>
                </w:p>
              </w:tc>
              <w:tc>
                <w:tcPr>
                  <w:tcW w:w="1620" w:type="dxa"/>
                  <w:shd w:val="clear" w:color="auto" w:fill="auto"/>
                  <w:vAlign w:val="center"/>
                </w:tcPr>
                <w:p w14:paraId="2A43B9CB">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1260" w:type="dxa"/>
                  <w:vMerge w:val="continue"/>
                  <w:vAlign w:val="center"/>
                </w:tcPr>
                <w:p w14:paraId="033B6F93">
                  <w:pPr>
                    <w:jc w:val="center"/>
                    <w:rPr>
                      <w:rFonts w:hint="default" w:ascii="Times New Roman" w:hAnsi="Times New Roman" w:eastAsia="宋体" w:cs="Times New Roman"/>
                      <w:szCs w:val="21"/>
                      <w:highlight w:val="none"/>
                      <w:lang w:val="en-US" w:eastAsia="zh-CN"/>
                    </w:rPr>
                  </w:pPr>
                </w:p>
              </w:tc>
              <w:tc>
                <w:tcPr>
                  <w:tcW w:w="1539" w:type="dxa"/>
                  <w:shd w:val="clear" w:color="auto" w:fill="auto"/>
                  <w:vAlign w:val="center"/>
                </w:tcPr>
                <w:p w14:paraId="1A34112D">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w:t>
                  </w:r>
                </w:p>
              </w:tc>
              <w:tc>
                <w:tcPr>
                  <w:tcW w:w="1316" w:type="dxa"/>
                  <w:vAlign w:val="center"/>
                </w:tcPr>
                <w:p w14:paraId="5A83BCB9">
                  <w:pPr>
                    <w:jc w:val="center"/>
                    <w:rPr>
                      <w:rFonts w:hint="default" w:ascii="Times New Roman" w:hAnsi="Times New Roman" w:cs="Times New Roman"/>
                      <w:szCs w:val="21"/>
                      <w:highlight w:val="none"/>
                    </w:rPr>
                  </w:pPr>
                  <w:r>
                    <w:rPr>
                      <w:rFonts w:hint="eastAsia" w:cs="Times New Roman"/>
                      <w:szCs w:val="21"/>
                      <w:highlight w:val="none"/>
                      <w:lang w:val="en-US" w:eastAsia="zh-CN"/>
                    </w:rPr>
                    <w:t>新建</w:t>
                  </w:r>
                </w:p>
              </w:tc>
            </w:tr>
          </w:tbl>
          <w:p w14:paraId="0BD79799">
            <w:pPr>
              <w:pStyle w:val="46"/>
              <w:ind w:left="0" w:leftChars="0" w:firstLine="482"/>
              <w:rPr>
                <w:rFonts w:hint="default" w:ascii="Times New Roman" w:hAnsi="Times New Roman" w:cs="Times New Roman"/>
                <w:b/>
                <w:sz w:val="24"/>
                <w:highlight w:val="none"/>
              </w:rPr>
            </w:pPr>
            <w:r>
              <w:rPr>
                <w:rFonts w:hint="default" w:ascii="Times New Roman" w:hAnsi="Times New Roman" w:cs="Times New Roman"/>
                <w:b/>
                <w:sz w:val="24"/>
                <w:highlight w:val="none"/>
              </w:rPr>
              <w:t>7、公用工程</w:t>
            </w:r>
          </w:p>
          <w:p w14:paraId="68DF912F">
            <w:pPr>
              <w:spacing w:line="360" w:lineRule="auto"/>
              <w:ind w:firstLine="480" w:firstLineChars="200"/>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7.1供排水</w:t>
            </w:r>
          </w:p>
          <w:p w14:paraId="63D1B8A6">
            <w:pPr>
              <w:spacing w:line="360" w:lineRule="auto"/>
              <w:ind w:right="105" w:rightChars="50" w:firstLine="480" w:firstLineChars="200"/>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（1）给水</w:t>
            </w:r>
          </w:p>
          <w:p w14:paraId="7FA5ACD1">
            <w:pPr>
              <w:adjustRightInd w:val="0"/>
              <w:snapToGrid w:val="0"/>
              <w:spacing w:line="360" w:lineRule="auto"/>
              <w:ind w:firstLine="464" w:firstLineChars="200"/>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项目日常用水主要为厂区内员工日常生活用水和生产用水，</w:t>
            </w:r>
            <w:r>
              <w:rPr>
                <w:rFonts w:hint="eastAsia" w:cs="Times New Roman"/>
                <w:spacing w:val="-4"/>
                <w:sz w:val="24"/>
                <w:highlight w:val="none"/>
                <w:lang w:val="en-US" w:eastAsia="zh-CN"/>
              </w:rPr>
              <w:t>生活用水</w:t>
            </w:r>
            <w:r>
              <w:rPr>
                <w:rFonts w:hint="default" w:ascii="Times New Roman" w:hAnsi="Times New Roman" w:cs="Times New Roman"/>
                <w:spacing w:val="-4"/>
                <w:sz w:val="24"/>
                <w:highlight w:val="none"/>
              </w:rPr>
              <w:t>由临淄区自来水管网供给</w:t>
            </w:r>
            <w:r>
              <w:rPr>
                <w:rFonts w:hint="eastAsia" w:cs="Times New Roman"/>
                <w:spacing w:val="-4"/>
                <w:sz w:val="24"/>
                <w:highlight w:val="none"/>
                <w:lang w:eastAsia="zh-CN"/>
              </w:rPr>
              <w:t>，</w:t>
            </w:r>
            <w:r>
              <w:rPr>
                <w:rFonts w:hint="eastAsia" w:cs="Times New Roman"/>
                <w:spacing w:val="-4"/>
                <w:sz w:val="24"/>
                <w:highlight w:val="none"/>
                <w:lang w:val="en-US" w:eastAsia="zh-CN"/>
              </w:rPr>
              <w:t>生产用水外购去离子水</w:t>
            </w:r>
            <w:r>
              <w:rPr>
                <w:rFonts w:hint="default" w:ascii="Times New Roman" w:hAnsi="Times New Roman" w:cs="Times New Roman"/>
                <w:spacing w:val="-4"/>
                <w:sz w:val="24"/>
                <w:highlight w:val="none"/>
              </w:rPr>
              <w:t>。</w:t>
            </w:r>
          </w:p>
          <w:p w14:paraId="11E3B914">
            <w:pPr>
              <w:adjustRightInd w:val="0"/>
              <w:snapToGrid w:val="0"/>
              <w:spacing w:line="360" w:lineRule="auto"/>
              <w:ind w:firstLine="464" w:firstLineChars="200"/>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fldChar w:fldCharType="begin"/>
            </w:r>
            <w:r>
              <w:rPr>
                <w:rFonts w:hint="default" w:ascii="Times New Roman" w:hAnsi="Times New Roman" w:cs="Times New Roman"/>
                <w:spacing w:val="-4"/>
                <w:sz w:val="24"/>
                <w:highlight w:val="none"/>
              </w:rPr>
              <w:instrText xml:space="preserve"> = 1 \* GB3 \* MERGEFORMAT </w:instrText>
            </w:r>
            <w:r>
              <w:rPr>
                <w:rFonts w:hint="default" w:ascii="Times New Roman" w:hAnsi="Times New Roman" w:cs="Times New Roman"/>
                <w:spacing w:val="-4"/>
                <w:sz w:val="24"/>
                <w:highlight w:val="none"/>
              </w:rPr>
              <w:fldChar w:fldCharType="separate"/>
            </w:r>
            <w:r>
              <w:rPr>
                <w:rFonts w:hint="default" w:ascii="Times New Roman" w:hAnsi="Times New Roman" w:cs="Times New Roman"/>
                <w:sz w:val="24"/>
                <w:highlight w:val="none"/>
              </w:rPr>
              <w:t>①</w:t>
            </w:r>
            <w:r>
              <w:rPr>
                <w:rFonts w:hint="default" w:ascii="Times New Roman" w:hAnsi="Times New Roman" w:cs="Times New Roman"/>
                <w:spacing w:val="-4"/>
                <w:sz w:val="24"/>
                <w:highlight w:val="none"/>
              </w:rPr>
              <w:fldChar w:fldCharType="end"/>
            </w:r>
            <w:r>
              <w:rPr>
                <w:rFonts w:hint="default" w:ascii="Times New Roman" w:hAnsi="Times New Roman" w:cs="Times New Roman"/>
                <w:spacing w:val="-4"/>
                <w:sz w:val="24"/>
                <w:highlight w:val="none"/>
              </w:rPr>
              <w:t>生活用水：本项目新增劳动定员</w:t>
            </w:r>
            <w:r>
              <w:rPr>
                <w:rFonts w:hint="eastAsia" w:cs="Times New Roman"/>
                <w:spacing w:val="-4"/>
                <w:sz w:val="24"/>
                <w:highlight w:val="none"/>
                <w:lang w:val="en-US" w:eastAsia="zh-CN"/>
              </w:rPr>
              <w:t>5</w:t>
            </w:r>
            <w:r>
              <w:rPr>
                <w:rFonts w:hint="default" w:ascii="Times New Roman" w:hAnsi="Times New Roman" w:cs="Times New Roman"/>
                <w:spacing w:val="-4"/>
                <w:sz w:val="24"/>
                <w:highlight w:val="none"/>
              </w:rPr>
              <w:t>人，根据《建筑给水排水设计标准》（GB50015-2019）规定的用水定额，职工生活用水定额按50L/人•d计，年工作300天，生活用水量约</w:t>
            </w:r>
            <w:r>
              <w:rPr>
                <w:rFonts w:hint="eastAsia" w:cs="Times New Roman"/>
                <w:spacing w:val="-4"/>
                <w:sz w:val="24"/>
                <w:highlight w:val="none"/>
                <w:lang w:val="en-US" w:eastAsia="zh-CN"/>
              </w:rPr>
              <w:t>75</w:t>
            </w:r>
            <w:r>
              <w:rPr>
                <w:rFonts w:hint="default" w:ascii="Times New Roman" w:hAnsi="Times New Roman" w:cs="Times New Roman"/>
                <w:spacing w:val="-4"/>
                <w:sz w:val="24"/>
                <w:highlight w:val="none"/>
              </w:rPr>
              <w:t>m</w:t>
            </w:r>
            <w:r>
              <w:rPr>
                <w:rFonts w:hint="default" w:ascii="Times New Roman" w:hAnsi="Times New Roman" w:cs="Times New Roman"/>
                <w:spacing w:val="-4"/>
                <w:sz w:val="24"/>
                <w:highlight w:val="none"/>
                <w:vertAlign w:val="superscript"/>
              </w:rPr>
              <w:t>3</w:t>
            </w:r>
            <w:r>
              <w:rPr>
                <w:rFonts w:hint="default" w:ascii="Times New Roman" w:hAnsi="Times New Roman" w:cs="Times New Roman"/>
                <w:spacing w:val="-4"/>
                <w:sz w:val="24"/>
                <w:highlight w:val="none"/>
              </w:rPr>
              <w:t>/a。</w:t>
            </w:r>
          </w:p>
          <w:p w14:paraId="1FB5A736">
            <w:pPr>
              <w:adjustRightInd w:val="0"/>
              <w:snapToGrid w:val="0"/>
              <w:spacing w:line="360" w:lineRule="auto"/>
              <w:ind w:firstLine="464" w:firstLineChars="200"/>
              <w:rPr>
                <w:rFonts w:hint="default" w:ascii="Times New Roman" w:hAnsi="Times New Roman" w:eastAsia="宋体" w:cs="Times New Roman"/>
                <w:sz w:val="24"/>
                <w:highlight w:val="none"/>
                <w:lang w:val="en-US" w:eastAsia="zh-CN"/>
              </w:rPr>
            </w:pPr>
            <w:r>
              <w:rPr>
                <w:rFonts w:hint="default" w:ascii="Times New Roman" w:hAnsi="Times New Roman" w:cs="Times New Roman"/>
                <w:spacing w:val="-4"/>
                <w:sz w:val="24"/>
                <w:highlight w:val="none"/>
              </w:rPr>
              <w:fldChar w:fldCharType="begin"/>
            </w:r>
            <w:r>
              <w:rPr>
                <w:rFonts w:hint="default" w:ascii="Times New Roman" w:hAnsi="Times New Roman" w:cs="Times New Roman"/>
                <w:spacing w:val="-4"/>
                <w:sz w:val="24"/>
                <w:highlight w:val="none"/>
              </w:rPr>
              <w:instrText xml:space="preserve"> = 2 \* GB3 \* MERGEFORMAT </w:instrText>
            </w:r>
            <w:r>
              <w:rPr>
                <w:rFonts w:hint="default" w:ascii="Times New Roman" w:hAnsi="Times New Roman" w:cs="Times New Roman"/>
                <w:spacing w:val="-4"/>
                <w:sz w:val="24"/>
                <w:highlight w:val="none"/>
              </w:rPr>
              <w:fldChar w:fldCharType="separate"/>
            </w:r>
            <w:r>
              <w:rPr>
                <w:rFonts w:hint="default" w:ascii="Times New Roman" w:hAnsi="Times New Roman" w:cs="Times New Roman"/>
                <w:spacing w:val="-4"/>
                <w:sz w:val="24"/>
                <w:highlight w:val="none"/>
              </w:rPr>
              <w:t>②</w:t>
            </w:r>
            <w:r>
              <w:rPr>
                <w:rFonts w:hint="default" w:ascii="Times New Roman" w:hAnsi="Times New Roman" w:cs="Times New Roman"/>
                <w:spacing w:val="-4"/>
                <w:sz w:val="24"/>
                <w:highlight w:val="none"/>
              </w:rPr>
              <w:fldChar w:fldCharType="end"/>
            </w:r>
            <w:r>
              <w:rPr>
                <w:rFonts w:hint="default" w:ascii="Times New Roman" w:hAnsi="Times New Roman" w:cs="Times New Roman"/>
                <w:sz w:val="24"/>
                <w:highlight w:val="none"/>
              </w:rPr>
              <w:t>生产用水：</w:t>
            </w:r>
            <w:r>
              <w:rPr>
                <w:rFonts w:hint="eastAsia" w:cs="Times New Roman"/>
                <w:sz w:val="24"/>
                <w:highlight w:val="none"/>
                <w:lang w:val="en-US" w:eastAsia="zh-CN"/>
              </w:rPr>
              <w:t>注塑、吹塑需要循环冷却水进行冷却，循环量为5m</w:t>
            </w:r>
            <w:r>
              <w:rPr>
                <w:rFonts w:hint="eastAsia" w:cs="Times New Roman"/>
                <w:sz w:val="24"/>
                <w:highlight w:val="none"/>
                <w:vertAlign w:val="superscript"/>
                <w:lang w:val="en-US" w:eastAsia="zh-CN"/>
              </w:rPr>
              <w:t>3</w:t>
            </w:r>
            <w:r>
              <w:rPr>
                <w:rFonts w:hint="eastAsia" w:cs="Times New Roman"/>
                <w:sz w:val="24"/>
                <w:highlight w:val="none"/>
                <w:lang w:val="en-US" w:eastAsia="zh-CN"/>
              </w:rPr>
              <w:t>/h，年工作2400h/a，损耗率3%，则补水量为360m</w:t>
            </w:r>
            <w:r>
              <w:rPr>
                <w:rFonts w:hint="eastAsia" w:cs="Times New Roman"/>
                <w:sz w:val="24"/>
                <w:highlight w:val="none"/>
                <w:vertAlign w:val="superscript"/>
                <w:lang w:val="en-US" w:eastAsia="zh-CN"/>
              </w:rPr>
              <w:t>3</w:t>
            </w:r>
            <w:r>
              <w:rPr>
                <w:rFonts w:hint="eastAsia" w:cs="Times New Roman"/>
                <w:sz w:val="24"/>
                <w:highlight w:val="none"/>
                <w:lang w:val="en-US" w:eastAsia="zh-CN"/>
              </w:rPr>
              <w:t>/a。</w:t>
            </w:r>
          </w:p>
          <w:p w14:paraId="49152374">
            <w:pPr>
              <w:pStyle w:val="122"/>
              <w:ind w:firstLine="464" w:firstLineChars="200"/>
              <w:rPr>
                <w:rFonts w:hint="default" w:ascii="Times New Roman" w:hAnsi="Times New Roman" w:cs="Times New Roman"/>
                <w:color w:val="auto"/>
                <w:spacing w:val="-4"/>
                <w:highlight w:val="none"/>
              </w:rPr>
            </w:pPr>
            <w:r>
              <w:rPr>
                <w:rFonts w:hint="default" w:ascii="Times New Roman" w:hAnsi="Times New Roman" w:cs="Times New Roman"/>
                <w:color w:val="auto"/>
                <w:spacing w:val="-4"/>
                <w:highlight w:val="none"/>
              </w:rPr>
              <w:t>综上所述，项目新鲜水用量为</w:t>
            </w:r>
            <w:r>
              <w:rPr>
                <w:rFonts w:hint="default" w:ascii="Times New Roman" w:hAnsi="Times New Roman" w:cs="Times New Roman"/>
                <w:color w:val="auto"/>
                <w:spacing w:val="-4"/>
                <w:highlight w:val="none"/>
                <w:lang w:val="en-US" w:eastAsia="zh-CN"/>
              </w:rPr>
              <w:t>75</w:t>
            </w:r>
            <w:r>
              <w:rPr>
                <w:rFonts w:hint="default" w:ascii="Times New Roman" w:hAnsi="Times New Roman" w:cs="Times New Roman"/>
                <w:color w:val="auto"/>
                <w:spacing w:val="-4"/>
                <w:highlight w:val="none"/>
              </w:rPr>
              <w:t>m</w:t>
            </w:r>
            <w:r>
              <w:rPr>
                <w:rFonts w:hint="default" w:ascii="Times New Roman" w:hAnsi="Times New Roman" w:cs="Times New Roman"/>
                <w:color w:val="auto"/>
                <w:spacing w:val="-4"/>
                <w:highlight w:val="none"/>
                <w:vertAlign w:val="superscript"/>
              </w:rPr>
              <w:t>3</w:t>
            </w:r>
            <w:r>
              <w:rPr>
                <w:rFonts w:hint="default" w:ascii="Times New Roman" w:hAnsi="Times New Roman" w:cs="Times New Roman"/>
                <w:color w:val="auto"/>
                <w:spacing w:val="-4"/>
                <w:highlight w:val="none"/>
              </w:rPr>
              <w:t>/a，用水由市政供水管网供给</w:t>
            </w:r>
            <w:r>
              <w:rPr>
                <w:rFonts w:hint="default" w:ascii="Times New Roman" w:hAnsi="Times New Roman" w:cs="Times New Roman"/>
                <w:color w:val="auto"/>
                <w:spacing w:val="-4"/>
                <w:highlight w:val="none"/>
                <w:lang w:eastAsia="zh-CN"/>
              </w:rPr>
              <w:t>，</w:t>
            </w:r>
            <w:r>
              <w:rPr>
                <w:rFonts w:hint="default" w:ascii="Times New Roman" w:hAnsi="Times New Roman" w:cs="Times New Roman"/>
                <w:color w:val="auto"/>
                <w:spacing w:val="-4"/>
                <w:highlight w:val="none"/>
                <w:lang w:val="en-US" w:eastAsia="zh-CN"/>
              </w:rPr>
              <w:t>去离子水用量</w:t>
            </w:r>
            <w:r>
              <w:rPr>
                <w:rFonts w:hint="default" w:ascii="Times New Roman" w:hAnsi="Times New Roman" w:cs="Times New Roman"/>
                <w:sz w:val="24"/>
                <w:highlight w:val="none"/>
                <w:lang w:val="en-US" w:eastAsia="zh-CN"/>
              </w:rPr>
              <w:t>360m</w:t>
            </w:r>
            <w:r>
              <w:rPr>
                <w:rFonts w:hint="default" w:ascii="Times New Roman" w:hAnsi="Times New Roman" w:cs="Times New Roman"/>
                <w:sz w:val="24"/>
                <w:highlight w:val="none"/>
                <w:vertAlign w:val="superscript"/>
                <w:lang w:val="en-US" w:eastAsia="zh-CN"/>
              </w:rPr>
              <w:t>3</w:t>
            </w:r>
            <w:r>
              <w:rPr>
                <w:rFonts w:hint="default" w:ascii="Times New Roman" w:hAnsi="Times New Roman" w:cs="Times New Roman"/>
                <w:sz w:val="24"/>
                <w:highlight w:val="none"/>
                <w:lang w:val="en-US" w:eastAsia="zh-CN"/>
              </w:rPr>
              <w:t>/a，由企</w:t>
            </w:r>
            <w:r>
              <w:rPr>
                <w:rFonts w:hint="eastAsia" w:cs="Times New Roman"/>
                <w:sz w:val="24"/>
                <w:highlight w:val="none"/>
                <w:lang w:val="en-US" w:eastAsia="zh-CN"/>
              </w:rPr>
              <w:t>业外购</w:t>
            </w:r>
            <w:r>
              <w:rPr>
                <w:rFonts w:hint="default" w:ascii="Times New Roman" w:hAnsi="Times New Roman" w:cs="Times New Roman"/>
                <w:color w:val="auto"/>
                <w:spacing w:val="-4"/>
                <w:highlight w:val="none"/>
              </w:rPr>
              <w:t>。</w:t>
            </w:r>
          </w:p>
          <w:p w14:paraId="4AFDFDC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（2）排水</w:t>
            </w:r>
          </w:p>
          <w:p w14:paraId="0CFD463C">
            <w:pPr>
              <w:spacing w:line="360" w:lineRule="auto"/>
              <w:ind w:firstLine="464" w:firstLineChars="200"/>
              <w:rPr>
                <w:rFonts w:hint="default" w:ascii="Times New Roman" w:hAnsi="Times New Roman" w:eastAsia="宋体" w:cs="Times New Roman"/>
                <w:spacing w:val="-4"/>
                <w:sz w:val="24"/>
                <w:highlight w:val="none"/>
                <w:lang w:val="en-US" w:eastAsia="zh-CN"/>
              </w:rPr>
            </w:pPr>
            <w:r>
              <w:rPr>
                <w:rFonts w:hint="eastAsia" w:cs="Times New Roman"/>
                <w:spacing w:val="-4"/>
                <w:sz w:val="24"/>
                <w:highlight w:val="none"/>
                <w:lang w:val="en-US" w:eastAsia="zh-CN"/>
              </w:rPr>
              <w:t>项目冷却水在循环水池与设备模具内循环，不与物料接触，不受外界污染，水质无明显变化，且使用外购去离子水，不会产生水垢。所以循环冷却水循环使用，定期添加，不外排。项目生活污水经厂区化粪池处理后由环卫部门定期处理。</w:t>
            </w:r>
          </w:p>
          <w:p w14:paraId="25C3CFC1">
            <w:pPr>
              <w:pStyle w:val="46"/>
              <w:ind w:left="0" w:leftChars="0" w:firstLine="0" w:firstLineChars="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5" o:spt="75" type="#_x0000_t75" style="height:127.5pt;width:386.2pt;" o:ole="t" filled="f" o:preferrelative="t" stroked="f" coordsize="21600,21600">
                  <v:path/>
                  <v:fill on="f" focussize="0,0"/>
                  <v:stroke on="f"/>
                  <v:imagedata r:id="rId19" o:title=""/>
                  <o:lock v:ext="edit" aspectratio="t"/>
                  <w10:wrap type="none"/>
                  <w10:anchorlock/>
                </v:shape>
                <o:OLEObject Type="Embed" ProgID="Visio.Drawing.15" ShapeID="_x0000_i1025" DrawAspect="Content" ObjectID="_1468075725" r:id="rId18">
                  <o:LockedField>false</o:LockedField>
                </o:OLEObject>
              </w:object>
            </w:r>
          </w:p>
          <w:p w14:paraId="6405DDE7">
            <w:pPr>
              <w:pStyle w:val="46"/>
              <w:ind w:left="0" w:leftChars="0" w:firstLine="0" w:firstLineChars="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 xml:space="preserve">图2-1  </w:t>
            </w:r>
            <w:r>
              <w:rPr>
                <w:rFonts w:hint="eastAsia" w:cs="Times New Roman"/>
                <w:b/>
                <w:bCs/>
                <w:sz w:val="24"/>
                <w:highlight w:val="none"/>
                <w:lang w:val="en-US" w:eastAsia="zh-CN"/>
              </w:rPr>
              <w:t>拟建</w:t>
            </w:r>
            <w:r>
              <w:rPr>
                <w:rFonts w:hint="default" w:ascii="Times New Roman" w:hAnsi="Times New Roman" w:cs="Times New Roman"/>
                <w:b/>
                <w:bCs/>
                <w:sz w:val="24"/>
                <w:highlight w:val="none"/>
              </w:rPr>
              <w:t>项目水平衡图（m</w:t>
            </w:r>
            <w:r>
              <w:rPr>
                <w:rFonts w:hint="default" w:ascii="Times New Roman" w:hAnsi="Times New Roman" w:cs="Times New Roman"/>
                <w:b/>
                <w:bCs/>
                <w:sz w:val="24"/>
                <w:highlight w:val="none"/>
                <w:vertAlign w:val="superscript"/>
              </w:rPr>
              <w:t>3</w:t>
            </w:r>
            <w:r>
              <w:rPr>
                <w:rFonts w:hint="default" w:ascii="Times New Roman" w:hAnsi="Times New Roman" w:cs="Times New Roman"/>
                <w:b/>
                <w:bCs/>
                <w:sz w:val="24"/>
                <w:highlight w:val="none"/>
              </w:rPr>
              <w:t>/a）</w:t>
            </w:r>
          </w:p>
          <w:p w14:paraId="0135600F">
            <w:pPr>
              <w:spacing w:line="360" w:lineRule="auto"/>
              <w:ind w:firstLine="482"/>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7.</w:t>
            </w:r>
            <w:r>
              <w:rPr>
                <w:rFonts w:hint="eastAsia" w:cs="Times New Roman"/>
                <w:spacing w:val="-4"/>
                <w:sz w:val="24"/>
                <w:highlight w:val="none"/>
                <w:lang w:val="en-US" w:eastAsia="zh-CN"/>
              </w:rPr>
              <w:t>2</w:t>
            </w:r>
            <w:r>
              <w:rPr>
                <w:rFonts w:hint="default" w:ascii="Times New Roman" w:hAnsi="Times New Roman" w:cs="Times New Roman"/>
                <w:spacing w:val="-4"/>
                <w:sz w:val="24"/>
                <w:highlight w:val="none"/>
              </w:rPr>
              <w:t>供电</w:t>
            </w:r>
          </w:p>
          <w:p w14:paraId="77B2E01C">
            <w:pPr>
              <w:spacing w:line="360" w:lineRule="auto"/>
              <w:ind w:firstLine="482"/>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项目用电量为</w:t>
            </w:r>
            <w:r>
              <w:rPr>
                <w:rFonts w:hint="eastAsia" w:cs="Times New Roman"/>
                <w:spacing w:val="-4"/>
                <w:sz w:val="24"/>
                <w:highlight w:val="none"/>
                <w:lang w:val="en-US" w:eastAsia="zh-CN"/>
              </w:rPr>
              <w:t>27</w:t>
            </w:r>
            <w:r>
              <w:rPr>
                <w:rFonts w:hint="default" w:ascii="Times New Roman" w:hAnsi="Times New Roman" w:cs="Times New Roman"/>
                <w:spacing w:val="-4"/>
                <w:sz w:val="24"/>
                <w:highlight w:val="none"/>
              </w:rPr>
              <w:t>万kWh/a，由程营线的天润支线接入。</w:t>
            </w:r>
          </w:p>
          <w:p w14:paraId="244C8903">
            <w:pPr>
              <w:spacing w:line="360" w:lineRule="auto"/>
              <w:ind w:firstLine="361" w:firstLineChars="150"/>
              <w:rPr>
                <w:rFonts w:hint="default" w:ascii="Times New Roman" w:hAnsi="Times New Roman" w:cs="Times New Roman"/>
                <w:b/>
                <w:bCs/>
                <w:sz w:val="24"/>
                <w:highlight w:val="none"/>
              </w:rPr>
            </w:pPr>
            <w:r>
              <w:rPr>
                <w:rFonts w:hint="default" w:ascii="Times New Roman" w:hAnsi="Times New Roman" w:cs="Times New Roman"/>
                <w:b/>
                <w:bCs/>
                <w:sz w:val="24"/>
                <w:highlight w:val="none"/>
              </w:rPr>
              <w:t>8、总平面布置</w:t>
            </w:r>
          </w:p>
          <w:p w14:paraId="1CFD5201">
            <w:pPr>
              <w:spacing w:line="360" w:lineRule="auto"/>
              <w:ind w:firstLine="480" w:firstLineChars="200"/>
              <w:textAlignment w:val="baseline"/>
              <w:rPr>
                <w:rFonts w:hint="default" w:ascii="Times New Roman" w:hAnsi="Times New Roman" w:cs="Times New Roman"/>
                <w:bCs/>
                <w:sz w:val="24"/>
                <w:highlight w:val="none"/>
              </w:rPr>
            </w:pPr>
            <w:r>
              <w:rPr>
                <w:rFonts w:hint="default" w:ascii="Times New Roman" w:hAnsi="Times New Roman" w:cs="Times New Roman"/>
                <w:bCs/>
                <w:sz w:val="24"/>
                <w:highlight w:val="none"/>
              </w:rPr>
              <w:t>大门位于整个厂区的</w:t>
            </w:r>
            <w:r>
              <w:rPr>
                <w:rFonts w:hint="eastAsia" w:cs="Times New Roman"/>
                <w:bCs/>
                <w:sz w:val="24"/>
                <w:highlight w:val="none"/>
                <w:lang w:val="en-US" w:eastAsia="zh-CN"/>
              </w:rPr>
              <w:t>南</w:t>
            </w:r>
            <w:r>
              <w:rPr>
                <w:rFonts w:hint="default" w:ascii="Times New Roman" w:hAnsi="Times New Roman" w:cs="Times New Roman"/>
                <w:bCs/>
                <w:sz w:val="24"/>
                <w:highlight w:val="none"/>
              </w:rPr>
              <w:t>侧，大门</w:t>
            </w:r>
            <w:r>
              <w:rPr>
                <w:rFonts w:hint="eastAsia" w:cs="Times New Roman"/>
                <w:bCs/>
                <w:sz w:val="24"/>
                <w:highlight w:val="none"/>
                <w:lang w:val="en-US" w:eastAsia="zh-CN"/>
              </w:rPr>
              <w:t>东侧</w:t>
            </w:r>
            <w:r>
              <w:rPr>
                <w:rFonts w:hint="default" w:ascii="Times New Roman" w:hAnsi="Times New Roman" w:cs="Times New Roman"/>
                <w:bCs/>
                <w:sz w:val="24"/>
                <w:highlight w:val="none"/>
              </w:rPr>
              <w:t>为门卫和</w:t>
            </w:r>
            <w:r>
              <w:rPr>
                <w:rFonts w:hint="eastAsia" w:cs="Times New Roman"/>
                <w:bCs/>
                <w:sz w:val="24"/>
                <w:highlight w:val="none"/>
                <w:lang w:val="en-US" w:eastAsia="zh-CN"/>
              </w:rPr>
              <w:t>配电室</w:t>
            </w:r>
            <w:r>
              <w:rPr>
                <w:rFonts w:hint="default" w:ascii="Times New Roman" w:hAnsi="Times New Roman" w:cs="Times New Roman"/>
                <w:bCs/>
                <w:sz w:val="24"/>
                <w:highlight w:val="none"/>
              </w:rPr>
              <w:t>，</w:t>
            </w:r>
            <w:r>
              <w:rPr>
                <w:rFonts w:hint="eastAsia" w:cs="Times New Roman"/>
                <w:bCs/>
                <w:sz w:val="24"/>
                <w:highlight w:val="none"/>
                <w:lang w:val="en-US" w:eastAsia="zh-CN"/>
              </w:rPr>
              <w:t>向北依次为室外平台、仓库、车间，车间西侧为办公室3、办公室2、办公室1，杂物间位于办公室1南侧</w:t>
            </w:r>
            <w:r>
              <w:rPr>
                <w:rFonts w:hint="default" w:ascii="Times New Roman" w:hAnsi="Times New Roman" w:cs="Times New Roman"/>
                <w:bCs/>
                <w:sz w:val="24"/>
                <w:highlight w:val="none"/>
              </w:rPr>
              <w:t>。</w:t>
            </w:r>
          </w:p>
          <w:p w14:paraId="3D3FA14B">
            <w:pPr>
              <w:spacing w:line="360" w:lineRule="auto"/>
              <w:ind w:firstLine="480" w:firstLineChars="200"/>
              <w:textAlignment w:val="baseline"/>
              <w:rPr>
                <w:rFonts w:hint="default" w:ascii="Times New Roman" w:hAnsi="Times New Roman" w:cs="Times New Roman"/>
                <w:bCs/>
                <w:sz w:val="24"/>
                <w:highlight w:val="none"/>
              </w:rPr>
            </w:pPr>
            <w:r>
              <w:rPr>
                <w:rFonts w:hint="default" w:ascii="Times New Roman" w:hAnsi="Times New Roman" w:cs="Times New Roman"/>
                <w:bCs/>
                <w:sz w:val="24"/>
                <w:highlight w:val="none"/>
              </w:rPr>
              <w:t>平面布置图见附图。</w:t>
            </w:r>
          </w:p>
          <w:p w14:paraId="4D1B852D">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9、环保投资</w:t>
            </w:r>
          </w:p>
          <w:p w14:paraId="33D0DB6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项目总投资</w:t>
            </w:r>
            <w:r>
              <w:rPr>
                <w:rFonts w:hint="eastAsia" w:cs="Times New Roman"/>
                <w:sz w:val="24"/>
                <w:highlight w:val="none"/>
                <w:lang w:val="en-US" w:eastAsia="zh-CN"/>
              </w:rPr>
              <w:t>532</w:t>
            </w:r>
            <w:r>
              <w:rPr>
                <w:rFonts w:hint="default" w:ascii="Times New Roman" w:hAnsi="Times New Roman" w:cs="Times New Roman"/>
                <w:sz w:val="24"/>
                <w:highlight w:val="none"/>
              </w:rPr>
              <w:t>万元，环保投资</w:t>
            </w:r>
            <w:r>
              <w:rPr>
                <w:rFonts w:hint="eastAsia" w:cs="Times New Roman"/>
                <w:sz w:val="24"/>
                <w:highlight w:val="none"/>
                <w:lang w:val="en-US" w:eastAsia="zh-CN"/>
              </w:rPr>
              <w:t>2</w:t>
            </w:r>
            <w:r>
              <w:rPr>
                <w:rFonts w:hint="default" w:ascii="Times New Roman" w:hAnsi="Times New Roman" w:cs="Times New Roman"/>
                <w:sz w:val="24"/>
                <w:highlight w:val="none"/>
              </w:rPr>
              <w:t>0万元，项目环保设施及其投资估算详见下表。</w:t>
            </w:r>
          </w:p>
          <w:p w14:paraId="6E7DBFE7">
            <w:pPr>
              <w:pStyle w:val="12"/>
              <w:ind w:firstLine="0"/>
              <w:jc w:val="center"/>
              <w:rPr>
                <w:rFonts w:hint="default" w:ascii="Times New Roman" w:hAnsi="Times New Roman" w:cs="Times New Roman"/>
                <w:b/>
                <w:bCs/>
                <w:kern w:val="0"/>
                <w:sz w:val="24"/>
                <w:szCs w:val="24"/>
                <w:highlight w:val="none"/>
              </w:rPr>
            </w:pPr>
            <w:r>
              <w:rPr>
                <w:rFonts w:hint="default" w:ascii="Times New Roman" w:hAnsi="Times New Roman" w:cs="Times New Roman"/>
                <w:b/>
                <w:bCs/>
                <w:kern w:val="0"/>
                <w:sz w:val="24"/>
                <w:szCs w:val="24"/>
                <w:highlight w:val="none"/>
              </w:rPr>
              <w:t>表2-</w:t>
            </w:r>
            <w:r>
              <w:rPr>
                <w:rFonts w:hint="eastAsia" w:ascii="Times New Roman" w:hAnsi="Times New Roman" w:cs="Times New Roman"/>
                <w:b/>
                <w:bCs/>
                <w:kern w:val="0"/>
                <w:sz w:val="24"/>
                <w:szCs w:val="24"/>
                <w:highlight w:val="none"/>
                <w:lang w:val="en-US" w:eastAsia="zh-CN"/>
              </w:rPr>
              <w:t>6</w:t>
            </w:r>
            <w:r>
              <w:rPr>
                <w:rFonts w:hint="default" w:ascii="Times New Roman" w:hAnsi="Times New Roman" w:cs="Times New Roman"/>
                <w:b/>
                <w:bCs/>
                <w:kern w:val="0"/>
                <w:sz w:val="24"/>
                <w:szCs w:val="24"/>
                <w:highlight w:val="none"/>
              </w:rPr>
              <w:t xml:space="preserve">  项目环保设施及投资情况汇总表</w:t>
            </w:r>
          </w:p>
          <w:tbl>
            <w:tblPr>
              <w:tblStyle w:val="4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988"/>
              <w:gridCol w:w="3826"/>
              <w:gridCol w:w="1746"/>
            </w:tblGrid>
            <w:tr w14:paraId="546969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gridSpan w:val="2"/>
                  <w:tcBorders>
                    <w:tl2br w:val="nil"/>
                    <w:tr2bl w:val="nil"/>
                  </w:tcBorders>
                  <w:vAlign w:val="center"/>
                </w:tcPr>
                <w:p w14:paraId="6937F7AD">
                  <w:pPr>
                    <w:pStyle w:val="255"/>
                    <w:ind w:firstLine="0"/>
                    <w:rPr>
                      <w:rFonts w:hint="default" w:ascii="Times New Roman" w:hAnsi="Times New Roman" w:cs="Times New Roman"/>
                      <w:highlight w:val="none"/>
                    </w:rPr>
                  </w:pPr>
                  <w:r>
                    <w:rPr>
                      <w:rFonts w:hint="default" w:ascii="Times New Roman" w:hAnsi="Times New Roman" w:cs="Times New Roman"/>
                      <w:highlight w:val="none"/>
                    </w:rPr>
                    <w:t>项目</w:t>
                  </w:r>
                </w:p>
              </w:tc>
              <w:tc>
                <w:tcPr>
                  <w:tcW w:w="3826" w:type="dxa"/>
                  <w:tcBorders>
                    <w:tl2br w:val="nil"/>
                    <w:tr2bl w:val="nil"/>
                  </w:tcBorders>
                  <w:vAlign w:val="center"/>
                </w:tcPr>
                <w:p w14:paraId="2325A44E">
                  <w:pPr>
                    <w:pStyle w:val="255"/>
                    <w:ind w:firstLine="0"/>
                    <w:rPr>
                      <w:rFonts w:hint="default" w:ascii="Times New Roman" w:hAnsi="Times New Roman" w:cs="Times New Roman"/>
                      <w:highlight w:val="none"/>
                    </w:rPr>
                  </w:pPr>
                  <w:r>
                    <w:rPr>
                      <w:rFonts w:hint="default" w:ascii="Times New Roman" w:hAnsi="Times New Roman" w:cs="Times New Roman"/>
                      <w:highlight w:val="none"/>
                    </w:rPr>
                    <w:t>治理措施</w:t>
                  </w:r>
                </w:p>
              </w:tc>
              <w:tc>
                <w:tcPr>
                  <w:tcW w:w="1746" w:type="dxa"/>
                  <w:tcBorders>
                    <w:tl2br w:val="nil"/>
                    <w:tr2bl w:val="nil"/>
                  </w:tcBorders>
                  <w:vAlign w:val="center"/>
                </w:tcPr>
                <w:p w14:paraId="761D12DC">
                  <w:pPr>
                    <w:pStyle w:val="255"/>
                    <w:ind w:firstLine="0"/>
                    <w:rPr>
                      <w:rFonts w:hint="default" w:ascii="Times New Roman" w:hAnsi="Times New Roman" w:cs="Times New Roman"/>
                      <w:highlight w:val="none"/>
                    </w:rPr>
                  </w:pPr>
                  <w:r>
                    <w:rPr>
                      <w:rFonts w:hint="default" w:ascii="Times New Roman" w:hAnsi="Times New Roman" w:cs="Times New Roman"/>
                      <w:highlight w:val="none"/>
                    </w:rPr>
                    <w:t>投资（万元）</w:t>
                  </w:r>
                </w:p>
              </w:tc>
            </w:tr>
            <w:tr w14:paraId="571089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gridSpan w:val="2"/>
                  <w:tcBorders>
                    <w:tl2br w:val="nil"/>
                    <w:tr2bl w:val="nil"/>
                  </w:tcBorders>
                  <w:vAlign w:val="center"/>
                </w:tcPr>
                <w:p w14:paraId="6B0301CA">
                  <w:pPr>
                    <w:pStyle w:val="255"/>
                    <w:ind w:firstLine="0"/>
                    <w:rPr>
                      <w:rFonts w:hint="default" w:ascii="Times New Roman" w:hAnsi="Times New Roman" w:cs="Times New Roman"/>
                      <w:highlight w:val="none"/>
                    </w:rPr>
                  </w:pPr>
                  <w:r>
                    <w:rPr>
                      <w:rFonts w:hint="default" w:ascii="Times New Roman" w:hAnsi="Times New Roman" w:cs="Times New Roman"/>
                      <w:highlight w:val="none"/>
                    </w:rPr>
                    <w:t>废气治理</w:t>
                  </w:r>
                </w:p>
              </w:tc>
              <w:tc>
                <w:tcPr>
                  <w:tcW w:w="3826" w:type="dxa"/>
                  <w:tcBorders>
                    <w:tl2br w:val="nil"/>
                    <w:tr2bl w:val="nil"/>
                  </w:tcBorders>
                  <w:vAlign w:val="center"/>
                </w:tcPr>
                <w:p w14:paraId="6D688BBB">
                  <w:pPr>
                    <w:pStyle w:val="255"/>
                    <w:ind w:firstLine="0"/>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2级活性炭</w:t>
                  </w:r>
                  <w:r>
                    <w:rPr>
                      <w:rFonts w:hint="eastAsia" w:ascii="Times New Roman" w:hAnsi="Times New Roman" w:cs="Times New Roman"/>
                      <w:highlight w:val="none"/>
                      <w:lang w:val="en-US" w:eastAsia="zh-CN"/>
                    </w:rPr>
                    <w:t>吸附装置+15m排气筒</w:t>
                  </w:r>
                </w:p>
              </w:tc>
              <w:tc>
                <w:tcPr>
                  <w:tcW w:w="1746" w:type="dxa"/>
                  <w:tcBorders>
                    <w:tl2br w:val="nil"/>
                    <w:tr2bl w:val="nil"/>
                  </w:tcBorders>
                  <w:vAlign w:val="center"/>
                </w:tcPr>
                <w:p w14:paraId="5EC56DC2">
                  <w:pPr>
                    <w:pStyle w:val="255"/>
                    <w:ind w:firstLine="0"/>
                    <w:rPr>
                      <w:rFonts w:hint="default"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10</w:t>
                  </w:r>
                </w:p>
              </w:tc>
            </w:tr>
            <w:tr w14:paraId="52C736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gridSpan w:val="2"/>
                  <w:tcBorders>
                    <w:tl2br w:val="nil"/>
                    <w:tr2bl w:val="nil"/>
                  </w:tcBorders>
                  <w:vAlign w:val="center"/>
                </w:tcPr>
                <w:p w14:paraId="3083BE57">
                  <w:pPr>
                    <w:pStyle w:val="255"/>
                    <w:ind w:firstLine="0"/>
                    <w:rPr>
                      <w:rFonts w:hint="default" w:ascii="Times New Roman" w:hAnsi="Times New Roman" w:cs="Times New Roman"/>
                      <w:highlight w:val="none"/>
                    </w:rPr>
                  </w:pPr>
                  <w:r>
                    <w:rPr>
                      <w:rFonts w:hint="default" w:ascii="Times New Roman" w:hAnsi="Times New Roman" w:cs="Times New Roman"/>
                      <w:highlight w:val="none"/>
                    </w:rPr>
                    <w:t>废水处理</w:t>
                  </w:r>
                </w:p>
              </w:tc>
              <w:tc>
                <w:tcPr>
                  <w:tcW w:w="3826" w:type="dxa"/>
                  <w:tcBorders>
                    <w:tl2br w:val="nil"/>
                    <w:tr2bl w:val="nil"/>
                  </w:tcBorders>
                  <w:vAlign w:val="center"/>
                </w:tcPr>
                <w:p w14:paraId="4929D7E9">
                  <w:pPr>
                    <w:pStyle w:val="255"/>
                    <w:ind w:firstLine="0"/>
                    <w:rPr>
                      <w:rFonts w:hint="default" w:ascii="Times New Roman" w:hAnsi="Times New Roman" w:cs="Times New Roman"/>
                      <w:highlight w:val="none"/>
                    </w:rPr>
                  </w:pPr>
                  <w:r>
                    <w:rPr>
                      <w:rFonts w:hint="default" w:ascii="Times New Roman" w:hAnsi="Times New Roman" w:cs="Times New Roman"/>
                      <w:kern w:val="0"/>
                      <w:highlight w:val="none"/>
                      <w:lang w:bidi="ar"/>
                    </w:rPr>
                    <w:t>化粪池</w:t>
                  </w:r>
                </w:p>
              </w:tc>
              <w:tc>
                <w:tcPr>
                  <w:tcW w:w="1746" w:type="dxa"/>
                  <w:tcBorders>
                    <w:tl2br w:val="nil"/>
                    <w:tr2bl w:val="nil"/>
                  </w:tcBorders>
                  <w:vAlign w:val="center"/>
                </w:tcPr>
                <w:p w14:paraId="654CEA59">
                  <w:pPr>
                    <w:pStyle w:val="255"/>
                    <w:ind w:firstLine="0"/>
                    <w:rPr>
                      <w:rFonts w:hint="default" w:ascii="Times New Roman" w:hAnsi="Times New Roman" w:cs="Times New Roman"/>
                      <w:highlight w:val="none"/>
                    </w:rPr>
                  </w:pPr>
                  <w:r>
                    <w:rPr>
                      <w:rFonts w:hint="default" w:ascii="Times New Roman" w:hAnsi="Times New Roman" w:cs="Times New Roman"/>
                      <w:highlight w:val="none"/>
                    </w:rPr>
                    <w:t>依托</w:t>
                  </w:r>
                  <w:r>
                    <w:rPr>
                      <w:rFonts w:hint="eastAsia" w:ascii="Times New Roman" w:hAnsi="Times New Roman" w:cs="Times New Roman"/>
                      <w:highlight w:val="none"/>
                      <w:lang w:val="en-US" w:eastAsia="zh-CN"/>
                    </w:rPr>
                    <w:t>厂区</w:t>
                  </w:r>
                  <w:r>
                    <w:rPr>
                      <w:rFonts w:hint="default" w:ascii="Times New Roman" w:hAnsi="Times New Roman" w:cs="Times New Roman"/>
                      <w:highlight w:val="none"/>
                    </w:rPr>
                    <w:t>现有</w:t>
                  </w:r>
                </w:p>
              </w:tc>
            </w:tr>
            <w:tr w14:paraId="281671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0" w:type="dxa"/>
                  <w:tcBorders>
                    <w:tl2br w:val="nil"/>
                    <w:tr2bl w:val="nil"/>
                  </w:tcBorders>
                  <w:vAlign w:val="center"/>
                </w:tcPr>
                <w:p w14:paraId="3F948B61">
                  <w:pPr>
                    <w:pStyle w:val="255"/>
                    <w:ind w:firstLine="0"/>
                    <w:rPr>
                      <w:rFonts w:hint="default" w:ascii="Times New Roman" w:hAnsi="Times New Roman" w:cs="Times New Roman"/>
                      <w:highlight w:val="none"/>
                    </w:rPr>
                  </w:pPr>
                  <w:r>
                    <w:rPr>
                      <w:rFonts w:hint="default" w:ascii="Times New Roman" w:hAnsi="Times New Roman" w:cs="Times New Roman"/>
                      <w:highlight w:val="none"/>
                    </w:rPr>
                    <w:t>噪声控制</w:t>
                  </w:r>
                </w:p>
              </w:tc>
              <w:tc>
                <w:tcPr>
                  <w:tcW w:w="1988" w:type="dxa"/>
                  <w:tcBorders>
                    <w:tl2br w:val="nil"/>
                    <w:tr2bl w:val="nil"/>
                  </w:tcBorders>
                  <w:vAlign w:val="center"/>
                </w:tcPr>
                <w:p w14:paraId="40B3E66C">
                  <w:pPr>
                    <w:pStyle w:val="255"/>
                    <w:ind w:firstLine="0"/>
                    <w:rPr>
                      <w:rFonts w:hint="default" w:ascii="Times New Roman" w:hAnsi="Times New Roman" w:cs="Times New Roman"/>
                      <w:highlight w:val="none"/>
                    </w:rPr>
                  </w:pPr>
                  <w:r>
                    <w:rPr>
                      <w:rFonts w:hint="default" w:ascii="Times New Roman" w:hAnsi="Times New Roman" w:cs="Times New Roman"/>
                      <w:highlight w:val="none"/>
                    </w:rPr>
                    <w:t>机械噪声</w:t>
                  </w:r>
                </w:p>
              </w:tc>
              <w:tc>
                <w:tcPr>
                  <w:tcW w:w="3826" w:type="dxa"/>
                  <w:tcBorders>
                    <w:tl2br w:val="nil"/>
                    <w:tr2bl w:val="nil"/>
                  </w:tcBorders>
                  <w:vAlign w:val="center"/>
                </w:tcPr>
                <w:p w14:paraId="509BA370">
                  <w:pPr>
                    <w:pStyle w:val="255"/>
                    <w:ind w:firstLine="0"/>
                    <w:rPr>
                      <w:rFonts w:hint="default" w:ascii="Times New Roman" w:hAnsi="Times New Roman" w:cs="Times New Roman"/>
                      <w:highlight w:val="none"/>
                    </w:rPr>
                  </w:pPr>
                  <w:r>
                    <w:rPr>
                      <w:rFonts w:hint="default" w:ascii="Times New Roman" w:hAnsi="Times New Roman" w:cs="Times New Roman"/>
                      <w:highlight w:val="none"/>
                    </w:rPr>
                    <w:t>基础固定、减振隔声</w:t>
                  </w:r>
                </w:p>
              </w:tc>
              <w:tc>
                <w:tcPr>
                  <w:tcW w:w="1746" w:type="dxa"/>
                  <w:tcBorders>
                    <w:tl2br w:val="nil"/>
                    <w:tr2bl w:val="nil"/>
                  </w:tcBorders>
                  <w:vAlign w:val="center"/>
                </w:tcPr>
                <w:p w14:paraId="7DD9D03B">
                  <w:pPr>
                    <w:pStyle w:val="255"/>
                    <w:ind w:firstLine="0"/>
                    <w:rPr>
                      <w:rFonts w:hint="eastAsia" w:ascii="Times New Roman" w:hAnsi="Times New Roman" w:eastAsia="宋体" w:cs="Times New Roman"/>
                      <w:highlight w:val="none"/>
                      <w:lang w:eastAsia="zh-CN"/>
                    </w:rPr>
                  </w:pPr>
                  <w:r>
                    <w:rPr>
                      <w:rFonts w:hint="eastAsia" w:ascii="Times New Roman" w:hAnsi="Times New Roman" w:cs="Times New Roman"/>
                      <w:highlight w:val="none"/>
                      <w:lang w:val="en-US" w:eastAsia="zh-CN"/>
                    </w:rPr>
                    <w:t>5</w:t>
                  </w:r>
                </w:p>
              </w:tc>
            </w:tr>
            <w:tr w14:paraId="7F3A72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0" w:type="dxa"/>
                  <w:tcBorders>
                    <w:tl2br w:val="nil"/>
                    <w:tr2bl w:val="nil"/>
                  </w:tcBorders>
                  <w:vAlign w:val="center"/>
                </w:tcPr>
                <w:p w14:paraId="0016B895">
                  <w:pPr>
                    <w:pStyle w:val="255"/>
                    <w:ind w:firstLine="0"/>
                    <w:rPr>
                      <w:rFonts w:hint="default" w:ascii="Times New Roman" w:hAnsi="Times New Roman" w:cs="Times New Roman"/>
                      <w:highlight w:val="none"/>
                    </w:rPr>
                  </w:pPr>
                  <w:r>
                    <w:rPr>
                      <w:rFonts w:hint="default" w:ascii="Times New Roman" w:hAnsi="Times New Roman" w:cs="Times New Roman"/>
                      <w:highlight w:val="none"/>
                    </w:rPr>
                    <w:t>固废处置</w:t>
                  </w:r>
                </w:p>
              </w:tc>
              <w:tc>
                <w:tcPr>
                  <w:tcW w:w="1988" w:type="dxa"/>
                  <w:tcBorders>
                    <w:tl2br w:val="nil"/>
                    <w:tr2bl w:val="nil"/>
                  </w:tcBorders>
                  <w:vAlign w:val="center"/>
                </w:tcPr>
                <w:p w14:paraId="02B3D9D7">
                  <w:pPr>
                    <w:pStyle w:val="255"/>
                    <w:ind w:firstLine="0"/>
                    <w:rPr>
                      <w:rFonts w:hint="default" w:ascii="Times New Roman" w:hAnsi="Times New Roman" w:cs="Times New Roman"/>
                      <w:highlight w:val="none"/>
                    </w:rPr>
                  </w:pPr>
                  <w:r>
                    <w:rPr>
                      <w:rFonts w:hint="default" w:ascii="Times New Roman" w:hAnsi="Times New Roman" w:cs="Times New Roman"/>
                      <w:highlight w:val="none"/>
                    </w:rPr>
                    <w:t>一般固体废物</w:t>
                  </w:r>
                </w:p>
              </w:tc>
              <w:tc>
                <w:tcPr>
                  <w:tcW w:w="3826" w:type="dxa"/>
                  <w:tcBorders>
                    <w:tl2br w:val="nil"/>
                    <w:tr2bl w:val="nil"/>
                  </w:tcBorders>
                  <w:vAlign w:val="center"/>
                </w:tcPr>
                <w:p w14:paraId="48B8B8F1">
                  <w:pPr>
                    <w:pStyle w:val="255"/>
                    <w:ind w:firstLine="0"/>
                    <w:rPr>
                      <w:rFonts w:hint="default" w:ascii="Times New Roman" w:hAnsi="Times New Roman" w:cs="Times New Roman"/>
                      <w:highlight w:val="none"/>
                    </w:rPr>
                  </w:pPr>
                  <w:r>
                    <w:rPr>
                      <w:rFonts w:hint="default" w:ascii="Times New Roman" w:hAnsi="Times New Roman" w:cs="Times New Roman"/>
                      <w:highlight w:val="none"/>
                    </w:rPr>
                    <w:t>一般固废暂存场所、危废暂存间</w:t>
                  </w:r>
                </w:p>
              </w:tc>
              <w:tc>
                <w:tcPr>
                  <w:tcW w:w="1746" w:type="dxa"/>
                  <w:tcBorders>
                    <w:tl2br w:val="nil"/>
                    <w:tr2bl w:val="nil"/>
                  </w:tcBorders>
                  <w:vAlign w:val="center"/>
                </w:tcPr>
                <w:p w14:paraId="719BC0A5">
                  <w:pPr>
                    <w:pStyle w:val="255"/>
                    <w:ind w:firstLine="0"/>
                    <w:rPr>
                      <w:rFonts w:hint="eastAsia" w:ascii="Times New Roman" w:hAnsi="Times New Roman" w:eastAsia="宋体" w:cs="Times New Roman"/>
                      <w:highlight w:val="none"/>
                      <w:lang w:eastAsia="zh-CN"/>
                    </w:rPr>
                  </w:pPr>
                  <w:r>
                    <w:rPr>
                      <w:rFonts w:hint="eastAsia" w:ascii="Times New Roman" w:hAnsi="Times New Roman" w:cs="Times New Roman"/>
                      <w:highlight w:val="none"/>
                      <w:lang w:val="en-US" w:eastAsia="zh-CN"/>
                    </w:rPr>
                    <w:t>5</w:t>
                  </w:r>
                </w:p>
              </w:tc>
            </w:tr>
            <w:tr w14:paraId="168C2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4" w:type="dxa"/>
                  <w:gridSpan w:val="3"/>
                  <w:tcBorders>
                    <w:tl2br w:val="nil"/>
                    <w:tr2bl w:val="nil"/>
                  </w:tcBorders>
                  <w:vAlign w:val="center"/>
                </w:tcPr>
                <w:p w14:paraId="00449C70">
                  <w:pPr>
                    <w:pStyle w:val="255"/>
                    <w:ind w:firstLine="0"/>
                    <w:rPr>
                      <w:rFonts w:hint="default" w:ascii="Times New Roman" w:hAnsi="Times New Roman" w:cs="Times New Roman"/>
                      <w:highlight w:val="none"/>
                    </w:rPr>
                  </w:pPr>
                  <w:r>
                    <w:rPr>
                      <w:rFonts w:hint="default" w:ascii="Times New Roman" w:hAnsi="Times New Roman" w:cs="Times New Roman"/>
                      <w:highlight w:val="none"/>
                    </w:rPr>
                    <w:t>合计</w:t>
                  </w:r>
                </w:p>
              </w:tc>
              <w:tc>
                <w:tcPr>
                  <w:tcW w:w="1746" w:type="dxa"/>
                  <w:tcBorders>
                    <w:tl2br w:val="nil"/>
                    <w:tr2bl w:val="nil"/>
                  </w:tcBorders>
                  <w:vAlign w:val="center"/>
                </w:tcPr>
                <w:p w14:paraId="63322A42">
                  <w:pPr>
                    <w:pStyle w:val="255"/>
                    <w:ind w:firstLine="0"/>
                    <w:rPr>
                      <w:rFonts w:hint="default"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20</w:t>
                  </w:r>
                </w:p>
              </w:tc>
            </w:tr>
            <w:tr w14:paraId="4316F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4" w:type="dxa"/>
                  <w:gridSpan w:val="3"/>
                  <w:tcBorders>
                    <w:tl2br w:val="nil"/>
                    <w:tr2bl w:val="nil"/>
                  </w:tcBorders>
                  <w:vAlign w:val="center"/>
                </w:tcPr>
                <w:p w14:paraId="18E6BB2E">
                  <w:pPr>
                    <w:pStyle w:val="255"/>
                    <w:ind w:firstLine="0"/>
                    <w:rPr>
                      <w:rFonts w:hint="default" w:ascii="Times New Roman" w:hAnsi="Times New Roman" w:cs="Times New Roman"/>
                      <w:highlight w:val="none"/>
                    </w:rPr>
                  </w:pPr>
                  <w:r>
                    <w:rPr>
                      <w:rFonts w:hint="default" w:ascii="Times New Roman" w:hAnsi="Times New Roman" w:cs="Times New Roman"/>
                      <w:highlight w:val="none"/>
                    </w:rPr>
                    <w:t>占总投资的比例（%）</w:t>
                  </w:r>
                </w:p>
              </w:tc>
              <w:tc>
                <w:tcPr>
                  <w:tcW w:w="1746" w:type="dxa"/>
                  <w:tcBorders>
                    <w:tl2br w:val="nil"/>
                    <w:tr2bl w:val="nil"/>
                  </w:tcBorders>
                  <w:vAlign w:val="center"/>
                </w:tcPr>
                <w:p w14:paraId="66A78144">
                  <w:pPr>
                    <w:pStyle w:val="255"/>
                    <w:ind w:firstLine="0"/>
                    <w:rPr>
                      <w:rFonts w:hint="default"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3.8</w:t>
                  </w:r>
                </w:p>
              </w:tc>
            </w:tr>
          </w:tbl>
          <w:p w14:paraId="63417432">
            <w:pPr>
              <w:spacing w:line="360" w:lineRule="auto"/>
              <w:ind w:firstLine="480" w:firstLineChars="200"/>
              <w:textAlignment w:val="baseline"/>
              <w:rPr>
                <w:rFonts w:hint="default" w:ascii="Times New Roman" w:hAnsi="Times New Roman" w:cs="Times New Roman"/>
                <w:bCs/>
                <w:sz w:val="24"/>
                <w:highlight w:val="none"/>
              </w:rPr>
            </w:pPr>
          </w:p>
        </w:tc>
      </w:tr>
      <w:tr w14:paraId="352432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88" w:hRule="atLeast"/>
          <w:jc w:val="center"/>
        </w:trPr>
        <w:tc>
          <w:tcPr>
            <w:tcW w:w="271" w:type="pct"/>
            <w:vAlign w:val="center"/>
          </w:tcPr>
          <w:p w14:paraId="48DB86BC">
            <w:pPr>
              <w:pStyle w:val="42"/>
              <w:adjustRightInd w:val="0"/>
              <w:snapToGrid w:val="0"/>
              <w:spacing w:before="0" w:beforeAutospacing="0" w:after="0" w:afterAutospacing="0"/>
              <w:jc w:val="center"/>
              <w:rPr>
                <w:rFonts w:hint="default" w:ascii="Times New Roman" w:hAnsi="Times New Roman" w:eastAsia="黑体" w:cs="Times New Roman"/>
                <w:szCs w:val="24"/>
                <w:highlight w:val="none"/>
              </w:rPr>
            </w:pPr>
            <w:r>
              <w:rPr>
                <w:rFonts w:hint="default" w:ascii="Times New Roman" w:hAnsi="Times New Roman" w:eastAsia="黑体" w:cs="Times New Roman"/>
                <w:szCs w:val="24"/>
                <w:highlight w:val="none"/>
              </w:rPr>
              <w:t>工艺流程和产排污环节</w:t>
            </w:r>
          </w:p>
        </w:tc>
        <w:tc>
          <w:tcPr>
            <w:tcW w:w="4728" w:type="pct"/>
          </w:tcPr>
          <w:p w14:paraId="28CCB6D6">
            <w:pPr>
              <w:pStyle w:val="267"/>
              <w:spacing w:before="39" w:line="360" w:lineRule="auto"/>
              <w:ind w:left="117" w:firstLine="462" w:firstLineChars="200"/>
              <w:rPr>
                <w:rFonts w:hint="default" w:ascii="Times New Roman" w:hAnsi="Times New Roman" w:cs="Times New Roman"/>
                <w:sz w:val="24"/>
                <w:szCs w:val="24"/>
                <w:highlight w:val="none"/>
                <w:lang w:eastAsia="zh-CN"/>
              </w:rPr>
            </w:pPr>
            <w:r>
              <w:rPr>
                <w:rFonts w:hint="default" w:ascii="Times New Roman" w:hAnsi="Times New Roman" w:cs="Times New Roman"/>
                <w:b/>
                <w:bCs/>
                <w:spacing w:val="-5"/>
                <w:sz w:val="24"/>
                <w:szCs w:val="24"/>
                <w:highlight w:val="none"/>
                <w:lang w:eastAsia="zh-CN"/>
              </w:rPr>
              <w:t>一、施工期</w:t>
            </w:r>
          </w:p>
          <w:p w14:paraId="508EEFBB">
            <w:pPr>
              <w:spacing w:line="360" w:lineRule="auto"/>
              <w:ind w:firstLine="480" w:firstLineChars="200"/>
              <w:rPr>
                <w:rFonts w:hint="default" w:ascii="Times New Roman" w:hAnsi="Times New Roman" w:cs="Times New Roman"/>
                <w:b/>
                <w:bCs/>
                <w:sz w:val="24"/>
                <w:szCs w:val="22"/>
                <w:highlight w:val="none"/>
              </w:rPr>
            </w:pPr>
            <w:r>
              <w:rPr>
                <w:rFonts w:hint="default" w:ascii="Times New Roman" w:hAnsi="Times New Roman" w:cs="Times New Roman"/>
                <w:sz w:val="24"/>
                <w:szCs w:val="22"/>
                <w:highlight w:val="none"/>
              </w:rPr>
              <w:t>本项目租赁</w:t>
            </w:r>
            <w:r>
              <w:rPr>
                <w:rFonts w:hint="default" w:ascii="Times New Roman" w:hAnsi="Times New Roman" w:cs="Times New Roman"/>
                <w:spacing w:val="-6"/>
                <w:kern w:val="0"/>
                <w:sz w:val="24"/>
                <w:szCs w:val="22"/>
                <w:highlight w:val="none"/>
              </w:rPr>
              <w:t>现有车间进行生产</w:t>
            </w:r>
            <w:r>
              <w:rPr>
                <w:rFonts w:hint="default" w:ascii="Times New Roman" w:hAnsi="Times New Roman" w:cs="Times New Roman"/>
                <w:kern w:val="0"/>
                <w:sz w:val="24"/>
                <w:szCs w:val="22"/>
                <w:highlight w:val="none"/>
              </w:rPr>
              <w:t>，施工期仅进行简单的设备安装与调试，</w:t>
            </w:r>
            <w:r>
              <w:rPr>
                <w:rFonts w:hint="default" w:ascii="Times New Roman" w:hAnsi="Times New Roman" w:cs="Times New Roman"/>
                <w:spacing w:val="-6"/>
                <w:kern w:val="0"/>
                <w:sz w:val="24"/>
                <w:szCs w:val="22"/>
                <w:highlight w:val="none"/>
              </w:rPr>
              <w:t>对周围环境影响较小，</w:t>
            </w:r>
            <w:r>
              <w:rPr>
                <w:rFonts w:hint="default" w:ascii="Times New Roman" w:hAnsi="Times New Roman" w:cs="Times New Roman"/>
                <w:kern w:val="0"/>
                <w:sz w:val="24"/>
                <w:szCs w:val="22"/>
                <w:highlight w:val="none"/>
                <w:lang w:val="de-DE"/>
              </w:rPr>
              <w:t>故本评价对</w:t>
            </w:r>
            <w:r>
              <w:rPr>
                <w:rFonts w:hint="default" w:ascii="Times New Roman" w:hAnsi="Times New Roman" w:cs="Times New Roman"/>
                <w:spacing w:val="-6"/>
                <w:kern w:val="0"/>
                <w:sz w:val="24"/>
                <w:szCs w:val="22"/>
                <w:highlight w:val="none"/>
              </w:rPr>
              <w:t>施工期不进行分析</w:t>
            </w:r>
            <w:r>
              <w:rPr>
                <w:rFonts w:hint="default" w:ascii="Times New Roman" w:hAnsi="Times New Roman" w:cs="Times New Roman"/>
                <w:sz w:val="24"/>
                <w:szCs w:val="22"/>
                <w:highlight w:val="none"/>
              </w:rPr>
              <w:t>。</w:t>
            </w:r>
          </w:p>
          <w:p w14:paraId="168FB76C">
            <w:pPr>
              <w:pStyle w:val="267"/>
              <w:spacing w:before="39" w:line="360" w:lineRule="auto"/>
              <w:ind w:left="117" w:firstLine="462" w:firstLineChars="200"/>
              <w:rPr>
                <w:rFonts w:hint="default" w:ascii="Times New Roman" w:hAnsi="Times New Roman" w:cs="Times New Roman"/>
                <w:b/>
                <w:bCs/>
                <w:spacing w:val="-5"/>
                <w:sz w:val="24"/>
                <w:szCs w:val="24"/>
                <w:highlight w:val="none"/>
                <w:lang w:eastAsia="zh-CN"/>
              </w:rPr>
            </w:pPr>
            <w:r>
              <w:rPr>
                <w:rFonts w:hint="default" w:ascii="Times New Roman" w:hAnsi="Times New Roman" w:cs="Times New Roman"/>
                <w:b/>
                <w:bCs/>
                <w:spacing w:val="-5"/>
                <w:sz w:val="24"/>
                <w:szCs w:val="24"/>
                <w:highlight w:val="none"/>
                <w:lang w:eastAsia="zh-CN"/>
              </w:rPr>
              <w:t>二、运营期</w:t>
            </w:r>
          </w:p>
          <w:p w14:paraId="227C5F96">
            <w:pPr>
              <w:pStyle w:val="267"/>
              <w:spacing w:before="39" w:line="360" w:lineRule="auto"/>
              <w:ind w:left="117" w:firstLine="462" w:firstLineChars="200"/>
              <w:rPr>
                <w:rFonts w:hint="default" w:ascii="Times New Roman" w:hAnsi="Times New Roman" w:cs="Times New Roman"/>
                <w:b/>
                <w:bCs/>
                <w:spacing w:val="-5"/>
                <w:sz w:val="24"/>
                <w:szCs w:val="24"/>
                <w:highlight w:val="none"/>
                <w:lang w:eastAsia="zh-CN"/>
              </w:rPr>
            </w:pPr>
            <w:r>
              <w:rPr>
                <w:rFonts w:hint="default" w:ascii="Times New Roman" w:hAnsi="Times New Roman" w:cs="Times New Roman"/>
                <w:b/>
                <w:bCs/>
                <w:spacing w:val="-5"/>
                <w:sz w:val="24"/>
                <w:szCs w:val="24"/>
                <w:highlight w:val="none"/>
                <w:lang w:eastAsia="zh-CN"/>
              </w:rPr>
              <w:t>（一）、</w:t>
            </w:r>
            <w:r>
              <w:rPr>
                <w:rFonts w:hint="eastAsia" w:ascii="Times New Roman" w:hAnsi="Times New Roman" w:cs="Times New Roman"/>
                <w:b/>
                <w:bCs/>
                <w:spacing w:val="-5"/>
                <w:sz w:val="24"/>
                <w:szCs w:val="24"/>
                <w:highlight w:val="none"/>
                <w:lang w:val="en-US" w:eastAsia="zh-CN"/>
              </w:rPr>
              <w:t>塑料桶制品</w:t>
            </w:r>
            <w:r>
              <w:rPr>
                <w:rFonts w:hint="default" w:ascii="Times New Roman" w:hAnsi="Times New Roman" w:cs="Times New Roman"/>
                <w:b/>
                <w:bCs/>
                <w:spacing w:val="-5"/>
                <w:sz w:val="24"/>
                <w:szCs w:val="24"/>
                <w:highlight w:val="none"/>
                <w:lang w:eastAsia="zh-CN"/>
              </w:rPr>
              <w:t>生产工艺流程</w:t>
            </w:r>
          </w:p>
          <w:p w14:paraId="186BBD8F">
            <w:pPr>
              <w:spacing w:line="360" w:lineRule="auto"/>
              <w:ind w:firstLine="480" w:firstLineChars="200"/>
              <w:rPr>
                <w:rFonts w:hint="default" w:ascii="Times New Roman" w:hAnsi="Times New Roman" w:cs="Times New Roman"/>
                <w:kern w:val="0"/>
                <w:sz w:val="24"/>
                <w:szCs w:val="22"/>
                <w:highlight w:val="none"/>
              </w:rPr>
            </w:pPr>
            <w:r>
              <w:rPr>
                <w:rFonts w:hint="eastAsia" w:cs="Times New Roman"/>
                <w:kern w:val="0"/>
                <w:sz w:val="24"/>
                <w:szCs w:val="22"/>
                <w:highlight w:val="none"/>
                <w:lang w:val="en-US" w:eastAsia="zh-CN"/>
              </w:rPr>
              <w:t>吹塑生产线</w:t>
            </w:r>
            <w:r>
              <w:rPr>
                <w:rFonts w:hint="default" w:ascii="Times New Roman" w:hAnsi="Times New Roman" w:cs="Times New Roman"/>
                <w:kern w:val="0"/>
                <w:sz w:val="24"/>
                <w:szCs w:val="22"/>
                <w:highlight w:val="none"/>
              </w:rPr>
              <w:t>工艺流程说明如下：</w:t>
            </w:r>
          </w:p>
          <w:p w14:paraId="62A45B4C">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①混合：将原料聚乙烯颗粒、色母粒</w:t>
            </w:r>
            <w:r>
              <w:rPr>
                <w:rFonts w:hint="eastAsia" w:cs="Times New Roman"/>
                <w:kern w:val="0"/>
                <w:sz w:val="24"/>
                <w:szCs w:val="22"/>
                <w:highlight w:val="none"/>
                <w:lang w:val="en-US" w:eastAsia="zh-CN"/>
              </w:rPr>
              <w:t>投入混料机</w:t>
            </w:r>
            <w:r>
              <w:rPr>
                <w:rFonts w:hint="default" w:ascii="Times New Roman" w:hAnsi="Times New Roman" w:cs="Times New Roman"/>
                <w:kern w:val="0"/>
                <w:sz w:val="24"/>
                <w:szCs w:val="22"/>
                <w:highlight w:val="none"/>
              </w:rPr>
              <w:t>，物料混合后</w:t>
            </w:r>
            <w:r>
              <w:rPr>
                <w:rFonts w:hint="eastAsia" w:cs="Times New Roman"/>
                <w:kern w:val="0"/>
                <w:sz w:val="24"/>
                <w:szCs w:val="22"/>
                <w:highlight w:val="none"/>
                <w:lang w:val="en-US" w:eastAsia="zh-CN"/>
              </w:rPr>
              <w:t>通过</w:t>
            </w:r>
            <w:r>
              <w:rPr>
                <w:rFonts w:hint="default" w:ascii="Times New Roman" w:hAnsi="Times New Roman" w:cs="Times New Roman"/>
                <w:kern w:val="0"/>
                <w:sz w:val="24"/>
                <w:szCs w:val="22"/>
                <w:highlight w:val="none"/>
              </w:rPr>
              <w:t>自动上</w:t>
            </w:r>
            <w:r>
              <w:rPr>
                <w:rFonts w:hint="eastAsia" w:cs="Times New Roman"/>
                <w:kern w:val="0"/>
                <w:sz w:val="24"/>
                <w:szCs w:val="22"/>
                <w:highlight w:val="none"/>
                <w:lang w:val="en-US" w:eastAsia="zh-CN"/>
              </w:rPr>
              <w:t>机投入</w:t>
            </w:r>
            <w:r>
              <w:rPr>
                <w:rFonts w:hint="default" w:ascii="Times New Roman" w:hAnsi="Times New Roman" w:cs="Times New Roman"/>
                <w:kern w:val="0"/>
                <w:sz w:val="24"/>
                <w:szCs w:val="22"/>
                <w:highlight w:val="none"/>
              </w:rPr>
              <w:t>料仓中</w:t>
            </w:r>
            <w:r>
              <w:rPr>
                <w:rFonts w:hint="eastAsia" w:cs="Times New Roman"/>
                <w:kern w:val="0"/>
                <w:sz w:val="24"/>
                <w:szCs w:val="22"/>
                <w:highlight w:val="none"/>
                <w:lang w:eastAsia="zh-CN"/>
              </w:rPr>
              <w:t>，</w:t>
            </w:r>
            <w:r>
              <w:rPr>
                <w:rFonts w:hint="eastAsia" w:cs="Times New Roman"/>
                <w:color w:val="000000"/>
                <w:sz w:val="24"/>
                <w:szCs w:val="24"/>
                <w:highlight w:val="none"/>
                <w:lang w:val="en-US" w:eastAsia="zh-CN"/>
              </w:rPr>
              <w:t>项目</w:t>
            </w:r>
            <w:r>
              <w:rPr>
                <w:rFonts w:hint="default" w:ascii="Times New Roman" w:hAnsi="Times New Roman" w:cs="Times New Roman"/>
                <w:color w:val="000000"/>
                <w:sz w:val="24"/>
                <w:szCs w:val="24"/>
                <w:highlight w:val="none"/>
                <w:lang w:val="en-US" w:eastAsia="zh-CN"/>
              </w:rPr>
              <w:t>各原料为颗粒料（长度3~5mm）</w:t>
            </w:r>
            <w:r>
              <w:rPr>
                <w:rFonts w:hint="eastAsia" w:cs="Times New Roman"/>
                <w:color w:val="000000"/>
                <w:sz w:val="24"/>
                <w:szCs w:val="24"/>
                <w:highlight w:val="none"/>
                <w:lang w:val="en-US" w:eastAsia="zh-CN"/>
              </w:rPr>
              <w:t>、粒径较大</w:t>
            </w:r>
            <w:r>
              <w:rPr>
                <w:rFonts w:hint="default" w:ascii="Times New Roman" w:hAnsi="Times New Roman" w:cs="Times New Roman"/>
                <w:color w:val="000000"/>
                <w:sz w:val="24"/>
                <w:szCs w:val="24"/>
                <w:highlight w:val="none"/>
                <w:lang w:val="en-US" w:eastAsia="zh-CN"/>
              </w:rPr>
              <w:t>，投料、混合过程基本不产生粉尘，仅运输、储存过程沾染少量粉尘</w:t>
            </w:r>
            <w:r>
              <w:rPr>
                <w:rFonts w:hint="eastAsia" w:cs="Times New Roman"/>
                <w:color w:val="000000"/>
                <w:sz w:val="24"/>
                <w:szCs w:val="24"/>
                <w:highlight w:val="none"/>
                <w:lang w:val="en-US" w:eastAsia="zh-CN"/>
              </w:rPr>
              <w:t>在投料、混合过程中</w:t>
            </w:r>
            <w:r>
              <w:rPr>
                <w:rFonts w:hint="default" w:ascii="Times New Roman" w:hAnsi="Times New Roman" w:cs="Times New Roman"/>
                <w:color w:val="000000"/>
                <w:sz w:val="24"/>
                <w:szCs w:val="24"/>
                <w:highlight w:val="none"/>
                <w:lang w:val="en-US" w:eastAsia="zh-CN"/>
              </w:rPr>
              <w:t>无组织排放</w:t>
            </w:r>
            <w:r>
              <w:rPr>
                <w:rFonts w:hint="default" w:ascii="Times New Roman" w:hAnsi="Times New Roman" w:cs="Times New Roman"/>
                <w:color w:val="000000"/>
                <w:sz w:val="24"/>
                <w:szCs w:val="24"/>
                <w:highlight w:val="none"/>
              </w:rPr>
              <w:t>。</w:t>
            </w:r>
          </w:p>
          <w:p w14:paraId="6DA157B9">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此工序产生</w:t>
            </w:r>
            <w:r>
              <w:rPr>
                <w:rFonts w:hint="eastAsia" w:ascii="Times New Roman" w:hAnsi="Times New Roman" w:cs="Times New Roman"/>
                <w:kern w:val="0"/>
                <w:sz w:val="24"/>
                <w:szCs w:val="22"/>
                <w:highlight w:val="none"/>
                <w:lang w:val="en-US" w:eastAsia="zh-CN"/>
              </w:rPr>
              <w:t>废包装材料</w:t>
            </w:r>
            <w:r>
              <w:rPr>
                <w:rFonts w:hint="default" w:ascii="Times New Roman" w:hAnsi="Times New Roman" w:cs="Times New Roman"/>
                <w:kern w:val="0"/>
                <w:sz w:val="24"/>
                <w:szCs w:val="22"/>
                <w:highlight w:val="none"/>
              </w:rPr>
              <w:t>S</w:t>
            </w:r>
            <w:r>
              <w:rPr>
                <w:rFonts w:hint="eastAsia" w:ascii="Times New Roman" w:hAnsi="Times New Roman" w:cs="Times New Roman"/>
                <w:kern w:val="0"/>
                <w:sz w:val="24"/>
                <w:szCs w:val="22"/>
                <w:highlight w:val="none"/>
                <w:lang w:val="en-US" w:eastAsia="zh-CN"/>
              </w:rPr>
              <w:t>1</w:t>
            </w:r>
            <w:r>
              <w:rPr>
                <w:rFonts w:hint="eastAsia" w:cs="Times New Roman"/>
                <w:kern w:val="0"/>
                <w:sz w:val="24"/>
                <w:szCs w:val="22"/>
                <w:highlight w:val="none"/>
                <w:lang w:val="en-US" w:eastAsia="zh-CN"/>
              </w:rPr>
              <w:t>-1、混合投料粉尘G1-1</w:t>
            </w:r>
            <w:r>
              <w:rPr>
                <w:rFonts w:hint="default" w:ascii="Times New Roman" w:hAnsi="Times New Roman" w:cs="Times New Roman"/>
                <w:kern w:val="0"/>
                <w:sz w:val="24"/>
                <w:szCs w:val="22"/>
                <w:highlight w:val="none"/>
              </w:rPr>
              <w:t>。</w:t>
            </w:r>
          </w:p>
          <w:p w14:paraId="00E68EC6">
            <w:pPr>
              <w:spacing w:line="360" w:lineRule="auto"/>
              <w:ind w:firstLine="480" w:firstLineChars="200"/>
              <w:rPr>
                <w:rFonts w:hint="default" w:ascii="Times New Roman" w:hAnsi="Times New Roman" w:eastAsia="宋体" w:cs="Times New Roman"/>
                <w:kern w:val="0"/>
                <w:sz w:val="24"/>
                <w:szCs w:val="22"/>
                <w:highlight w:val="none"/>
                <w:lang w:val="en-US" w:eastAsia="zh-CN"/>
              </w:rPr>
            </w:pPr>
            <w:r>
              <w:rPr>
                <w:rFonts w:hint="default" w:ascii="Times New Roman" w:hAnsi="Times New Roman" w:cs="Times New Roman"/>
                <w:kern w:val="0"/>
                <w:sz w:val="24"/>
                <w:szCs w:val="22"/>
                <w:highlight w:val="none"/>
              </w:rPr>
              <w:t>②吹塑：</w:t>
            </w:r>
            <w:r>
              <w:rPr>
                <w:rFonts w:hint="eastAsia" w:cs="Times New Roman"/>
                <w:kern w:val="0"/>
                <w:sz w:val="24"/>
                <w:szCs w:val="22"/>
                <w:highlight w:val="none"/>
                <w:lang w:val="en-US" w:eastAsia="zh-CN"/>
              </w:rPr>
              <w:t>部分</w:t>
            </w:r>
            <w:r>
              <w:rPr>
                <w:rFonts w:hint="default" w:ascii="Times New Roman" w:hAnsi="Times New Roman" w:cs="Times New Roman"/>
                <w:kern w:val="0"/>
                <w:sz w:val="24"/>
                <w:szCs w:val="22"/>
                <w:highlight w:val="none"/>
              </w:rPr>
              <w:t>混合均匀后的物料通过</w:t>
            </w:r>
            <w:r>
              <w:rPr>
                <w:rFonts w:hint="eastAsia" w:cs="Times New Roman"/>
                <w:kern w:val="0"/>
                <w:sz w:val="24"/>
                <w:szCs w:val="22"/>
                <w:highlight w:val="none"/>
                <w:lang w:val="en-US" w:eastAsia="zh-CN"/>
              </w:rPr>
              <w:t>绞龙上料机</w:t>
            </w:r>
            <w:r>
              <w:rPr>
                <w:rFonts w:hint="default" w:ascii="Times New Roman" w:hAnsi="Times New Roman" w:cs="Times New Roman"/>
                <w:kern w:val="0"/>
                <w:sz w:val="24"/>
                <w:szCs w:val="22"/>
                <w:highlight w:val="none"/>
              </w:rPr>
              <w:t>输入塑料中空吹塑机，靠物料本身的重量从料斗进入螺杆，当物料与螺纹斜棱接触后，旋转的斜棱面对物料产生与斜棱面相垂直的推力，将物料向前推移。在推移过程中，由于物料与螺杆、塑料与机筒之间的摩擦以及粒子间的碰撞</w:t>
            </w:r>
            <w:r>
              <w:rPr>
                <w:rFonts w:hint="eastAsia" w:cs="Times New Roman"/>
                <w:kern w:val="0"/>
                <w:sz w:val="24"/>
                <w:szCs w:val="22"/>
                <w:highlight w:val="none"/>
                <w:lang w:eastAsia="zh-CN"/>
              </w:rPr>
              <w:t>摩擦</w:t>
            </w:r>
            <w:r>
              <w:rPr>
                <w:rFonts w:hint="default" w:ascii="Times New Roman" w:hAnsi="Times New Roman" w:cs="Times New Roman"/>
                <w:kern w:val="0"/>
                <w:sz w:val="24"/>
                <w:szCs w:val="22"/>
                <w:highlight w:val="none"/>
              </w:rPr>
              <w:t>，同时还由于料筒外部加热（</w:t>
            </w:r>
            <w:r>
              <w:rPr>
                <w:rFonts w:hint="eastAsia" w:cs="Times New Roman"/>
                <w:kern w:val="0"/>
                <w:sz w:val="24"/>
                <w:szCs w:val="22"/>
                <w:highlight w:val="none"/>
                <w:lang w:val="en-US" w:eastAsia="zh-CN"/>
              </w:rPr>
              <w:t>加热方式为电加热，</w:t>
            </w:r>
            <w:r>
              <w:rPr>
                <w:rFonts w:hint="default" w:ascii="Times New Roman" w:hAnsi="Times New Roman" w:cs="Times New Roman"/>
                <w:kern w:val="0"/>
                <w:sz w:val="24"/>
                <w:szCs w:val="22"/>
                <w:highlight w:val="none"/>
              </w:rPr>
              <w:t>加热温度180℃）而逐步熔化。</w:t>
            </w:r>
            <w:r>
              <w:rPr>
                <w:rFonts w:hint="eastAsia" w:cs="Times New Roman"/>
                <w:kern w:val="0"/>
                <w:sz w:val="24"/>
                <w:szCs w:val="22"/>
                <w:highlight w:val="none"/>
                <w:lang w:val="en-US" w:eastAsia="zh-CN"/>
              </w:rPr>
              <w:t>塑料</w:t>
            </w:r>
            <w:r>
              <w:rPr>
                <w:rFonts w:hint="default" w:ascii="Times New Roman" w:hAnsi="Times New Roman" w:cs="Times New Roman"/>
                <w:kern w:val="0"/>
                <w:sz w:val="24"/>
                <w:szCs w:val="22"/>
                <w:highlight w:val="none"/>
              </w:rPr>
              <w:t>经挤出成型得到的管状塑料型坯，趁热置于对开模中，闭模后立即在型坯内通入压缩空气，使塑料型坯</w:t>
            </w:r>
            <w:r>
              <w:rPr>
                <w:rFonts w:hint="eastAsia" w:cs="Times New Roman"/>
                <w:kern w:val="0"/>
                <w:sz w:val="24"/>
                <w:szCs w:val="22"/>
                <w:highlight w:val="none"/>
                <w:lang w:eastAsia="zh-CN"/>
              </w:rPr>
              <w:t>膨胀</w:t>
            </w:r>
            <w:r>
              <w:rPr>
                <w:rFonts w:hint="default" w:ascii="Times New Roman" w:hAnsi="Times New Roman" w:cs="Times New Roman"/>
                <w:kern w:val="0"/>
                <w:sz w:val="24"/>
                <w:szCs w:val="22"/>
                <w:highlight w:val="none"/>
              </w:rPr>
              <w:t>而紧贴在模具内壁上</w:t>
            </w:r>
            <w:r>
              <w:rPr>
                <w:rFonts w:hint="eastAsia" w:cs="Times New Roman"/>
                <w:kern w:val="0"/>
                <w:sz w:val="24"/>
                <w:szCs w:val="22"/>
                <w:highlight w:val="none"/>
                <w:lang w:eastAsia="zh-CN"/>
              </w:rPr>
              <w:t>。</w:t>
            </w:r>
            <w:r>
              <w:rPr>
                <w:rFonts w:hint="default" w:ascii="Times New Roman" w:hAnsi="Times New Roman" w:cs="Times New Roman"/>
                <w:kern w:val="0"/>
                <w:sz w:val="24"/>
                <w:szCs w:val="22"/>
                <w:highlight w:val="none"/>
              </w:rPr>
              <w:t>通过模具</w:t>
            </w:r>
            <w:r>
              <w:rPr>
                <w:rFonts w:hint="eastAsia" w:cs="Times New Roman"/>
                <w:kern w:val="0"/>
                <w:sz w:val="24"/>
                <w:szCs w:val="22"/>
                <w:highlight w:val="none"/>
                <w:lang w:eastAsia="zh-CN"/>
              </w:rPr>
              <w:t>塑形</w:t>
            </w:r>
            <w:r>
              <w:rPr>
                <w:rFonts w:hint="default" w:ascii="Times New Roman" w:hAnsi="Times New Roman" w:cs="Times New Roman"/>
                <w:kern w:val="0"/>
                <w:sz w:val="24"/>
                <w:szCs w:val="22"/>
                <w:highlight w:val="none"/>
              </w:rPr>
              <w:t>后，使用循环水冷的方式进行</w:t>
            </w:r>
            <w:r>
              <w:rPr>
                <w:rFonts w:hint="eastAsia" w:cs="Times New Roman"/>
                <w:kern w:val="0"/>
                <w:sz w:val="24"/>
                <w:szCs w:val="22"/>
                <w:highlight w:val="none"/>
                <w:lang w:val="en-US" w:eastAsia="zh-CN"/>
              </w:rPr>
              <w:t>模具</w:t>
            </w:r>
            <w:r>
              <w:rPr>
                <w:rFonts w:hint="default" w:ascii="Times New Roman" w:hAnsi="Times New Roman" w:cs="Times New Roman"/>
                <w:kern w:val="0"/>
                <w:sz w:val="24"/>
                <w:szCs w:val="22"/>
                <w:highlight w:val="none"/>
              </w:rPr>
              <w:t>的冷却，冷却水存于循环水箱内循环利用</w:t>
            </w:r>
            <w:r>
              <w:rPr>
                <w:rFonts w:hint="eastAsia" w:ascii="Times New Roman" w:hAnsi="Times New Roman" w:cs="Times New Roman"/>
                <w:kern w:val="0"/>
                <w:sz w:val="24"/>
                <w:szCs w:val="22"/>
                <w:highlight w:val="none"/>
                <w:lang w:eastAsia="zh-CN"/>
              </w:rPr>
              <w:t>，</w:t>
            </w:r>
            <w:r>
              <w:rPr>
                <w:rFonts w:hint="eastAsia" w:ascii="Times New Roman" w:hAnsi="Times New Roman" w:cs="Times New Roman"/>
                <w:kern w:val="0"/>
                <w:sz w:val="24"/>
                <w:szCs w:val="22"/>
                <w:highlight w:val="none"/>
                <w:lang w:val="en-US" w:eastAsia="zh-CN"/>
              </w:rPr>
              <w:t>定期添加，不外排</w:t>
            </w:r>
            <w:r>
              <w:rPr>
                <w:rFonts w:hint="default" w:ascii="Times New Roman" w:hAnsi="Times New Roman" w:cs="Times New Roman"/>
                <w:kern w:val="0"/>
                <w:sz w:val="24"/>
                <w:szCs w:val="22"/>
                <w:highlight w:val="none"/>
              </w:rPr>
              <w:t>。</w:t>
            </w:r>
            <w:r>
              <w:rPr>
                <w:rFonts w:hint="eastAsia" w:ascii="Times New Roman" w:hAnsi="Times New Roman" w:cs="Times New Roman"/>
                <w:kern w:val="0"/>
                <w:sz w:val="24"/>
                <w:szCs w:val="22"/>
                <w:highlight w:val="none"/>
                <w:lang w:val="en-US" w:eastAsia="zh-CN"/>
              </w:rPr>
              <w:t>冷却后的产品进行脱模，完成制作。</w:t>
            </w:r>
          </w:p>
          <w:p w14:paraId="67780D24">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此工序产生</w:t>
            </w:r>
            <w:r>
              <w:rPr>
                <w:rFonts w:hint="eastAsia" w:ascii="Times New Roman" w:hAnsi="Times New Roman" w:cs="Times New Roman"/>
                <w:kern w:val="0"/>
                <w:sz w:val="24"/>
                <w:szCs w:val="22"/>
                <w:highlight w:val="none"/>
                <w:lang w:val="en-US" w:eastAsia="zh-CN"/>
              </w:rPr>
              <w:t>吹塑废气G1</w:t>
            </w:r>
            <w:r>
              <w:rPr>
                <w:rFonts w:hint="eastAsia" w:cs="Times New Roman"/>
                <w:kern w:val="0"/>
                <w:sz w:val="24"/>
                <w:szCs w:val="22"/>
                <w:highlight w:val="none"/>
                <w:lang w:val="en-US" w:eastAsia="zh-CN"/>
              </w:rPr>
              <w:t>-2，废气集气罩收集，经2级活性炭吸附装置处理，通过15m高排气筒DA001排放</w:t>
            </w:r>
            <w:r>
              <w:rPr>
                <w:rFonts w:hint="default" w:ascii="Times New Roman" w:hAnsi="Times New Roman" w:cs="Times New Roman"/>
                <w:kern w:val="0"/>
                <w:sz w:val="24"/>
                <w:szCs w:val="22"/>
                <w:highlight w:val="none"/>
              </w:rPr>
              <w:t>。</w:t>
            </w:r>
          </w:p>
          <w:p w14:paraId="178F6F4C">
            <w:pPr>
              <w:spacing w:line="360" w:lineRule="auto"/>
              <w:ind w:firstLine="480" w:firstLineChars="200"/>
              <w:rPr>
                <w:rFonts w:hint="default" w:ascii="Times New Roman" w:hAnsi="Times New Roman" w:eastAsia="宋体" w:cs="Times New Roman"/>
                <w:kern w:val="0"/>
                <w:sz w:val="24"/>
                <w:szCs w:val="22"/>
                <w:highlight w:val="none"/>
                <w:lang w:val="en-US" w:eastAsia="zh-CN"/>
              </w:rPr>
            </w:pPr>
            <w:r>
              <w:rPr>
                <w:rFonts w:hint="default" w:ascii="Times New Roman" w:hAnsi="Times New Roman" w:cs="Times New Roman"/>
                <w:kern w:val="0"/>
                <w:sz w:val="24"/>
                <w:szCs w:val="22"/>
                <w:highlight w:val="none"/>
              </w:rPr>
              <w:t>③</w:t>
            </w:r>
            <w:r>
              <w:rPr>
                <w:rFonts w:hint="eastAsia" w:ascii="Times New Roman" w:hAnsi="Times New Roman" w:cs="Times New Roman"/>
                <w:kern w:val="0"/>
                <w:sz w:val="24"/>
                <w:szCs w:val="22"/>
                <w:highlight w:val="none"/>
                <w:lang w:val="en-US" w:eastAsia="zh-CN"/>
              </w:rPr>
              <w:t>修边、质检：人工对产品毛边进行修剪，同时检查产品质量，合格产品入库待售。</w:t>
            </w:r>
          </w:p>
          <w:p w14:paraId="39C21617">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此工序产生</w:t>
            </w:r>
            <w:r>
              <w:rPr>
                <w:rFonts w:hint="eastAsia" w:ascii="Times New Roman" w:hAnsi="Times New Roman" w:cs="Times New Roman"/>
                <w:kern w:val="0"/>
                <w:sz w:val="24"/>
                <w:szCs w:val="22"/>
                <w:highlight w:val="none"/>
                <w:lang w:val="en-US" w:eastAsia="zh-CN"/>
              </w:rPr>
              <w:t>边角料S</w:t>
            </w:r>
            <w:r>
              <w:rPr>
                <w:rFonts w:hint="eastAsia" w:cs="Times New Roman"/>
                <w:kern w:val="0"/>
                <w:sz w:val="24"/>
                <w:szCs w:val="22"/>
                <w:highlight w:val="none"/>
                <w:lang w:val="en-US" w:eastAsia="zh-CN"/>
              </w:rPr>
              <w:t>1-</w:t>
            </w:r>
            <w:r>
              <w:rPr>
                <w:rFonts w:hint="eastAsia" w:ascii="Times New Roman" w:hAnsi="Times New Roman" w:cs="Times New Roman"/>
                <w:kern w:val="0"/>
                <w:sz w:val="24"/>
                <w:szCs w:val="22"/>
                <w:highlight w:val="none"/>
                <w:lang w:val="en-US" w:eastAsia="zh-CN"/>
              </w:rPr>
              <w:t>2、不合格产品</w:t>
            </w:r>
            <w:r>
              <w:rPr>
                <w:rFonts w:hint="default" w:ascii="Times New Roman" w:hAnsi="Times New Roman" w:cs="Times New Roman"/>
                <w:kern w:val="0"/>
                <w:sz w:val="24"/>
                <w:szCs w:val="22"/>
                <w:highlight w:val="none"/>
              </w:rPr>
              <w:t>S</w:t>
            </w:r>
            <w:r>
              <w:rPr>
                <w:rFonts w:hint="eastAsia" w:cs="Times New Roman"/>
                <w:kern w:val="0"/>
                <w:sz w:val="24"/>
                <w:szCs w:val="22"/>
                <w:highlight w:val="none"/>
                <w:lang w:val="en-US" w:eastAsia="zh-CN"/>
              </w:rPr>
              <w:t>1-</w:t>
            </w:r>
            <w:r>
              <w:rPr>
                <w:rFonts w:hint="eastAsia" w:ascii="Times New Roman" w:hAnsi="Times New Roman" w:cs="Times New Roman"/>
                <w:kern w:val="0"/>
                <w:sz w:val="24"/>
                <w:szCs w:val="22"/>
                <w:highlight w:val="none"/>
                <w:lang w:val="en-US" w:eastAsia="zh-CN"/>
              </w:rPr>
              <w:t>3</w:t>
            </w:r>
            <w:r>
              <w:rPr>
                <w:rFonts w:hint="default" w:ascii="Times New Roman" w:hAnsi="Times New Roman" w:cs="Times New Roman"/>
                <w:kern w:val="0"/>
                <w:sz w:val="24"/>
                <w:szCs w:val="22"/>
                <w:highlight w:val="none"/>
              </w:rPr>
              <w:t>。</w:t>
            </w:r>
          </w:p>
          <w:p w14:paraId="7C22EDC3">
            <w:pPr>
              <w:spacing w:line="360" w:lineRule="auto"/>
              <w:ind w:firstLine="432"/>
              <w:rPr>
                <w:rFonts w:hint="default" w:ascii="Times New Roman" w:hAnsi="Times New Roman" w:cs="Times New Roman"/>
                <w:spacing w:val="-6"/>
                <w:kern w:val="0"/>
                <w:sz w:val="24"/>
                <w:szCs w:val="22"/>
                <w:highlight w:val="none"/>
              </w:rPr>
            </w:pPr>
            <w:r>
              <w:rPr>
                <w:rFonts w:hint="eastAsia" w:cs="Times New Roman"/>
                <w:spacing w:val="-6"/>
                <w:kern w:val="0"/>
                <w:sz w:val="24"/>
                <w:szCs w:val="22"/>
                <w:highlight w:val="none"/>
                <w:lang w:val="en-US" w:eastAsia="zh-CN"/>
              </w:rPr>
              <w:t>吹塑生产线</w:t>
            </w:r>
            <w:r>
              <w:rPr>
                <w:rFonts w:hint="default" w:ascii="Times New Roman" w:hAnsi="Times New Roman" w:cs="Times New Roman"/>
                <w:spacing w:val="-6"/>
                <w:kern w:val="0"/>
                <w:sz w:val="24"/>
                <w:szCs w:val="22"/>
                <w:highlight w:val="none"/>
              </w:rPr>
              <w:t>工艺流程图如下所示：</w:t>
            </w:r>
          </w:p>
          <w:p w14:paraId="630843F4">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6" o:spt="75" type="#_x0000_t75" style="height:273.1pt;width:432.95pt;" o:ole="t" filled="f" o:preferrelative="t" stroked="f" coordsize="21600,21600">
                  <v:path/>
                  <v:fill on="f" focussize="0,0"/>
                  <v:stroke on="f"/>
                  <v:imagedata r:id="rId21" o:title=""/>
                  <o:lock v:ext="edit" aspectratio="t"/>
                  <w10:wrap type="none"/>
                  <w10:anchorlock/>
                </v:shape>
                <o:OLEObject Type="Embed" ProgID="Visio.Drawing.15" ShapeID="_x0000_i1026" DrawAspect="Content" ObjectID="_1468075726" r:id="rId20">
                  <o:LockedField>false</o:LockedField>
                </o:OLEObject>
              </w:object>
            </w:r>
          </w:p>
          <w:p w14:paraId="7133709D">
            <w:pPr>
              <w:spacing w:line="360" w:lineRule="auto"/>
              <w:ind w:firstLine="482" w:firstLineChars="20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图2-</w:t>
            </w:r>
            <w:r>
              <w:rPr>
                <w:rFonts w:hint="eastAsia" w:cs="Times New Roman"/>
                <w:b/>
                <w:bCs/>
                <w:sz w:val="24"/>
                <w:highlight w:val="none"/>
                <w:lang w:val="en-US" w:eastAsia="zh-CN"/>
              </w:rPr>
              <w:t>2</w:t>
            </w:r>
            <w:r>
              <w:rPr>
                <w:rFonts w:hint="default" w:ascii="Times New Roman" w:hAnsi="Times New Roman" w:cs="Times New Roman"/>
                <w:b/>
                <w:bCs/>
                <w:sz w:val="24"/>
                <w:highlight w:val="none"/>
              </w:rPr>
              <w:t xml:space="preserve">  </w:t>
            </w:r>
            <w:r>
              <w:rPr>
                <w:rFonts w:hint="eastAsia" w:cs="Times New Roman"/>
                <w:b/>
                <w:bCs/>
                <w:sz w:val="24"/>
                <w:highlight w:val="none"/>
                <w:lang w:val="en-US" w:eastAsia="zh-CN"/>
              </w:rPr>
              <w:t>吹塑</w:t>
            </w:r>
            <w:r>
              <w:rPr>
                <w:rFonts w:hint="default" w:ascii="Times New Roman" w:hAnsi="Times New Roman" w:cs="Times New Roman"/>
                <w:b/>
                <w:bCs/>
                <w:sz w:val="24"/>
                <w:highlight w:val="none"/>
              </w:rPr>
              <w:t>生产工艺流程图</w:t>
            </w:r>
          </w:p>
          <w:p w14:paraId="7D68D3C3">
            <w:pPr>
              <w:spacing w:line="360" w:lineRule="auto"/>
              <w:ind w:firstLine="480" w:firstLineChars="200"/>
              <w:rPr>
                <w:rFonts w:hint="default" w:ascii="Times New Roman" w:hAnsi="Times New Roman" w:cs="Times New Roman"/>
                <w:kern w:val="0"/>
                <w:sz w:val="24"/>
                <w:szCs w:val="22"/>
                <w:highlight w:val="none"/>
              </w:rPr>
            </w:pPr>
            <w:r>
              <w:rPr>
                <w:rFonts w:hint="eastAsia" w:cs="Times New Roman"/>
                <w:kern w:val="0"/>
                <w:sz w:val="24"/>
                <w:szCs w:val="22"/>
                <w:highlight w:val="none"/>
                <w:lang w:val="en-US" w:eastAsia="zh-CN"/>
              </w:rPr>
              <w:t>注塑生产线</w:t>
            </w:r>
            <w:r>
              <w:rPr>
                <w:rFonts w:hint="default" w:ascii="Times New Roman" w:hAnsi="Times New Roman" w:cs="Times New Roman"/>
                <w:kern w:val="0"/>
                <w:sz w:val="24"/>
                <w:szCs w:val="22"/>
                <w:highlight w:val="none"/>
              </w:rPr>
              <w:t>工艺流程说明如下：</w:t>
            </w:r>
          </w:p>
          <w:p w14:paraId="3076A3B9">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①混合：将原料聚乙烯颗粒、色母粒</w:t>
            </w:r>
            <w:r>
              <w:rPr>
                <w:rFonts w:hint="eastAsia" w:cs="Times New Roman"/>
                <w:kern w:val="0"/>
                <w:sz w:val="24"/>
                <w:szCs w:val="22"/>
                <w:highlight w:val="none"/>
                <w:lang w:val="en-US" w:eastAsia="zh-CN"/>
              </w:rPr>
              <w:t>投入混料机</w:t>
            </w:r>
            <w:r>
              <w:rPr>
                <w:rFonts w:hint="default" w:ascii="Times New Roman" w:hAnsi="Times New Roman" w:cs="Times New Roman"/>
                <w:kern w:val="0"/>
                <w:sz w:val="24"/>
                <w:szCs w:val="22"/>
                <w:highlight w:val="none"/>
              </w:rPr>
              <w:t>，物料混合后</w:t>
            </w:r>
            <w:r>
              <w:rPr>
                <w:rFonts w:hint="eastAsia" w:cs="Times New Roman"/>
                <w:kern w:val="0"/>
                <w:sz w:val="24"/>
                <w:szCs w:val="22"/>
                <w:highlight w:val="none"/>
                <w:lang w:val="en-US" w:eastAsia="zh-CN"/>
              </w:rPr>
              <w:t>通过</w:t>
            </w:r>
            <w:r>
              <w:rPr>
                <w:rFonts w:hint="default" w:ascii="Times New Roman" w:hAnsi="Times New Roman" w:cs="Times New Roman"/>
                <w:kern w:val="0"/>
                <w:sz w:val="24"/>
                <w:szCs w:val="22"/>
                <w:highlight w:val="none"/>
              </w:rPr>
              <w:t>自动上</w:t>
            </w:r>
            <w:r>
              <w:rPr>
                <w:rFonts w:hint="eastAsia" w:cs="Times New Roman"/>
                <w:kern w:val="0"/>
                <w:sz w:val="24"/>
                <w:szCs w:val="22"/>
                <w:highlight w:val="none"/>
                <w:lang w:val="en-US" w:eastAsia="zh-CN"/>
              </w:rPr>
              <w:t>机投入</w:t>
            </w:r>
            <w:r>
              <w:rPr>
                <w:rFonts w:hint="default" w:ascii="Times New Roman" w:hAnsi="Times New Roman" w:cs="Times New Roman"/>
                <w:kern w:val="0"/>
                <w:sz w:val="24"/>
                <w:szCs w:val="22"/>
                <w:highlight w:val="none"/>
              </w:rPr>
              <w:t>料仓中</w:t>
            </w:r>
            <w:r>
              <w:rPr>
                <w:rFonts w:hint="eastAsia" w:cs="Times New Roman"/>
                <w:kern w:val="0"/>
                <w:sz w:val="24"/>
                <w:szCs w:val="22"/>
                <w:highlight w:val="none"/>
                <w:lang w:eastAsia="zh-CN"/>
              </w:rPr>
              <w:t>，</w:t>
            </w:r>
            <w:r>
              <w:rPr>
                <w:rFonts w:hint="eastAsia" w:cs="Times New Roman"/>
                <w:color w:val="000000"/>
                <w:sz w:val="24"/>
                <w:szCs w:val="24"/>
                <w:highlight w:val="none"/>
                <w:lang w:val="en-US" w:eastAsia="zh-CN"/>
              </w:rPr>
              <w:t>项目</w:t>
            </w:r>
            <w:r>
              <w:rPr>
                <w:rFonts w:hint="default" w:ascii="Times New Roman" w:hAnsi="Times New Roman" w:cs="Times New Roman"/>
                <w:color w:val="000000"/>
                <w:sz w:val="24"/>
                <w:szCs w:val="24"/>
                <w:highlight w:val="none"/>
                <w:lang w:val="en-US" w:eastAsia="zh-CN"/>
              </w:rPr>
              <w:t>各原料为颗粒料（长度3~5mm）</w:t>
            </w:r>
            <w:r>
              <w:rPr>
                <w:rFonts w:hint="eastAsia" w:cs="Times New Roman"/>
                <w:color w:val="000000"/>
                <w:sz w:val="24"/>
                <w:szCs w:val="24"/>
                <w:highlight w:val="none"/>
                <w:lang w:val="en-US" w:eastAsia="zh-CN"/>
              </w:rPr>
              <w:t>、粒径较大</w:t>
            </w:r>
            <w:r>
              <w:rPr>
                <w:rFonts w:hint="default" w:ascii="Times New Roman" w:hAnsi="Times New Roman" w:cs="Times New Roman"/>
                <w:color w:val="000000"/>
                <w:sz w:val="24"/>
                <w:szCs w:val="24"/>
                <w:highlight w:val="none"/>
                <w:lang w:val="en-US" w:eastAsia="zh-CN"/>
              </w:rPr>
              <w:t>，投料、混合过程基本不产生粉尘，仅运输、储存过程沾染少量粉尘</w:t>
            </w:r>
            <w:r>
              <w:rPr>
                <w:rFonts w:hint="eastAsia" w:cs="Times New Roman"/>
                <w:color w:val="000000"/>
                <w:sz w:val="24"/>
                <w:szCs w:val="24"/>
                <w:highlight w:val="none"/>
                <w:lang w:val="en-US" w:eastAsia="zh-CN"/>
              </w:rPr>
              <w:t>在投料、混合过程中</w:t>
            </w:r>
            <w:r>
              <w:rPr>
                <w:rFonts w:hint="default" w:ascii="Times New Roman" w:hAnsi="Times New Roman" w:cs="Times New Roman"/>
                <w:color w:val="000000"/>
                <w:sz w:val="24"/>
                <w:szCs w:val="24"/>
                <w:highlight w:val="none"/>
                <w:lang w:val="en-US" w:eastAsia="zh-CN"/>
              </w:rPr>
              <w:t>无组织排放</w:t>
            </w:r>
            <w:r>
              <w:rPr>
                <w:rFonts w:hint="default" w:ascii="Times New Roman" w:hAnsi="Times New Roman" w:cs="Times New Roman"/>
                <w:color w:val="000000"/>
                <w:sz w:val="24"/>
                <w:szCs w:val="24"/>
                <w:highlight w:val="none"/>
              </w:rPr>
              <w:t>。</w:t>
            </w:r>
          </w:p>
          <w:p w14:paraId="381160AA">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此工序产生</w:t>
            </w:r>
            <w:r>
              <w:rPr>
                <w:rFonts w:hint="eastAsia" w:ascii="Times New Roman" w:hAnsi="Times New Roman" w:cs="Times New Roman"/>
                <w:kern w:val="0"/>
                <w:sz w:val="24"/>
                <w:szCs w:val="22"/>
                <w:highlight w:val="none"/>
                <w:lang w:val="en-US" w:eastAsia="zh-CN"/>
              </w:rPr>
              <w:t>废包装材料</w:t>
            </w:r>
            <w:r>
              <w:rPr>
                <w:rFonts w:hint="default" w:ascii="Times New Roman" w:hAnsi="Times New Roman" w:cs="Times New Roman"/>
                <w:kern w:val="0"/>
                <w:sz w:val="24"/>
                <w:szCs w:val="22"/>
                <w:highlight w:val="none"/>
              </w:rPr>
              <w:t>S</w:t>
            </w:r>
            <w:r>
              <w:rPr>
                <w:rFonts w:hint="eastAsia" w:cs="Times New Roman"/>
                <w:kern w:val="0"/>
                <w:sz w:val="24"/>
                <w:szCs w:val="22"/>
                <w:highlight w:val="none"/>
                <w:lang w:val="en-US" w:eastAsia="zh-CN"/>
              </w:rPr>
              <w:t>2-1、投料、混合粉尘G2-1</w:t>
            </w:r>
            <w:r>
              <w:rPr>
                <w:rFonts w:hint="default" w:ascii="Times New Roman" w:hAnsi="Times New Roman" w:cs="Times New Roman"/>
                <w:kern w:val="0"/>
                <w:sz w:val="24"/>
                <w:szCs w:val="22"/>
                <w:highlight w:val="none"/>
              </w:rPr>
              <w:t>。</w:t>
            </w:r>
          </w:p>
          <w:p w14:paraId="6D2E68BC">
            <w:pPr>
              <w:spacing w:line="360" w:lineRule="auto"/>
              <w:ind w:firstLine="480" w:firstLineChars="200"/>
              <w:rPr>
                <w:rFonts w:hint="default" w:ascii="Times New Roman" w:hAnsi="Times New Roman" w:eastAsia="宋体" w:cs="Times New Roman"/>
                <w:kern w:val="0"/>
                <w:sz w:val="24"/>
                <w:szCs w:val="22"/>
                <w:highlight w:val="none"/>
                <w:lang w:val="en-US" w:eastAsia="zh-CN"/>
              </w:rPr>
            </w:pPr>
            <w:r>
              <w:rPr>
                <w:rFonts w:hint="eastAsia" w:cs="Times New Roman"/>
                <w:kern w:val="0"/>
                <w:sz w:val="24"/>
                <w:szCs w:val="22"/>
                <w:highlight w:val="none"/>
                <w:lang w:val="en-US" w:eastAsia="zh-CN"/>
              </w:rPr>
              <w:t>②</w:t>
            </w:r>
            <w:r>
              <w:rPr>
                <w:rFonts w:hint="eastAsia" w:ascii="Times New Roman" w:hAnsi="Times New Roman" w:cs="Times New Roman"/>
                <w:kern w:val="0"/>
                <w:sz w:val="24"/>
                <w:szCs w:val="22"/>
                <w:highlight w:val="none"/>
                <w:lang w:val="en-US" w:eastAsia="zh-CN"/>
              </w:rPr>
              <w:t>注塑：</w:t>
            </w:r>
            <w:r>
              <w:rPr>
                <w:rFonts w:hint="eastAsia" w:cs="Times New Roman"/>
                <w:kern w:val="0"/>
                <w:sz w:val="24"/>
                <w:szCs w:val="22"/>
                <w:highlight w:val="none"/>
                <w:lang w:val="en-US" w:eastAsia="zh-CN"/>
              </w:rPr>
              <w:t>部分</w:t>
            </w:r>
            <w:r>
              <w:rPr>
                <w:rFonts w:hint="default" w:ascii="Times New Roman" w:hAnsi="Times New Roman" w:cs="Times New Roman"/>
                <w:kern w:val="0"/>
                <w:sz w:val="24"/>
                <w:szCs w:val="22"/>
                <w:highlight w:val="none"/>
              </w:rPr>
              <w:t>混合均匀后的物料通过</w:t>
            </w:r>
            <w:r>
              <w:rPr>
                <w:rFonts w:hint="eastAsia" w:cs="Times New Roman"/>
                <w:kern w:val="0"/>
                <w:sz w:val="24"/>
                <w:szCs w:val="24"/>
                <w:highlight w:val="none"/>
                <w:lang w:val="en-US" w:eastAsia="zh-CN"/>
              </w:rPr>
              <w:t>绞龙</w:t>
            </w:r>
            <w:r>
              <w:rPr>
                <w:rFonts w:hint="eastAsia"/>
                <w:sz w:val="24"/>
                <w:szCs w:val="24"/>
                <w:highlight w:val="none"/>
                <w:lang w:val="en-US" w:eastAsia="zh-CN"/>
              </w:rPr>
              <w:t>上料机</w:t>
            </w:r>
            <w:r>
              <w:rPr>
                <w:rFonts w:hint="default" w:ascii="Times New Roman" w:hAnsi="Times New Roman" w:cs="Times New Roman"/>
                <w:kern w:val="0"/>
                <w:sz w:val="24"/>
                <w:szCs w:val="24"/>
                <w:highlight w:val="none"/>
              </w:rPr>
              <w:t>输入自动注</w:t>
            </w:r>
            <w:r>
              <w:rPr>
                <w:rFonts w:hint="default" w:ascii="Times New Roman" w:hAnsi="Times New Roman" w:cs="Times New Roman"/>
                <w:kern w:val="0"/>
                <w:sz w:val="24"/>
                <w:szCs w:val="22"/>
                <w:highlight w:val="none"/>
              </w:rPr>
              <w:t>塑机，靠物料本身的重量从料斗进入螺杆，当物料与螺纹斜棱接触后，旋转的斜棱面对物料产生与斜棱面相垂直的推力，将物料向前推移。在推移过程中，由于物料与螺杆、塑料与机筒之间的摩擦以及粒子间的碰撞</w:t>
            </w:r>
            <w:r>
              <w:rPr>
                <w:rFonts w:hint="eastAsia" w:cs="Times New Roman"/>
                <w:kern w:val="0"/>
                <w:sz w:val="24"/>
                <w:szCs w:val="22"/>
                <w:highlight w:val="none"/>
                <w:lang w:eastAsia="zh-CN"/>
              </w:rPr>
              <w:t>摩擦</w:t>
            </w:r>
            <w:r>
              <w:rPr>
                <w:rFonts w:hint="default" w:ascii="Times New Roman" w:hAnsi="Times New Roman" w:cs="Times New Roman"/>
                <w:kern w:val="0"/>
                <w:sz w:val="24"/>
                <w:szCs w:val="22"/>
                <w:highlight w:val="none"/>
              </w:rPr>
              <w:t>，同时还由于料筒外部加热（加热温度180℃）而逐步熔化。将熔融的塑料利用压力注进塑料制品模具中</w:t>
            </w:r>
            <w:r>
              <w:rPr>
                <w:rFonts w:hint="eastAsia" w:ascii="Times New Roman" w:hAnsi="Times New Roman" w:cs="Times New Roman"/>
                <w:kern w:val="0"/>
                <w:sz w:val="24"/>
                <w:szCs w:val="22"/>
                <w:highlight w:val="none"/>
                <w:lang w:eastAsia="zh-CN"/>
              </w:rPr>
              <w:t>。</w:t>
            </w:r>
            <w:r>
              <w:rPr>
                <w:rFonts w:hint="default" w:ascii="Times New Roman" w:hAnsi="Times New Roman" w:cs="Times New Roman"/>
                <w:kern w:val="0"/>
                <w:sz w:val="24"/>
                <w:szCs w:val="22"/>
                <w:highlight w:val="none"/>
              </w:rPr>
              <w:t>通过模具</w:t>
            </w:r>
            <w:r>
              <w:rPr>
                <w:rFonts w:hint="eastAsia" w:cs="Times New Roman"/>
                <w:kern w:val="0"/>
                <w:sz w:val="24"/>
                <w:szCs w:val="22"/>
                <w:highlight w:val="none"/>
                <w:lang w:eastAsia="zh-CN"/>
              </w:rPr>
              <w:t>塑形</w:t>
            </w:r>
            <w:r>
              <w:rPr>
                <w:rFonts w:hint="default" w:ascii="Times New Roman" w:hAnsi="Times New Roman" w:cs="Times New Roman"/>
                <w:kern w:val="0"/>
                <w:sz w:val="24"/>
                <w:szCs w:val="22"/>
                <w:highlight w:val="none"/>
              </w:rPr>
              <w:t>后，使用循环水冷的方式进行</w:t>
            </w:r>
            <w:r>
              <w:rPr>
                <w:rFonts w:hint="eastAsia" w:cs="Times New Roman"/>
                <w:kern w:val="0"/>
                <w:sz w:val="24"/>
                <w:szCs w:val="22"/>
                <w:highlight w:val="none"/>
                <w:lang w:val="en-US" w:eastAsia="zh-CN"/>
              </w:rPr>
              <w:t>模具</w:t>
            </w:r>
            <w:r>
              <w:rPr>
                <w:rFonts w:hint="default" w:ascii="Times New Roman" w:hAnsi="Times New Roman" w:cs="Times New Roman"/>
                <w:kern w:val="0"/>
                <w:sz w:val="24"/>
                <w:szCs w:val="22"/>
                <w:highlight w:val="none"/>
              </w:rPr>
              <w:t>的冷却，冷却水存于循环水箱内循环利用</w:t>
            </w:r>
            <w:r>
              <w:rPr>
                <w:rFonts w:hint="eastAsia" w:ascii="Times New Roman" w:hAnsi="Times New Roman" w:cs="Times New Roman"/>
                <w:kern w:val="0"/>
                <w:sz w:val="24"/>
                <w:szCs w:val="22"/>
                <w:highlight w:val="none"/>
                <w:lang w:eastAsia="zh-CN"/>
              </w:rPr>
              <w:t>，</w:t>
            </w:r>
            <w:r>
              <w:rPr>
                <w:rFonts w:hint="eastAsia" w:ascii="Times New Roman" w:hAnsi="Times New Roman" w:cs="Times New Roman"/>
                <w:kern w:val="0"/>
                <w:sz w:val="24"/>
                <w:szCs w:val="22"/>
                <w:highlight w:val="none"/>
                <w:lang w:val="en-US" w:eastAsia="zh-CN"/>
              </w:rPr>
              <w:t>定期添加，不外排</w:t>
            </w:r>
            <w:r>
              <w:rPr>
                <w:rFonts w:hint="default" w:ascii="Times New Roman" w:hAnsi="Times New Roman" w:cs="Times New Roman"/>
                <w:kern w:val="0"/>
                <w:sz w:val="24"/>
                <w:szCs w:val="22"/>
                <w:highlight w:val="none"/>
              </w:rPr>
              <w:t>。</w:t>
            </w:r>
            <w:r>
              <w:rPr>
                <w:rFonts w:hint="eastAsia" w:ascii="Times New Roman" w:hAnsi="Times New Roman" w:cs="Times New Roman"/>
                <w:kern w:val="0"/>
                <w:sz w:val="24"/>
                <w:szCs w:val="22"/>
                <w:highlight w:val="none"/>
                <w:lang w:val="en-US" w:eastAsia="zh-CN"/>
              </w:rPr>
              <w:t>冷却后的产品进行脱模，完成制作。</w:t>
            </w:r>
          </w:p>
          <w:p w14:paraId="49BC0D68">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此工序产生</w:t>
            </w:r>
            <w:r>
              <w:rPr>
                <w:rFonts w:hint="eastAsia" w:ascii="Times New Roman" w:hAnsi="Times New Roman" w:cs="Times New Roman"/>
                <w:kern w:val="0"/>
                <w:sz w:val="24"/>
                <w:szCs w:val="22"/>
                <w:highlight w:val="none"/>
                <w:lang w:val="en-US" w:eastAsia="zh-CN"/>
              </w:rPr>
              <w:t>注塑废气G</w:t>
            </w:r>
            <w:r>
              <w:rPr>
                <w:rFonts w:hint="eastAsia" w:cs="Times New Roman"/>
                <w:kern w:val="0"/>
                <w:sz w:val="24"/>
                <w:szCs w:val="22"/>
                <w:highlight w:val="none"/>
                <w:lang w:val="en-US" w:eastAsia="zh-CN"/>
              </w:rPr>
              <w:t>2-2，废气集气罩收集，经2级活性炭吸附装置处理，通过15m高排气筒DA001排放</w:t>
            </w:r>
            <w:r>
              <w:rPr>
                <w:rFonts w:hint="default" w:ascii="Times New Roman" w:hAnsi="Times New Roman" w:cs="Times New Roman"/>
                <w:kern w:val="0"/>
                <w:sz w:val="24"/>
                <w:szCs w:val="22"/>
                <w:highlight w:val="none"/>
              </w:rPr>
              <w:t>。</w:t>
            </w:r>
          </w:p>
          <w:p w14:paraId="118C95D1">
            <w:pPr>
              <w:spacing w:line="360" w:lineRule="auto"/>
              <w:ind w:firstLine="480" w:firstLineChars="200"/>
              <w:rPr>
                <w:rFonts w:hint="default" w:ascii="Times New Roman" w:hAnsi="Times New Roman" w:eastAsia="宋体" w:cs="Times New Roman"/>
                <w:kern w:val="0"/>
                <w:sz w:val="24"/>
                <w:szCs w:val="22"/>
                <w:highlight w:val="none"/>
                <w:lang w:val="en-US" w:eastAsia="zh-CN"/>
              </w:rPr>
            </w:pPr>
            <w:r>
              <w:rPr>
                <w:rFonts w:hint="default" w:ascii="Times New Roman" w:hAnsi="Times New Roman" w:cs="Times New Roman"/>
                <w:kern w:val="0"/>
                <w:sz w:val="24"/>
                <w:szCs w:val="22"/>
                <w:highlight w:val="none"/>
              </w:rPr>
              <w:t>③</w:t>
            </w:r>
            <w:r>
              <w:rPr>
                <w:rFonts w:hint="eastAsia" w:ascii="Times New Roman" w:hAnsi="Times New Roman" w:cs="Times New Roman"/>
                <w:kern w:val="0"/>
                <w:sz w:val="24"/>
                <w:szCs w:val="22"/>
                <w:highlight w:val="none"/>
                <w:lang w:val="en-US" w:eastAsia="zh-CN"/>
              </w:rPr>
              <w:t>修边、质检：人工对产品毛边进行修剪，同时检查产品质量，合格产品入库待售。</w:t>
            </w:r>
          </w:p>
          <w:p w14:paraId="366D215E">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此工序产生</w:t>
            </w:r>
            <w:r>
              <w:rPr>
                <w:rFonts w:hint="eastAsia" w:ascii="Times New Roman" w:hAnsi="Times New Roman" w:cs="Times New Roman"/>
                <w:kern w:val="0"/>
                <w:sz w:val="24"/>
                <w:szCs w:val="22"/>
                <w:highlight w:val="none"/>
                <w:lang w:val="en-US" w:eastAsia="zh-CN"/>
              </w:rPr>
              <w:t>边角料S</w:t>
            </w:r>
            <w:r>
              <w:rPr>
                <w:rFonts w:hint="eastAsia" w:cs="Times New Roman"/>
                <w:kern w:val="0"/>
                <w:sz w:val="24"/>
                <w:szCs w:val="22"/>
                <w:highlight w:val="none"/>
                <w:lang w:val="en-US" w:eastAsia="zh-CN"/>
              </w:rPr>
              <w:t>2-</w:t>
            </w:r>
            <w:r>
              <w:rPr>
                <w:rFonts w:hint="eastAsia" w:ascii="Times New Roman" w:hAnsi="Times New Roman" w:cs="Times New Roman"/>
                <w:kern w:val="0"/>
                <w:sz w:val="24"/>
                <w:szCs w:val="22"/>
                <w:highlight w:val="none"/>
                <w:lang w:val="en-US" w:eastAsia="zh-CN"/>
              </w:rPr>
              <w:t>2、不合格产品</w:t>
            </w:r>
            <w:r>
              <w:rPr>
                <w:rFonts w:hint="default" w:ascii="Times New Roman" w:hAnsi="Times New Roman" w:cs="Times New Roman"/>
                <w:kern w:val="0"/>
                <w:sz w:val="24"/>
                <w:szCs w:val="22"/>
                <w:highlight w:val="none"/>
              </w:rPr>
              <w:t>S</w:t>
            </w:r>
            <w:r>
              <w:rPr>
                <w:rFonts w:hint="eastAsia" w:cs="Times New Roman"/>
                <w:kern w:val="0"/>
                <w:sz w:val="24"/>
                <w:szCs w:val="22"/>
                <w:highlight w:val="none"/>
                <w:lang w:val="en-US" w:eastAsia="zh-CN"/>
              </w:rPr>
              <w:t>2-</w:t>
            </w:r>
            <w:r>
              <w:rPr>
                <w:rFonts w:hint="eastAsia" w:ascii="Times New Roman" w:hAnsi="Times New Roman" w:cs="Times New Roman"/>
                <w:kern w:val="0"/>
                <w:sz w:val="24"/>
                <w:szCs w:val="22"/>
                <w:highlight w:val="none"/>
                <w:lang w:val="en-US" w:eastAsia="zh-CN"/>
              </w:rPr>
              <w:t>3</w:t>
            </w:r>
            <w:r>
              <w:rPr>
                <w:rFonts w:hint="default" w:ascii="Times New Roman" w:hAnsi="Times New Roman" w:cs="Times New Roman"/>
                <w:kern w:val="0"/>
                <w:sz w:val="24"/>
                <w:szCs w:val="22"/>
                <w:highlight w:val="none"/>
              </w:rPr>
              <w:t>。</w:t>
            </w:r>
          </w:p>
          <w:p w14:paraId="33064D7B">
            <w:pPr>
              <w:spacing w:line="360" w:lineRule="auto"/>
              <w:ind w:firstLine="480" w:firstLineChars="200"/>
              <w:rPr>
                <w:rFonts w:hint="default" w:ascii="Times New Roman" w:hAnsi="Times New Roman" w:cs="Times New Roman"/>
                <w:kern w:val="0"/>
                <w:sz w:val="24"/>
                <w:szCs w:val="22"/>
                <w:highlight w:val="none"/>
              </w:rPr>
            </w:pPr>
          </w:p>
          <w:p w14:paraId="2FE5AAEE">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7" o:spt="75" type="#_x0000_t75" style="height:235.25pt;width:373pt;" o:ole="t" filled="f" o:preferrelative="t" stroked="f" coordsize="21600,21600">
                  <v:path/>
                  <v:fill on="f" focussize="0,0"/>
                  <v:stroke on="f"/>
                  <v:imagedata r:id="rId23" o:title=""/>
                  <o:lock v:ext="edit" aspectratio="t"/>
                  <w10:wrap type="none"/>
                  <w10:anchorlock/>
                </v:shape>
                <o:OLEObject Type="Embed" ProgID="Visio.Drawing.15" ShapeID="_x0000_i1027" DrawAspect="Content" ObjectID="_1468075727" r:id="rId22">
                  <o:LockedField>false</o:LockedField>
                </o:OLEObject>
              </w:object>
            </w:r>
          </w:p>
          <w:p w14:paraId="7D43DB85">
            <w:pPr>
              <w:spacing w:line="360" w:lineRule="auto"/>
              <w:ind w:firstLine="482" w:firstLineChars="200"/>
              <w:jc w:val="center"/>
              <w:rPr>
                <w:rFonts w:hint="default" w:ascii="Times New Roman" w:hAnsi="Times New Roman" w:eastAsia="宋体" w:cs="Times New Roman"/>
                <w:highlight w:val="none"/>
                <w:lang w:val="en-US" w:eastAsia="zh-CN"/>
              </w:rPr>
            </w:pPr>
            <w:r>
              <w:rPr>
                <w:rFonts w:hint="default" w:ascii="Times New Roman" w:hAnsi="Times New Roman" w:cs="Times New Roman"/>
                <w:b/>
                <w:bCs/>
                <w:sz w:val="24"/>
                <w:highlight w:val="none"/>
              </w:rPr>
              <w:t>图2-</w:t>
            </w:r>
            <w:r>
              <w:rPr>
                <w:rFonts w:hint="eastAsia" w:cs="Times New Roman"/>
                <w:b/>
                <w:bCs/>
                <w:sz w:val="24"/>
                <w:highlight w:val="none"/>
                <w:lang w:val="en-US" w:eastAsia="zh-CN"/>
              </w:rPr>
              <w:t>3</w:t>
            </w:r>
            <w:r>
              <w:rPr>
                <w:rFonts w:hint="default" w:ascii="Times New Roman" w:hAnsi="Times New Roman" w:cs="Times New Roman"/>
                <w:b/>
                <w:bCs/>
                <w:sz w:val="24"/>
                <w:highlight w:val="none"/>
              </w:rPr>
              <w:t xml:space="preserve">  </w:t>
            </w:r>
            <w:r>
              <w:rPr>
                <w:rFonts w:hint="eastAsia" w:cs="Times New Roman"/>
                <w:b/>
                <w:bCs/>
                <w:sz w:val="24"/>
                <w:highlight w:val="none"/>
                <w:lang w:val="en-US" w:eastAsia="zh-CN"/>
              </w:rPr>
              <w:t>注塑</w:t>
            </w:r>
            <w:r>
              <w:rPr>
                <w:rFonts w:hint="default" w:ascii="Times New Roman" w:hAnsi="Times New Roman" w:cs="Times New Roman"/>
                <w:b/>
                <w:bCs/>
                <w:sz w:val="24"/>
                <w:highlight w:val="none"/>
              </w:rPr>
              <w:t>生产工艺流程图</w:t>
            </w:r>
          </w:p>
          <w:p w14:paraId="2D7132F0">
            <w:pPr>
              <w:spacing w:line="360" w:lineRule="auto"/>
              <w:ind w:firstLine="482" w:firstLineChars="20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（二）、项目主要污染工序及产污环节</w:t>
            </w:r>
          </w:p>
          <w:p w14:paraId="6ABBF19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项目主要污染物产生环节如下：</w:t>
            </w:r>
          </w:p>
          <w:p w14:paraId="472FDD82">
            <w:pPr>
              <w:spacing w:line="360" w:lineRule="auto"/>
              <w:ind w:firstLine="482" w:firstLineChars="20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表2-</w:t>
            </w:r>
            <w:r>
              <w:rPr>
                <w:rFonts w:hint="eastAsia" w:cs="Times New Roman"/>
                <w:b/>
                <w:bCs/>
                <w:sz w:val="24"/>
                <w:highlight w:val="none"/>
                <w:lang w:val="en-US" w:eastAsia="zh-CN"/>
              </w:rPr>
              <w:t>7</w:t>
            </w:r>
            <w:r>
              <w:rPr>
                <w:rFonts w:hint="default" w:ascii="Times New Roman" w:hAnsi="Times New Roman" w:cs="Times New Roman"/>
                <w:b/>
                <w:bCs/>
                <w:sz w:val="24"/>
                <w:highlight w:val="none"/>
              </w:rPr>
              <w:t xml:space="preserve">  项目污染物产生环节</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124"/>
              <w:gridCol w:w="1460"/>
              <w:gridCol w:w="1995"/>
              <w:gridCol w:w="1081"/>
              <w:gridCol w:w="1074"/>
              <w:gridCol w:w="1352"/>
            </w:tblGrid>
            <w:tr w14:paraId="4ACA5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top w:val="single" w:color="auto" w:sz="4" w:space="0"/>
                    <w:left w:val="single" w:color="auto" w:sz="4" w:space="0"/>
                    <w:bottom w:val="single" w:color="auto" w:sz="4" w:space="0"/>
                    <w:right w:val="single" w:color="auto" w:sz="4" w:space="0"/>
                  </w:tcBorders>
                  <w:vAlign w:val="center"/>
                </w:tcPr>
                <w:p w14:paraId="1251B22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产污环节</w:t>
                  </w:r>
                </w:p>
              </w:tc>
              <w:tc>
                <w:tcPr>
                  <w:tcW w:w="1460" w:type="dxa"/>
                  <w:tcBorders>
                    <w:top w:val="single" w:color="auto" w:sz="4" w:space="0"/>
                    <w:left w:val="single" w:color="auto" w:sz="4" w:space="0"/>
                    <w:bottom w:val="single" w:color="auto" w:sz="4" w:space="0"/>
                    <w:right w:val="single" w:color="auto" w:sz="4" w:space="0"/>
                  </w:tcBorders>
                  <w:vAlign w:val="center"/>
                </w:tcPr>
                <w:p w14:paraId="632C2130">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污染物组成</w:t>
                  </w:r>
                </w:p>
              </w:tc>
              <w:tc>
                <w:tcPr>
                  <w:tcW w:w="1995" w:type="dxa"/>
                  <w:tcBorders>
                    <w:top w:val="single" w:color="auto" w:sz="4" w:space="0"/>
                    <w:left w:val="single" w:color="auto" w:sz="4" w:space="0"/>
                    <w:bottom w:val="single" w:color="auto" w:sz="4" w:space="0"/>
                    <w:right w:val="single" w:color="auto" w:sz="4" w:space="0"/>
                  </w:tcBorders>
                  <w:vAlign w:val="center"/>
                </w:tcPr>
                <w:p w14:paraId="2F020FE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治理措施</w:t>
                  </w:r>
                </w:p>
              </w:tc>
              <w:tc>
                <w:tcPr>
                  <w:tcW w:w="1081" w:type="dxa"/>
                  <w:tcBorders>
                    <w:top w:val="single" w:color="auto" w:sz="4" w:space="0"/>
                    <w:left w:val="single" w:color="auto" w:sz="4" w:space="0"/>
                    <w:bottom w:val="single" w:color="auto" w:sz="4" w:space="0"/>
                    <w:right w:val="single" w:color="auto" w:sz="4" w:space="0"/>
                  </w:tcBorders>
                  <w:vAlign w:val="center"/>
                </w:tcPr>
                <w:p w14:paraId="7D29904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排放规律</w:t>
                  </w:r>
                </w:p>
              </w:tc>
              <w:tc>
                <w:tcPr>
                  <w:tcW w:w="1074" w:type="dxa"/>
                  <w:tcBorders>
                    <w:top w:val="single" w:color="auto" w:sz="4" w:space="0"/>
                    <w:left w:val="single" w:color="auto" w:sz="4" w:space="0"/>
                    <w:bottom w:val="single" w:color="auto" w:sz="4" w:space="0"/>
                    <w:right w:val="single" w:color="auto" w:sz="4" w:space="0"/>
                  </w:tcBorders>
                  <w:vAlign w:val="center"/>
                </w:tcPr>
                <w:p w14:paraId="3E90A878">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生产时间</w:t>
                  </w:r>
                </w:p>
              </w:tc>
              <w:tc>
                <w:tcPr>
                  <w:tcW w:w="1352" w:type="dxa"/>
                  <w:tcBorders>
                    <w:top w:val="single" w:color="auto" w:sz="4" w:space="0"/>
                    <w:left w:val="single" w:color="auto" w:sz="4" w:space="0"/>
                    <w:bottom w:val="single" w:color="auto" w:sz="4" w:space="0"/>
                    <w:right w:val="single" w:color="auto" w:sz="4" w:space="0"/>
                  </w:tcBorders>
                  <w:vAlign w:val="center"/>
                </w:tcPr>
                <w:p w14:paraId="4E9BD1BE">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排放方式</w:t>
                  </w:r>
                </w:p>
              </w:tc>
            </w:tr>
            <w:tr w14:paraId="58336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top w:val="single" w:color="auto" w:sz="4" w:space="0"/>
                    <w:left w:val="single" w:color="auto" w:sz="4" w:space="0"/>
                    <w:bottom w:val="single" w:color="auto" w:sz="4" w:space="0"/>
                    <w:right w:val="single" w:color="auto" w:sz="4" w:space="0"/>
                  </w:tcBorders>
                  <w:vAlign w:val="center"/>
                </w:tcPr>
                <w:p w14:paraId="4E98D51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废气</w:t>
                  </w:r>
                </w:p>
              </w:tc>
            </w:tr>
            <w:tr w14:paraId="12C4E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top w:val="single" w:color="auto" w:sz="4" w:space="0"/>
                    <w:left w:val="single" w:color="auto" w:sz="4" w:space="0"/>
                    <w:right w:val="single" w:color="auto" w:sz="4" w:space="0"/>
                  </w:tcBorders>
                  <w:vAlign w:val="center"/>
                </w:tcPr>
                <w:p w14:paraId="6BC2DABB">
                  <w:pPr>
                    <w:autoSpaceDE w:val="0"/>
                    <w:autoSpaceDN w:val="0"/>
                    <w:adjustRightInd w:val="0"/>
                    <w:jc w:val="center"/>
                    <w:rPr>
                      <w:rFonts w:hint="default" w:cs="Times New Roman"/>
                      <w:kern w:val="0"/>
                      <w:highlight w:val="none"/>
                      <w:lang w:val="en-US" w:eastAsia="zh-CN"/>
                    </w:rPr>
                  </w:pPr>
                  <w:r>
                    <w:rPr>
                      <w:rFonts w:hint="eastAsia" w:cs="Times New Roman"/>
                      <w:kern w:val="0"/>
                      <w:highlight w:val="none"/>
                      <w:lang w:val="en-US" w:eastAsia="zh-CN"/>
                    </w:rPr>
                    <w:t>投料、混合粉尘G1-1</w:t>
                  </w:r>
                </w:p>
              </w:tc>
              <w:tc>
                <w:tcPr>
                  <w:tcW w:w="1460" w:type="dxa"/>
                  <w:tcBorders>
                    <w:top w:val="single" w:color="auto" w:sz="4" w:space="0"/>
                    <w:left w:val="single" w:color="auto" w:sz="4" w:space="0"/>
                    <w:right w:val="single" w:color="auto" w:sz="4" w:space="0"/>
                  </w:tcBorders>
                  <w:vAlign w:val="center"/>
                </w:tcPr>
                <w:p w14:paraId="380D6E40">
                  <w:pPr>
                    <w:autoSpaceDE w:val="0"/>
                    <w:autoSpaceDN w:val="0"/>
                    <w:adjustRightInd w:val="0"/>
                    <w:jc w:val="center"/>
                    <w:rPr>
                      <w:rFonts w:hint="eastAsia" w:ascii="Times New Roman" w:hAnsi="Times New Roman" w:eastAsia="宋体" w:cs="Times New Roman"/>
                      <w:kern w:val="0"/>
                      <w:highlight w:val="none"/>
                      <w:lang w:val="en-US" w:eastAsia="zh-CN"/>
                    </w:rPr>
                  </w:pPr>
                  <w:r>
                    <w:rPr>
                      <w:rFonts w:hint="eastAsia" w:cs="Times New Roman"/>
                      <w:kern w:val="0"/>
                      <w:highlight w:val="none"/>
                      <w:lang w:val="en-US" w:eastAsia="zh-CN"/>
                    </w:rPr>
                    <w:t>颗粒物</w:t>
                  </w:r>
                </w:p>
              </w:tc>
              <w:tc>
                <w:tcPr>
                  <w:tcW w:w="1995" w:type="dxa"/>
                  <w:vMerge w:val="restart"/>
                  <w:tcBorders>
                    <w:top w:val="single" w:color="auto" w:sz="4" w:space="0"/>
                    <w:left w:val="single" w:color="auto" w:sz="4" w:space="0"/>
                    <w:right w:val="single" w:color="auto" w:sz="4" w:space="0"/>
                  </w:tcBorders>
                  <w:vAlign w:val="center"/>
                </w:tcPr>
                <w:p w14:paraId="2A618885">
                  <w:pPr>
                    <w:autoSpaceDE w:val="0"/>
                    <w:autoSpaceDN w:val="0"/>
                    <w:adjustRightInd w:val="0"/>
                    <w:jc w:val="center"/>
                    <w:rPr>
                      <w:rFonts w:hint="default" w:cs="Times New Roman"/>
                      <w:kern w:val="0"/>
                      <w:highlight w:val="none"/>
                      <w:lang w:val="en-US" w:eastAsia="zh-CN"/>
                    </w:rPr>
                  </w:pPr>
                  <w:r>
                    <w:rPr>
                      <w:rFonts w:hint="eastAsia" w:cs="Times New Roman"/>
                      <w:kern w:val="0"/>
                      <w:highlight w:val="none"/>
                      <w:lang w:val="en-US" w:eastAsia="zh-CN"/>
                    </w:rPr>
                    <w:t>车间阻挡、自然沉降</w:t>
                  </w:r>
                </w:p>
              </w:tc>
              <w:tc>
                <w:tcPr>
                  <w:tcW w:w="1081" w:type="dxa"/>
                  <w:vMerge w:val="restart"/>
                  <w:tcBorders>
                    <w:top w:val="single" w:color="auto" w:sz="4" w:space="0"/>
                    <w:left w:val="single" w:color="auto" w:sz="4" w:space="0"/>
                    <w:right w:val="single" w:color="auto" w:sz="4" w:space="0"/>
                  </w:tcBorders>
                  <w:shd w:val="clear" w:color="auto" w:fill="auto"/>
                  <w:vAlign w:val="center"/>
                </w:tcPr>
                <w:p w14:paraId="53B39C7A">
                  <w:pPr>
                    <w:autoSpaceDE w:val="0"/>
                    <w:autoSpaceDN w:val="0"/>
                    <w:adjustRightInd w:val="0"/>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kern w:val="0"/>
                      <w:highlight w:val="none"/>
                    </w:rPr>
                    <w:t>连续</w:t>
                  </w:r>
                </w:p>
              </w:tc>
              <w:tc>
                <w:tcPr>
                  <w:tcW w:w="1074" w:type="dxa"/>
                  <w:vMerge w:val="restart"/>
                  <w:tcBorders>
                    <w:top w:val="single" w:color="auto" w:sz="4" w:space="0"/>
                    <w:left w:val="single" w:color="auto" w:sz="4" w:space="0"/>
                    <w:right w:val="single" w:color="auto" w:sz="4" w:space="0"/>
                  </w:tcBorders>
                  <w:shd w:val="clear" w:color="auto" w:fill="auto"/>
                  <w:vAlign w:val="center"/>
                </w:tcPr>
                <w:p w14:paraId="0C286E72">
                  <w:pPr>
                    <w:autoSpaceDE w:val="0"/>
                    <w:autoSpaceDN w:val="0"/>
                    <w:adjustRightInd w:val="0"/>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kern w:val="0"/>
                      <w:highlight w:val="none"/>
                    </w:rPr>
                    <w:t>2400</w:t>
                  </w:r>
                </w:p>
              </w:tc>
              <w:tc>
                <w:tcPr>
                  <w:tcW w:w="1352" w:type="dxa"/>
                  <w:vMerge w:val="restart"/>
                  <w:tcBorders>
                    <w:top w:val="single" w:color="auto" w:sz="4" w:space="0"/>
                    <w:left w:val="single" w:color="auto" w:sz="4" w:space="0"/>
                    <w:right w:val="single" w:color="auto" w:sz="4" w:space="0"/>
                  </w:tcBorders>
                  <w:vAlign w:val="center"/>
                </w:tcPr>
                <w:p w14:paraId="185ACF17">
                  <w:pPr>
                    <w:autoSpaceDE w:val="0"/>
                    <w:autoSpaceDN w:val="0"/>
                    <w:adjustRightInd w:val="0"/>
                    <w:jc w:val="center"/>
                    <w:rPr>
                      <w:rFonts w:hint="default" w:ascii="Times New Roman" w:hAnsi="Times New Roman" w:eastAsia="宋体" w:cs="Times New Roman"/>
                      <w:kern w:val="0"/>
                      <w:highlight w:val="none"/>
                      <w:lang w:val="en-US" w:eastAsia="zh-CN"/>
                    </w:rPr>
                  </w:pPr>
                  <w:r>
                    <w:rPr>
                      <w:rFonts w:hint="eastAsia" w:cs="Times New Roman"/>
                      <w:kern w:val="0"/>
                      <w:highlight w:val="none"/>
                      <w:lang w:val="en-US" w:eastAsia="zh-CN"/>
                    </w:rPr>
                    <w:t>无组织排放</w:t>
                  </w:r>
                </w:p>
              </w:tc>
            </w:tr>
            <w:tr w14:paraId="13AD1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top w:val="single" w:color="auto" w:sz="4" w:space="0"/>
                    <w:left w:val="single" w:color="auto" w:sz="4" w:space="0"/>
                    <w:right w:val="single" w:color="auto" w:sz="4" w:space="0"/>
                  </w:tcBorders>
                  <w:vAlign w:val="center"/>
                </w:tcPr>
                <w:p w14:paraId="56101099">
                  <w:pPr>
                    <w:autoSpaceDE w:val="0"/>
                    <w:autoSpaceDN w:val="0"/>
                    <w:adjustRightInd w:val="0"/>
                    <w:jc w:val="center"/>
                    <w:rPr>
                      <w:rFonts w:hint="eastAsia" w:cs="Times New Roman"/>
                      <w:kern w:val="0"/>
                      <w:highlight w:val="none"/>
                      <w:lang w:val="en-US" w:eastAsia="zh-CN"/>
                    </w:rPr>
                  </w:pPr>
                  <w:r>
                    <w:rPr>
                      <w:rFonts w:hint="eastAsia" w:cs="Times New Roman"/>
                      <w:kern w:val="0"/>
                      <w:highlight w:val="none"/>
                      <w:lang w:val="en-US" w:eastAsia="zh-CN"/>
                    </w:rPr>
                    <w:t>投料、混合粉尘G2-1</w:t>
                  </w:r>
                </w:p>
              </w:tc>
              <w:tc>
                <w:tcPr>
                  <w:tcW w:w="1460" w:type="dxa"/>
                  <w:tcBorders>
                    <w:top w:val="single" w:color="auto" w:sz="4" w:space="0"/>
                    <w:left w:val="single" w:color="auto" w:sz="4" w:space="0"/>
                    <w:right w:val="single" w:color="auto" w:sz="4" w:space="0"/>
                  </w:tcBorders>
                  <w:vAlign w:val="center"/>
                </w:tcPr>
                <w:p w14:paraId="62F7EFF3">
                  <w:pPr>
                    <w:autoSpaceDE w:val="0"/>
                    <w:autoSpaceDN w:val="0"/>
                    <w:adjustRightInd w:val="0"/>
                    <w:jc w:val="center"/>
                    <w:rPr>
                      <w:rFonts w:hint="default" w:ascii="Times New Roman" w:hAnsi="Times New Roman" w:cs="Times New Roman"/>
                      <w:kern w:val="0"/>
                      <w:highlight w:val="none"/>
                    </w:rPr>
                  </w:pPr>
                  <w:r>
                    <w:rPr>
                      <w:rFonts w:hint="eastAsia" w:cs="Times New Roman"/>
                      <w:kern w:val="0"/>
                      <w:highlight w:val="none"/>
                      <w:lang w:val="en-US" w:eastAsia="zh-CN"/>
                    </w:rPr>
                    <w:t>颗粒物</w:t>
                  </w:r>
                </w:p>
              </w:tc>
              <w:tc>
                <w:tcPr>
                  <w:tcW w:w="1995" w:type="dxa"/>
                  <w:vMerge w:val="continue"/>
                  <w:tcBorders>
                    <w:left w:val="single" w:color="auto" w:sz="4" w:space="0"/>
                    <w:right w:val="single" w:color="auto" w:sz="4" w:space="0"/>
                  </w:tcBorders>
                  <w:vAlign w:val="center"/>
                </w:tcPr>
                <w:p w14:paraId="272E66FA">
                  <w:pPr>
                    <w:autoSpaceDE w:val="0"/>
                    <w:autoSpaceDN w:val="0"/>
                    <w:adjustRightInd w:val="0"/>
                    <w:jc w:val="center"/>
                    <w:rPr>
                      <w:rFonts w:hint="eastAsia" w:cs="Times New Roman"/>
                      <w:kern w:val="0"/>
                      <w:highlight w:val="none"/>
                      <w:lang w:val="en-US" w:eastAsia="zh-CN"/>
                    </w:rPr>
                  </w:pPr>
                </w:p>
              </w:tc>
              <w:tc>
                <w:tcPr>
                  <w:tcW w:w="1081" w:type="dxa"/>
                  <w:vMerge w:val="continue"/>
                  <w:tcBorders>
                    <w:left w:val="single" w:color="auto" w:sz="4" w:space="0"/>
                    <w:right w:val="single" w:color="auto" w:sz="4" w:space="0"/>
                  </w:tcBorders>
                  <w:vAlign w:val="center"/>
                </w:tcPr>
                <w:p w14:paraId="666C9A55">
                  <w:pPr>
                    <w:autoSpaceDE w:val="0"/>
                    <w:autoSpaceDN w:val="0"/>
                    <w:adjustRightInd w:val="0"/>
                    <w:jc w:val="center"/>
                    <w:rPr>
                      <w:rFonts w:hint="default" w:ascii="Times New Roman" w:hAnsi="Times New Roman" w:cs="Times New Roman"/>
                      <w:kern w:val="0"/>
                      <w:highlight w:val="none"/>
                    </w:rPr>
                  </w:pPr>
                </w:p>
              </w:tc>
              <w:tc>
                <w:tcPr>
                  <w:tcW w:w="1074" w:type="dxa"/>
                  <w:vMerge w:val="continue"/>
                  <w:tcBorders>
                    <w:left w:val="single" w:color="auto" w:sz="4" w:space="0"/>
                    <w:right w:val="single" w:color="auto" w:sz="4" w:space="0"/>
                  </w:tcBorders>
                  <w:vAlign w:val="center"/>
                </w:tcPr>
                <w:p w14:paraId="490F796B">
                  <w:pPr>
                    <w:autoSpaceDE w:val="0"/>
                    <w:autoSpaceDN w:val="0"/>
                    <w:adjustRightInd w:val="0"/>
                    <w:jc w:val="center"/>
                    <w:rPr>
                      <w:rFonts w:hint="default" w:ascii="Times New Roman" w:hAnsi="Times New Roman" w:cs="Times New Roman"/>
                      <w:kern w:val="0"/>
                      <w:highlight w:val="none"/>
                    </w:rPr>
                  </w:pPr>
                </w:p>
              </w:tc>
              <w:tc>
                <w:tcPr>
                  <w:tcW w:w="1352" w:type="dxa"/>
                  <w:vMerge w:val="continue"/>
                  <w:tcBorders>
                    <w:left w:val="single" w:color="auto" w:sz="4" w:space="0"/>
                    <w:right w:val="single" w:color="auto" w:sz="4" w:space="0"/>
                  </w:tcBorders>
                  <w:vAlign w:val="center"/>
                </w:tcPr>
                <w:p w14:paraId="3C74FAAA">
                  <w:pPr>
                    <w:autoSpaceDE w:val="0"/>
                    <w:autoSpaceDN w:val="0"/>
                    <w:adjustRightInd w:val="0"/>
                    <w:jc w:val="center"/>
                    <w:rPr>
                      <w:rFonts w:hint="default" w:ascii="Times New Roman" w:hAnsi="Times New Roman" w:cs="Times New Roman"/>
                      <w:kern w:val="0"/>
                      <w:highlight w:val="none"/>
                    </w:rPr>
                  </w:pPr>
                </w:p>
              </w:tc>
            </w:tr>
            <w:tr w14:paraId="7D5F3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top w:val="single" w:color="auto" w:sz="4" w:space="0"/>
                    <w:left w:val="single" w:color="auto" w:sz="4" w:space="0"/>
                    <w:right w:val="single" w:color="auto" w:sz="4" w:space="0"/>
                  </w:tcBorders>
                  <w:vAlign w:val="center"/>
                </w:tcPr>
                <w:p w14:paraId="470881C1">
                  <w:pPr>
                    <w:autoSpaceDE w:val="0"/>
                    <w:autoSpaceDN w:val="0"/>
                    <w:adjustRightInd w:val="0"/>
                    <w:jc w:val="center"/>
                    <w:rPr>
                      <w:rFonts w:hint="eastAsia" w:ascii="Times New Roman" w:hAnsi="Times New Roman" w:eastAsia="宋体" w:cs="Times New Roman"/>
                      <w:kern w:val="0"/>
                      <w:highlight w:val="none"/>
                      <w:lang w:eastAsia="zh-CN"/>
                    </w:rPr>
                  </w:pPr>
                  <w:r>
                    <w:rPr>
                      <w:rFonts w:hint="eastAsia" w:cs="Times New Roman"/>
                      <w:kern w:val="0"/>
                      <w:highlight w:val="none"/>
                      <w:lang w:val="en-US" w:eastAsia="zh-CN"/>
                    </w:rPr>
                    <w:t>吹塑废气</w:t>
                  </w:r>
                  <w:r>
                    <w:rPr>
                      <w:rFonts w:hint="default" w:ascii="Times New Roman" w:hAnsi="Times New Roman" w:cs="Times New Roman"/>
                      <w:kern w:val="0"/>
                      <w:highlight w:val="none"/>
                    </w:rPr>
                    <w:t>G</w:t>
                  </w:r>
                  <w:r>
                    <w:rPr>
                      <w:rFonts w:hint="eastAsia" w:cs="Times New Roman"/>
                      <w:kern w:val="0"/>
                      <w:highlight w:val="none"/>
                      <w:lang w:val="en-US" w:eastAsia="zh-CN"/>
                    </w:rPr>
                    <w:t>1-2</w:t>
                  </w:r>
                </w:p>
              </w:tc>
              <w:tc>
                <w:tcPr>
                  <w:tcW w:w="1460" w:type="dxa"/>
                  <w:tcBorders>
                    <w:top w:val="single" w:color="auto" w:sz="4" w:space="0"/>
                    <w:left w:val="single" w:color="auto" w:sz="4" w:space="0"/>
                    <w:right w:val="single" w:color="auto" w:sz="4" w:space="0"/>
                  </w:tcBorders>
                  <w:vAlign w:val="center"/>
                </w:tcPr>
                <w:p w14:paraId="2C66B35D">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restart"/>
                  <w:tcBorders>
                    <w:top w:val="single" w:color="auto" w:sz="4" w:space="0"/>
                    <w:left w:val="single" w:color="auto" w:sz="4" w:space="0"/>
                    <w:right w:val="single" w:color="auto" w:sz="4" w:space="0"/>
                  </w:tcBorders>
                  <w:vAlign w:val="center"/>
                </w:tcPr>
                <w:p w14:paraId="7AFBBFFD">
                  <w:pPr>
                    <w:autoSpaceDE w:val="0"/>
                    <w:autoSpaceDN w:val="0"/>
                    <w:adjustRightInd w:val="0"/>
                    <w:jc w:val="center"/>
                    <w:rPr>
                      <w:rFonts w:hint="default" w:ascii="Times New Roman" w:hAnsi="Times New Roman" w:eastAsia="宋体" w:cs="Times New Roman"/>
                      <w:kern w:val="0"/>
                      <w:highlight w:val="none"/>
                      <w:lang w:val="en-US" w:eastAsia="zh-CN"/>
                    </w:rPr>
                  </w:pPr>
                  <w:r>
                    <w:rPr>
                      <w:rFonts w:hint="eastAsia" w:cs="Times New Roman"/>
                      <w:kern w:val="0"/>
                      <w:highlight w:val="none"/>
                      <w:lang w:val="en-US" w:eastAsia="zh-CN"/>
                    </w:rPr>
                    <w:t>2级活性炭吸附装置</w:t>
                  </w:r>
                </w:p>
              </w:tc>
              <w:tc>
                <w:tcPr>
                  <w:tcW w:w="1081" w:type="dxa"/>
                  <w:vMerge w:val="restart"/>
                  <w:tcBorders>
                    <w:top w:val="single" w:color="auto" w:sz="4" w:space="0"/>
                    <w:left w:val="single" w:color="auto" w:sz="4" w:space="0"/>
                    <w:right w:val="single" w:color="auto" w:sz="4" w:space="0"/>
                  </w:tcBorders>
                  <w:vAlign w:val="center"/>
                </w:tcPr>
                <w:p w14:paraId="27013882">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连续</w:t>
                  </w:r>
                </w:p>
              </w:tc>
              <w:tc>
                <w:tcPr>
                  <w:tcW w:w="1074" w:type="dxa"/>
                  <w:vMerge w:val="restart"/>
                  <w:tcBorders>
                    <w:top w:val="single" w:color="auto" w:sz="4" w:space="0"/>
                    <w:left w:val="single" w:color="auto" w:sz="4" w:space="0"/>
                    <w:right w:val="single" w:color="auto" w:sz="4" w:space="0"/>
                  </w:tcBorders>
                  <w:vAlign w:val="center"/>
                </w:tcPr>
                <w:p w14:paraId="74E1A6C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2400</w:t>
                  </w:r>
                </w:p>
              </w:tc>
              <w:tc>
                <w:tcPr>
                  <w:tcW w:w="1352" w:type="dxa"/>
                  <w:vMerge w:val="restart"/>
                  <w:tcBorders>
                    <w:top w:val="single" w:color="auto" w:sz="4" w:space="0"/>
                    <w:left w:val="single" w:color="auto" w:sz="4" w:space="0"/>
                    <w:right w:val="single" w:color="auto" w:sz="4" w:space="0"/>
                  </w:tcBorders>
                  <w:vAlign w:val="center"/>
                </w:tcPr>
                <w:p w14:paraId="0FC7C1B7">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DA001</w:t>
                  </w:r>
                </w:p>
              </w:tc>
            </w:tr>
            <w:tr w14:paraId="2759B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top w:val="single" w:color="auto" w:sz="4" w:space="0"/>
                    <w:left w:val="single" w:color="auto" w:sz="4" w:space="0"/>
                    <w:right w:val="single" w:color="auto" w:sz="4" w:space="0"/>
                  </w:tcBorders>
                  <w:vAlign w:val="center"/>
                </w:tcPr>
                <w:p w14:paraId="49C953A4">
                  <w:pPr>
                    <w:autoSpaceDE w:val="0"/>
                    <w:autoSpaceDN w:val="0"/>
                    <w:adjustRightInd w:val="0"/>
                    <w:jc w:val="center"/>
                    <w:rPr>
                      <w:rFonts w:hint="default" w:ascii="Times New Roman" w:hAnsi="Times New Roman" w:eastAsia="宋体" w:cs="Times New Roman"/>
                      <w:kern w:val="0"/>
                      <w:highlight w:val="none"/>
                      <w:lang w:val="en-US" w:eastAsia="zh-CN"/>
                    </w:rPr>
                  </w:pPr>
                  <w:r>
                    <w:rPr>
                      <w:rFonts w:hint="eastAsia" w:cs="Times New Roman"/>
                      <w:kern w:val="0"/>
                      <w:highlight w:val="none"/>
                      <w:lang w:val="en-US" w:eastAsia="zh-CN"/>
                    </w:rPr>
                    <w:t>注塑</w:t>
                  </w:r>
                  <w:r>
                    <w:rPr>
                      <w:rFonts w:hint="default" w:ascii="Times New Roman" w:hAnsi="Times New Roman" w:cs="Times New Roman"/>
                      <w:kern w:val="0"/>
                      <w:highlight w:val="none"/>
                    </w:rPr>
                    <w:t>废气G2</w:t>
                  </w:r>
                  <w:r>
                    <w:rPr>
                      <w:rFonts w:hint="eastAsia" w:cs="Times New Roman"/>
                      <w:kern w:val="0"/>
                      <w:highlight w:val="none"/>
                      <w:lang w:val="en-US" w:eastAsia="zh-CN"/>
                    </w:rPr>
                    <w:t>-2</w:t>
                  </w:r>
                </w:p>
              </w:tc>
              <w:tc>
                <w:tcPr>
                  <w:tcW w:w="1460" w:type="dxa"/>
                  <w:tcBorders>
                    <w:top w:val="single" w:color="auto" w:sz="4" w:space="0"/>
                    <w:left w:val="single" w:color="auto" w:sz="4" w:space="0"/>
                    <w:right w:val="single" w:color="auto" w:sz="4" w:space="0"/>
                  </w:tcBorders>
                  <w:vAlign w:val="center"/>
                </w:tcPr>
                <w:p w14:paraId="4B9A9983">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050015C1">
                  <w:pPr>
                    <w:autoSpaceDE w:val="0"/>
                    <w:autoSpaceDN w:val="0"/>
                    <w:adjustRightInd w:val="0"/>
                    <w:jc w:val="center"/>
                    <w:rPr>
                      <w:rFonts w:hint="default" w:ascii="Times New Roman" w:hAnsi="Times New Roman" w:cs="Times New Roman"/>
                      <w:kern w:val="0"/>
                      <w:highlight w:val="none"/>
                    </w:rPr>
                  </w:pPr>
                </w:p>
              </w:tc>
              <w:tc>
                <w:tcPr>
                  <w:tcW w:w="1081" w:type="dxa"/>
                  <w:vMerge w:val="continue"/>
                  <w:tcBorders>
                    <w:left w:val="single" w:color="auto" w:sz="4" w:space="0"/>
                    <w:bottom w:val="single" w:color="auto" w:sz="4" w:space="0"/>
                    <w:right w:val="single" w:color="auto" w:sz="4" w:space="0"/>
                  </w:tcBorders>
                  <w:vAlign w:val="center"/>
                </w:tcPr>
                <w:p w14:paraId="6F4F3473">
                  <w:pPr>
                    <w:autoSpaceDE w:val="0"/>
                    <w:autoSpaceDN w:val="0"/>
                    <w:adjustRightInd w:val="0"/>
                    <w:jc w:val="center"/>
                    <w:rPr>
                      <w:rFonts w:hint="default" w:ascii="Times New Roman" w:hAnsi="Times New Roman" w:cs="Times New Roman"/>
                      <w:kern w:val="0"/>
                      <w:highlight w:val="none"/>
                    </w:rPr>
                  </w:pPr>
                </w:p>
              </w:tc>
              <w:tc>
                <w:tcPr>
                  <w:tcW w:w="1074" w:type="dxa"/>
                  <w:vMerge w:val="continue"/>
                  <w:tcBorders>
                    <w:left w:val="single" w:color="auto" w:sz="4" w:space="0"/>
                    <w:right w:val="single" w:color="auto" w:sz="4" w:space="0"/>
                  </w:tcBorders>
                  <w:vAlign w:val="center"/>
                </w:tcPr>
                <w:p w14:paraId="4C9C077A">
                  <w:pPr>
                    <w:autoSpaceDE w:val="0"/>
                    <w:autoSpaceDN w:val="0"/>
                    <w:adjustRightInd w:val="0"/>
                    <w:jc w:val="center"/>
                    <w:rPr>
                      <w:rFonts w:hint="default" w:ascii="Times New Roman" w:hAnsi="Times New Roman" w:cs="Times New Roman"/>
                      <w:kern w:val="0"/>
                      <w:highlight w:val="none"/>
                    </w:rPr>
                  </w:pPr>
                </w:p>
              </w:tc>
              <w:tc>
                <w:tcPr>
                  <w:tcW w:w="1352" w:type="dxa"/>
                  <w:vMerge w:val="continue"/>
                  <w:tcBorders>
                    <w:left w:val="single" w:color="auto" w:sz="4" w:space="0"/>
                    <w:right w:val="single" w:color="auto" w:sz="4" w:space="0"/>
                  </w:tcBorders>
                  <w:vAlign w:val="center"/>
                </w:tcPr>
                <w:p w14:paraId="18D7BC26">
                  <w:pPr>
                    <w:autoSpaceDE w:val="0"/>
                    <w:autoSpaceDN w:val="0"/>
                    <w:adjustRightInd w:val="0"/>
                    <w:jc w:val="center"/>
                    <w:rPr>
                      <w:rFonts w:hint="default" w:ascii="Times New Roman" w:hAnsi="Times New Roman" w:cs="Times New Roman"/>
                      <w:kern w:val="0"/>
                      <w:highlight w:val="none"/>
                    </w:rPr>
                  </w:pPr>
                </w:p>
              </w:tc>
            </w:tr>
            <w:tr w14:paraId="167AC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left w:val="single" w:color="auto" w:sz="4" w:space="0"/>
                    <w:right w:val="single" w:color="auto" w:sz="4" w:space="0"/>
                  </w:tcBorders>
                  <w:vAlign w:val="center"/>
                </w:tcPr>
                <w:p w14:paraId="47580313">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废水</w:t>
                  </w:r>
                </w:p>
              </w:tc>
            </w:tr>
            <w:tr w14:paraId="46AFA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7EB739E9">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职工生活污水</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56358BB1">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CODcr、氨氮</w:t>
                  </w:r>
                </w:p>
              </w:tc>
              <w:tc>
                <w:tcPr>
                  <w:tcW w:w="1995" w:type="dxa"/>
                  <w:tcBorders>
                    <w:left w:val="single" w:color="auto" w:sz="4" w:space="0"/>
                    <w:right w:val="single" w:color="auto" w:sz="4" w:space="0"/>
                  </w:tcBorders>
                  <w:shd w:val="clear" w:color="auto" w:fill="auto"/>
                  <w:vAlign w:val="center"/>
                </w:tcPr>
                <w:p w14:paraId="5F3CDC71">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化粪池</w:t>
                  </w:r>
                </w:p>
              </w:tc>
              <w:tc>
                <w:tcPr>
                  <w:tcW w:w="3507" w:type="dxa"/>
                  <w:gridSpan w:val="3"/>
                  <w:tcBorders>
                    <w:top w:val="single" w:color="auto" w:sz="4" w:space="0"/>
                    <w:left w:val="single" w:color="auto" w:sz="4" w:space="0"/>
                    <w:right w:val="single" w:color="auto" w:sz="4" w:space="0"/>
                  </w:tcBorders>
                  <w:shd w:val="clear" w:color="auto" w:fill="auto"/>
                  <w:vAlign w:val="center"/>
                </w:tcPr>
                <w:p w14:paraId="64A27000">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bCs/>
                      <w:color w:val="auto"/>
                      <w:szCs w:val="21"/>
                      <w:highlight w:val="none"/>
                    </w:rPr>
                    <w:t>生活污水进入厂区化粪池处理后</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由环卫部门定期清运</w:t>
                  </w:r>
                  <w:r>
                    <w:rPr>
                      <w:rFonts w:hint="eastAsia" w:cs="Times New Roman"/>
                      <w:bCs/>
                      <w:color w:val="auto"/>
                      <w:szCs w:val="21"/>
                      <w:highlight w:val="none"/>
                      <w:lang w:eastAsia="zh-CN"/>
                    </w:rPr>
                    <w:t>。</w:t>
                  </w:r>
                </w:p>
              </w:tc>
            </w:tr>
            <w:tr w14:paraId="3CDB0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left w:val="single" w:color="auto" w:sz="4" w:space="0"/>
                    <w:right w:val="single" w:color="auto" w:sz="4" w:space="0"/>
                  </w:tcBorders>
                  <w:vAlign w:val="center"/>
                </w:tcPr>
                <w:p w14:paraId="5CAB90B3">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固废</w:t>
                  </w:r>
                </w:p>
              </w:tc>
            </w:tr>
            <w:tr w14:paraId="21ABB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vAlign w:val="center"/>
                </w:tcPr>
                <w:p w14:paraId="3A964621">
                  <w:pPr>
                    <w:autoSpaceDE w:val="0"/>
                    <w:autoSpaceDN w:val="0"/>
                    <w:adjustRightInd w:val="0"/>
                    <w:jc w:val="center"/>
                    <w:rPr>
                      <w:rFonts w:hint="default" w:ascii="Times New Roman" w:hAnsi="Times New Roman" w:cs="Times New Roman"/>
                      <w:kern w:val="0"/>
                      <w:highlight w:val="none"/>
                    </w:rPr>
                  </w:pPr>
                  <w:r>
                    <w:rPr>
                      <w:rFonts w:hint="eastAsia" w:cs="Times New Roman"/>
                      <w:kern w:val="0"/>
                      <w:highlight w:val="none"/>
                      <w:lang w:val="en-US" w:eastAsia="zh-CN"/>
                    </w:rPr>
                    <w:t>废包装材料</w:t>
                  </w:r>
                  <w:r>
                    <w:rPr>
                      <w:rFonts w:hint="default" w:ascii="Times New Roman" w:hAnsi="Times New Roman" w:cs="Times New Roman"/>
                      <w:kern w:val="0"/>
                      <w:highlight w:val="none"/>
                    </w:rPr>
                    <w:t>S1</w:t>
                  </w:r>
                </w:p>
              </w:tc>
              <w:tc>
                <w:tcPr>
                  <w:tcW w:w="1460" w:type="dxa"/>
                  <w:tcBorders>
                    <w:top w:val="single" w:color="auto" w:sz="4" w:space="0"/>
                    <w:left w:val="single" w:color="auto" w:sz="4" w:space="0"/>
                    <w:bottom w:val="single" w:color="auto" w:sz="4" w:space="0"/>
                    <w:right w:val="single" w:color="auto" w:sz="4" w:space="0"/>
                  </w:tcBorders>
                  <w:vAlign w:val="center"/>
                </w:tcPr>
                <w:p w14:paraId="320D2958">
                  <w:pPr>
                    <w:autoSpaceDE w:val="0"/>
                    <w:autoSpaceDN w:val="0"/>
                    <w:adjustRightInd w:val="0"/>
                    <w:jc w:val="center"/>
                    <w:rPr>
                      <w:rFonts w:hint="eastAsia" w:ascii="Times New Roman" w:hAnsi="Times New Roman" w:eastAsia="宋体" w:cs="Times New Roman"/>
                      <w:kern w:val="0"/>
                      <w:highlight w:val="none"/>
                      <w:lang w:val="en-US" w:eastAsia="zh-CN"/>
                    </w:rPr>
                  </w:pPr>
                  <w:r>
                    <w:rPr>
                      <w:rFonts w:hint="eastAsia" w:cs="Times New Roman"/>
                      <w:kern w:val="0"/>
                      <w:highlight w:val="none"/>
                      <w:lang w:val="en-US" w:eastAsia="zh-CN"/>
                    </w:rPr>
                    <w:t>塑料袋</w:t>
                  </w:r>
                </w:p>
              </w:tc>
              <w:tc>
                <w:tcPr>
                  <w:tcW w:w="1995" w:type="dxa"/>
                  <w:tcBorders>
                    <w:left w:val="single" w:color="auto" w:sz="4" w:space="0"/>
                    <w:right w:val="single" w:color="auto" w:sz="4" w:space="0"/>
                  </w:tcBorders>
                  <w:vAlign w:val="center"/>
                </w:tcPr>
                <w:p w14:paraId="3DF7E824">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收集后外售</w:t>
                  </w:r>
                </w:p>
              </w:tc>
              <w:tc>
                <w:tcPr>
                  <w:tcW w:w="1081" w:type="dxa"/>
                  <w:tcBorders>
                    <w:top w:val="single" w:color="auto" w:sz="4" w:space="0"/>
                    <w:left w:val="single" w:color="auto" w:sz="4" w:space="0"/>
                    <w:right w:val="single" w:color="auto" w:sz="4" w:space="0"/>
                  </w:tcBorders>
                  <w:vAlign w:val="center"/>
                </w:tcPr>
                <w:p w14:paraId="6A91786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2426" w:type="dxa"/>
                  <w:gridSpan w:val="2"/>
                  <w:vMerge w:val="restart"/>
                  <w:tcBorders>
                    <w:left w:val="single" w:color="auto" w:sz="4" w:space="0"/>
                    <w:right w:val="single" w:color="auto" w:sz="4" w:space="0"/>
                  </w:tcBorders>
                  <w:vAlign w:val="center"/>
                </w:tcPr>
                <w:p w14:paraId="69C4102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妥善处置</w:t>
                  </w:r>
                </w:p>
              </w:tc>
            </w:tr>
            <w:tr w14:paraId="23B3C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5448AEDA">
                  <w:pPr>
                    <w:autoSpaceDE w:val="0"/>
                    <w:autoSpaceDN w:val="0"/>
                    <w:adjustRightInd w:val="0"/>
                    <w:jc w:val="center"/>
                    <w:rPr>
                      <w:rFonts w:hint="eastAsia" w:ascii="Times New Roman" w:hAnsi="Times New Roman" w:eastAsia="宋体" w:cs="Times New Roman"/>
                      <w:kern w:val="0"/>
                      <w:highlight w:val="none"/>
                      <w:lang w:eastAsia="zh-CN"/>
                    </w:rPr>
                  </w:pPr>
                  <w:r>
                    <w:rPr>
                      <w:rFonts w:hint="eastAsia" w:cs="Times New Roman"/>
                      <w:kern w:val="0"/>
                      <w:highlight w:val="none"/>
                      <w:lang w:val="en-US" w:eastAsia="zh-CN"/>
                    </w:rPr>
                    <w:t>边角料</w:t>
                  </w:r>
                  <w:r>
                    <w:rPr>
                      <w:rFonts w:hint="default" w:ascii="Times New Roman" w:hAnsi="Times New Roman" w:cs="Times New Roman"/>
                      <w:kern w:val="0"/>
                      <w:highlight w:val="none"/>
                    </w:rPr>
                    <w:t>S</w:t>
                  </w:r>
                  <w:r>
                    <w:rPr>
                      <w:rFonts w:hint="eastAsia" w:cs="Times New Roman"/>
                      <w:kern w:val="0"/>
                      <w:highlight w:val="none"/>
                      <w:lang w:val="en-US" w:eastAsia="zh-CN"/>
                    </w:rPr>
                    <w:t>2</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0368CBF9">
                  <w:pPr>
                    <w:autoSpaceDE w:val="0"/>
                    <w:autoSpaceDN w:val="0"/>
                    <w:adjustRightInd w:val="0"/>
                    <w:jc w:val="center"/>
                    <w:rPr>
                      <w:rFonts w:hint="default" w:ascii="Times New Roman" w:hAnsi="Times New Roman" w:eastAsia="宋体" w:cs="Times New Roman"/>
                      <w:kern w:val="0"/>
                      <w:highlight w:val="none"/>
                      <w:lang w:val="en-US" w:eastAsia="zh-CN"/>
                    </w:rPr>
                  </w:pPr>
                  <w:r>
                    <w:rPr>
                      <w:rFonts w:hint="eastAsia" w:cs="Times New Roman"/>
                      <w:kern w:val="0"/>
                      <w:highlight w:val="none"/>
                      <w:lang w:val="en-US" w:eastAsia="zh-CN"/>
                    </w:rPr>
                    <w:t>聚乙烯</w:t>
                  </w:r>
                </w:p>
              </w:tc>
              <w:tc>
                <w:tcPr>
                  <w:tcW w:w="1995" w:type="dxa"/>
                  <w:tcBorders>
                    <w:left w:val="single" w:color="auto" w:sz="4" w:space="0"/>
                    <w:right w:val="single" w:color="auto" w:sz="4" w:space="0"/>
                  </w:tcBorders>
                  <w:shd w:val="clear" w:color="auto" w:fill="auto"/>
                  <w:vAlign w:val="center"/>
                </w:tcPr>
                <w:p w14:paraId="6665BCB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收集后外售</w:t>
                  </w:r>
                </w:p>
              </w:tc>
              <w:tc>
                <w:tcPr>
                  <w:tcW w:w="1081" w:type="dxa"/>
                  <w:tcBorders>
                    <w:top w:val="single" w:color="auto" w:sz="4" w:space="0"/>
                    <w:left w:val="single" w:color="auto" w:sz="4" w:space="0"/>
                    <w:right w:val="single" w:color="auto" w:sz="4" w:space="0"/>
                  </w:tcBorders>
                  <w:shd w:val="clear" w:color="auto" w:fill="auto"/>
                  <w:vAlign w:val="center"/>
                </w:tcPr>
                <w:p w14:paraId="6805873A">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3721B89A">
                  <w:pPr>
                    <w:autoSpaceDE w:val="0"/>
                    <w:autoSpaceDN w:val="0"/>
                    <w:adjustRightInd w:val="0"/>
                    <w:jc w:val="center"/>
                    <w:rPr>
                      <w:rFonts w:hint="default" w:ascii="Times New Roman" w:hAnsi="Times New Roman" w:cs="Times New Roman"/>
                      <w:kern w:val="0"/>
                      <w:highlight w:val="none"/>
                    </w:rPr>
                  </w:pPr>
                </w:p>
              </w:tc>
            </w:tr>
            <w:tr w14:paraId="43CE1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4210C931">
                  <w:pPr>
                    <w:autoSpaceDE w:val="0"/>
                    <w:autoSpaceDN w:val="0"/>
                    <w:adjustRightInd w:val="0"/>
                    <w:jc w:val="center"/>
                    <w:rPr>
                      <w:rFonts w:hint="default" w:ascii="Times New Roman" w:hAnsi="Times New Roman" w:eastAsia="宋体" w:cs="Times New Roman"/>
                      <w:kern w:val="0"/>
                      <w:highlight w:val="none"/>
                      <w:lang w:val="en-US" w:eastAsia="zh-CN"/>
                    </w:rPr>
                  </w:pPr>
                  <w:r>
                    <w:rPr>
                      <w:rFonts w:hint="eastAsia" w:cs="Times New Roman"/>
                      <w:kern w:val="0"/>
                      <w:highlight w:val="none"/>
                      <w:lang w:val="en-US" w:eastAsia="zh-CN"/>
                    </w:rPr>
                    <w:t>不合格产品S3</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19033F09">
                  <w:pPr>
                    <w:autoSpaceDE w:val="0"/>
                    <w:autoSpaceDN w:val="0"/>
                    <w:adjustRightInd w:val="0"/>
                    <w:jc w:val="center"/>
                    <w:rPr>
                      <w:rFonts w:hint="eastAsia" w:ascii="Times New Roman" w:hAnsi="Times New Roman" w:eastAsia="宋体" w:cs="Times New Roman"/>
                      <w:kern w:val="0"/>
                      <w:highlight w:val="none"/>
                      <w:lang w:val="en-US" w:eastAsia="zh-CN"/>
                    </w:rPr>
                  </w:pPr>
                  <w:r>
                    <w:rPr>
                      <w:rFonts w:hint="eastAsia" w:cs="Times New Roman"/>
                      <w:kern w:val="0"/>
                      <w:highlight w:val="none"/>
                      <w:lang w:val="en-US" w:eastAsia="zh-CN"/>
                    </w:rPr>
                    <w:t>聚乙烯</w:t>
                  </w:r>
                </w:p>
              </w:tc>
              <w:tc>
                <w:tcPr>
                  <w:tcW w:w="1995" w:type="dxa"/>
                  <w:tcBorders>
                    <w:left w:val="single" w:color="auto" w:sz="4" w:space="0"/>
                    <w:right w:val="single" w:color="auto" w:sz="4" w:space="0"/>
                  </w:tcBorders>
                  <w:shd w:val="clear" w:color="auto" w:fill="auto"/>
                  <w:vAlign w:val="center"/>
                </w:tcPr>
                <w:p w14:paraId="2C95F4C4">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收集后外售</w:t>
                  </w:r>
                </w:p>
              </w:tc>
              <w:tc>
                <w:tcPr>
                  <w:tcW w:w="1081" w:type="dxa"/>
                  <w:tcBorders>
                    <w:top w:val="single" w:color="auto" w:sz="4" w:space="0"/>
                    <w:left w:val="single" w:color="auto" w:sz="4" w:space="0"/>
                    <w:right w:val="single" w:color="auto" w:sz="4" w:space="0"/>
                  </w:tcBorders>
                  <w:shd w:val="clear" w:color="auto" w:fill="auto"/>
                  <w:vAlign w:val="center"/>
                </w:tcPr>
                <w:p w14:paraId="0FDBDB6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007C8384">
                  <w:pPr>
                    <w:autoSpaceDE w:val="0"/>
                    <w:autoSpaceDN w:val="0"/>
                    <w:adjustRightInd w:val="0"/>
                    <w:jc w:val="center"/>
                    <w:rPr>
                      <w:rFonts w:hint="default" w:ascii="Times New Roman" w:hAnsi="Times New Roman" w:cs="Times New Roman"/>
                      <w:kern w:val="0"/>
                      <w:highlight w:val="none"/>
                    </w:rPr>
                  </w:pPr>
                </w:p>
              </w:tc>
            </w:tr>
            <w:tr w14:paraId="75CA0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55AB405B">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生活垃圾</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25D0BB07">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生活垃圾</w:t>
                  </w:r>
                </w:p>
              </w:tc>
              <w:tc>
                <w:tcPr>
                  <w:tcW w:w="1995" w:type="dxa"/>
                  <w:tcBorders>
                    <w:left w:val="single" w:color="auto" w:sz="4" w:space="0"/>
                    <w:right w:val="single" w:color="auto" w:sz="4" w:space="0"/>
                  </w:tcBorders>
                  <w:shd w:val="clear" w:color="auto" w:fill="auto"/>
                  <w:vAlign w:val="center"/>
                </w:tcPr>
                <w:p w14:paraId="53A3B875">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环卫部门清理</w:t>
                  </w:r>
                </w:p>
              </w:tc>
              <w:tc>
                <w:tcPr>
                  <w:tcW w:w="1081" w:type="dxa"/>
                  <w:tcBorders>
                    <w:top w:val="single" w:color="auto" w:sz="4" w:space="0"/>
                    <w:left w:val="single" w:color="auto" w:sz="4" w:space="0"/>
                    <w:right w:val="single" w:color="auto" w:sz="4" w:space="0"/>
                  </w:tcBorders>
                  <w:shd w:val="clear" w:color="auto" w:fill="auto"/>
                  <w:vAlign w:val="center"/>
                </w:tcPr>
                <w:p w14:paraId="4AE8543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4DF2C706">
                  <w:pPr>
                    <w:autoSpaceDE w:val="0"/>
                    <w:autoSpaceDN w:val="0"/>
                    <w:adjustRightInd w:val="0"/>
                    <w:jc w:val="center"/>
                    <w:rPr>
                      <w:rFonts w:hint="default" w:ascii="Times New Roman" w:hAnsi="Times New Roman" w:cs="Times New Roman"/>
                      <w:kern w:val="0"/>
                      <w:highlight w:val="none"/>
                    </w:rPr>
                  </w:pPr>
                </w:p>
              </w:tc>
            </w:tr>
            <w:tr w14:paraId="47BC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62AB3546">
                  <w:pPr>
                    <w:autoSpaceDE w:val="0"/>
                    <w:autoSpaceDN w:val="0"/>
                    <w:adjustRightIn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highlight w:val="none"/>
                    </w:rPr>
                    <w:t>废润滑油</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5D2796EB">
                  <w:pPr>
                    <w:autoSpaceDE w:val="0"/>
                    <w:autoSpaceDN w:val="0"/>
                    <w:adjustRightIn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highlight w:val="none"/>
                    </w:rPr>
                    <w:t>润滑油</w:t>
                  </w:r>
                </w:p>
              </w:tc>
              <w:tc>
                <w:tcPr>
                  <w:tcW w:w="1995" w:type="dxa"/>
                  <w:vMerge w:val="restart"/>
                  <w:tcBorders>
                    <w:left w:val="single" w:color="auto" w:sz="4" w:space="0"/>
                    <w:right w:val="single" w:color="auto" w:sz="4" w:space="0"/>
                  </w:tcBorders>
                  <w:shd w:val="clear" w:color="auto" w:fill="auto"/>
                  <w:vAlign w:val="center"/>
                </w:tcPr>
                <w:p w14:paraId="52D5A31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委托有资质单位处置</w:t>
                  </w:r>
                </w:p>
              </w:tc>
              <w:tc>
                <w:tcPr>
                  <w:tcW w:w="1081" w:type="dxa"/>
                  <w:tcBorders>
                    <w:top w:val="single" w:color="auto" w:sz="4" w:space="0"/>
                    <w:left w:val="single" w:color="auto" w:sz="4" w:space="0"/>
                    <w:right w:val="single" w:color="auto" w:sz="4" w:space="0"/>
                  </w:tcBorders>
                  <w:shd w:val="clear" w:color="auto" w:fill="auto"/>
                  <w:vAlign w:val="center"/>
                </w:tcPr>
                <w:p w14:paraId="68DD9A04">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186A794D">
                  <w:pPr>
                    <w:autoSpaceDE w:val="0"/>
                    <w:autoSpaceDN w:val="0"/>
                    <w:adjustRightInd w:val="0"/>
                    <w:jc w:val="center"/>
                    <w:rPr>
                      <w:rFonts w:hint="default" w:ascii="Times New Roman" w:hAnsi="Times New Roman" w:cs="Times New Roman"/>
                      <w:kern w:val="0"/>
                      <w:highlight w:val="none"/>
                    </w:rPr>
                  </w:pPr>
                </w:p>
              </w:tc>
            </w:tr>
            <w:tr w14:paraId="21C5F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1B8BE492">
                  <w:pPr>
                    <w:autoSpaceDE w:val="0"/>
                    <w:autoSpaceDN w:val="0"/>
                    <w:adjustRightIn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highlight w:val="none"/>
                    </w:rPr>
                    <w:t>废润滑油桶</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60CC7434">
                  <w:pPr>
                    <w:autoSpaceDE w:val="0"/>
                    <w:autoSpaceDN w:val="0"/>
                    <w:adjustRightIn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highlight w:val="none"/>
                    </w:rPr>
                    <w:t>润滑油</w:t>
                  </w:r>
                </w:p>
              </w:tc>
              <w:tc>
                <w:tcPr>
                  <w:tcW w:w="1995" w:type="dxa"/>
                  <w:vMerge w:val="continue"/>
                  <w:tcBorders>
                    <w:left w:val="single" w:color="auto" w:sz="4" w:space="0"/>
                    <w:right w:val="single" w:color="auto" w:sz="4" w:space="0"/>
                  </w:tcBorders>
                  <w:shd w:val="clear" w:color="auto" w:fill="auto"/>
                  <w:vAlign w:val="center"/>
                </w:tcPr>
                <w:p w14:paraId="1E92CD74">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right w:val="single" w:color="auto" w:sz="4" w:space="0"/>
                  </w:tcBorders>
                  <w:shd w:val="clear" w:color="auto" w:fill="auto"/>
                  <w:vAlign w:val="center"/>
                </w:tcPr>
                <w:p w14:paraId="00E09776">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431F45CF">
                  <w:pPr>
                    <w:autoSpaceDE w:val="0"/>
                    <w:autoSpaceDN w:val="0"/>
                    <w:adjustRightInd w:val="0"/>
                    <w:jc w:val="center"/>
                    <w:rPr>
                      <w:rFonts w:hint="default" w:ascii="Times New Roman" w:hAnsi="Times New Roman" w:cs="Times New Roman"/>
                      <w:kern w:val="0"/>
                      <w:highlight w:val="none"/>
                    </w:rPr>
                  </w:pPr>
                </w:p>
              </w:tc>
            </w:tr>
            <w:tr w14:paraId="2A77A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left w:val="single" w:color="auto" w:sz="4" w:space="0"/>
                    <w:right w:val="single" w:color="auto" w:sz="4" w:space="0"/>
                  </w:tcBorders>
                  <w:shd w:val="clear" w:color="auto" w:fill="auto"/>
                  <w:vAlign w:val="center"/>
                </w:tcPr>
                <w:p w14:paraId="43627814">
                  <w:pPr>
                    <w:autoSpaceDE w:val="0"/>
                    <w:autoSpaceDN w:val="0"/>
                    <w:adjustRightInd w:val="0"/>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kern w:val="0"/>
                      <w:highlight w:val="none"/>
                    </w:rPr>
                    <w:t>废活性炭</w:t>
                  </w:r>
                  <w:r>
                    <w:rPr>
                      <w:rFonts w:hint="eastAsia" w:cs="Times New Roman"/>
                      <w:kern w:val="0"/>
                      <w:highlight w:val="none"/>
                      <w:lang w:val="en-US" w:eastAsia="zh-CN"/>
                    </w:rPr>
                    <w:t>S4</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14:paraId="33A56172">
                  <w:pPr>
                    <w:autoSpaceDE w:val="0"/>
                    <w:autoSpaceDN w:val="0"/>
                    <w:adjustRightInd w:val="0"/>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6A982582">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right w:val="single" w:color="auto" w:sz="4" w:space="0"/>
                  </w:tcBorders>
                  <w:vAlign w:val="center"/>
                </w:tcPr>
                <w:p w14:paraId="69E3D6E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64B90EBF">
                  <w:pPr>
                    <w:autoSpaceDE w:val="0"/>
                    <w:autoSpaceDN w:val="0"/>
                    <w:adjustRightInd w:val="0"/>
                    <w:jc w:val="center"/>
                    <w:rPr>
                      <w:rFonts w:hint="default" w:ascii="Times New Roman" w:hAnsi="Times New Roman" w:cs="Times New Roman"/>
                      <w:kern w:val="0"/>
                      <w:highlight w:val="none"/>
                    </w:rPr>
                  </w:pPr>
                </w:p>
              </w:tc>
            </w:tr>
            <w:tr w14:paraId="19944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top w:val="single" w:color="auto" w:sz="4" w:space="0"/>
                    <w:left w:val="single" w:color="auto" w:sz="4" w:space="0"/>
                    <w:bottom w:val="single" w:color="auto" w:sz="4" w:space="0"/>
                    <w:right w:val="single" w:color="auto" w:sz="4" w:space="0"/>
                  </w:tcBorders>
                  <w:vAlign w:val="center"/>
                </w:tcPr>
                <w:p w14:paraId="3861C37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噪声</w:t>
                  </w:r>
                </w:p>
              </w:tc>
            </w:tr>
            <w:tr w14:paraId="76ED8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4" w:type="dxa"/>
                  <w:tcBorders>
                    <w:top w:val="single" w:color="auto" w:sz="4" w:space="0"/>
                    <w:left w:val="single" w:color="auto" w:sz="4" w:space="0"/>
                    <w:bottom w:val="single" w:color="auto" w:sz="4" w:space="0"/>
                    <w:right w:val="single" w:color="auto" w:sz="4" w:space="0"/>
                  </w:tcBorders>
                  <w:vAlign w:val="center"/>
                </w:tcPr>
                <w:p w14:paraId="695CB4A0">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泵、风机等机械设备</w:t>
                  </w:r>
                </w:p>
              </w:tc>
              <w:tc>
                <w:tcPr>
                  <w:tcW w:w="1460" w:type="dxa"/>
                  <w:tcBorders>
                    <w:top w:val="single" w:color="auto" w:sz="4" w:space="0"/>
                    <w:left w:val="single" w:color="auto" w:sz="4" w:space="0"/>
                    <w:bottom w:val="single" w:color="auto" w:sz="4" w:space="0"/>
                    <w:right w:val="single" w:color="auto" w:sz="4" w:space="0"/>
                  </w:tcBorders>
                  <w:vAlign w:val="center"/>
                </w:tcPr>
                <w:p w14:paraId="248A5437">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w:t>
                  </w:r>
                </w:p>
              </w:tc>
              <w:tc>
                <w:tcPr>
                  <w:tcW w:w="1995" w:type="dxa"/>
                  <w:tcBorders>
                    <w:top w:val="single" w:color="auto" w:sz="4" w:space="0"/>
                    <w:left w:val="single" w:color="auto" w:sz="4" w:space="0"/>
                    <w:bottom w:val="single" w:color="auto" w:sz="4" w:space="0"/>
                    <w:right w:val="single" w:color="auto" w:sz="4" w:space="0"/>
                  </w:tcBorders>
                  <w:vAlign w:val="center"/>
                </w:tcPr>
                <w:p w14:paraId="69CD7FA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基础减振、低噪声设备、室内布置</w:t>
                  </w:r>
                </w:p>
              </w:tc>
              <w:tc>
                <w:tcPr>
                  <w:tcW w:w="1081" w:type="dxa"/>
                  <w:tcBorders>
                    <w:top w:val="single" w:color="auto" w:sz="4" w:space="0"/>
                    <w:left w:val="single" w:color="auto" w:sz="4" w:space="0"/>
                    <w:bottom w:val="single" w:color="auto" w:sz="4" w:space="0"/>
                    <w:right w:val="single" w:color="auto" w:sz="4" w:space="0"/>
                  </w:tcBorders>
                  <w:vAlign w:val="center"/>
                </w:tcPr>
                <w:p w14:paraId="0BA6C997">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连续</w:t>
                  </w:r>
                </w:p>
              </w:tc>
              <w:tc>
                <w:tcPr>
                  <w:tcW w:w="2426" w:type="dxa"/>
                  <w:gridSpan w:val="2"/>
                  <w:tcBorders>
                    <w:top w:val="single" w:color="auto" w:sz="4" w:space="0"/>
                    <w:left w:val="single" w:color="auto" w:sz="4" w:space="0"/>
                    <w:bottom w:val="single" w:color="auto" w:sz="4" w:space="0"/>
                    <w:right w:val="single" w:color="auto" w:sz="4" w:space="0"/>
                  </w:tcBorders>
                  <w:vAlign w:val="center"/>
                </w:tcPr>
                <w:p w14:paraId="189067DF">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w:t>
                  </w:r>
                </w:p>
              </w:tc>
            </w:tr>
          </w:tbl>
          <w:p w14:paraId="2F9B4D53">
            <w:pPr>
              <w:spacing w:before="120" w:beforeLines="50" w:line="360" w:lineRule="auto"/>
              <w:ind w:firstLine="480" w:firstLineChars="200"/>
              <w:rPr>
                <w:rFonts w:hint="default" w:ascii="Times New Roman" w:hAnsi="Times New Roman" w:cs="Times New Roman"/>
                <w:sz w:val="24"/>
                <w:highlight w:val="none"/>
              </w:rPr>
            </w:pPr>
          </w:p>
        </w:tc>
      </w:tr>
      <w:tr w14:paraId="04A01D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5" w:hRule="atLeast"/>
          <w:jc w:val="center"/>
        </w:trPr>
        <w:tc>
          <w:tcPr>
            <w:tcW w:w="271" w:type="pct"/>
            <w:vAlign w:val="center"/>
          </w:tcPr>
          <w:p w14:paraId="48AFBFB7">
            <w:pPr>
              <w:pStyle w:val="42"/>
              <w:adjustRightInd w:val="0"/>
              <w:snapToGrid w:val="0"/>
              <w:spacing w:before="0" w:beforeAutospacing="0" w:after="0" w:afterAutospacing="0"/>
              <w:jc w:val="center"/>
              <w:rPr>
                <w:rFonts w:hint="default" w:ascii="Times New Roman" w:hAnsi="Times New Roman" w:eastAsia="黑体" w:cs="Times New Roman"/>
                <w:szCs w:val="24"/>
                <w:highlight w:val="none"/>
              </w:rPr>
            </w:pPr>
            <w:r>
              <w:rPr>
                <w:rFonts w:hint="default" w:ascii="Times New Roman" w:hAnsi="Times New Roman" w:cs="Times New Roman"/>
                <w:bCs/>
                <w:kern w:val="2"/>
                <w:szCs w:val="24"/>
                <w:highlight w:val="none"/>
              </w:rPr>
              <w:t>与项目有关的原有环境污染问题</w:t>
            </w:r>
          </w:p>
        </w:tc>
        <w:tc>
          <w:tcPr>
            <w:tcW w:w="4728" w:type="pct"/>
            <w:vAlign w:val="center"/>
          </w:tcPr>
          <w:p w14:paraId="1BFE59D9">
            <w:pPr>
              <w:spacing w:line="360" w:lineRule="auto"/>
              <w:ind w:firstLine="480" w:firstLineChars="200"/>
              <w:rPr>
                <w:rFonts w:hint="default" w:ascii="Times New Roman" w:hAnsi="Times New Roman" w:cs="Times New Roman"/>
                <w:highlight w:val="none"/>
              </w:rPr>
            </w:pPr>
            <w:r>
              <w:rPr>
                <w:rFonts w:hint="default" w:ascii="Times New Roman" w:hAnsi="Times New Roman" w:eastAsia="宋体" w:cs="Times New Roman"/>
                <w:kern w:val="0"/>
                <w:sz w:val="24"/>
                <w:szCs w:val="22"/>
                <w:highlight w:val="none"/>
              </w:rPr>
              <w:t>本项目为新建项目，租赁</w:t>
            </w:r>
            <w:r>
              <w:rPr>
                <w:rFonts w:hint="eastAsia" w:ascii="Times New Roman" w:hAnsi="Times New Roman" w:eastAsia="宋体" w:cs="Times New Roman"/>
                <w:kern w:val="0"/>
                <w:sz w:val="24"/>
                <w:szCs w:val="22"/>
                <w:highlight w:val="none"/>
                <w:lang w:val="en-US" w:eastAsia="zh-CN"/>
              </w:rPr>
              <w:t>现有</w:t>
            </w:r>
            <w:r>
              <w:rPr>
                <w:rFonts w:hint="default" w:ascii="Times New Roman" w:hAnsi="Times New Roman" w:eastAsia="宋体" w:cs="Times New Roman"/>
                <w:kern w:val="0"/>
                <w:sz w:val="24"/>
                <w:szCs w:val="22"/>
                <w:highlight w:val="none"/>
              </w:rPr>
              <w:t>车间进行建设。厂房内无任何遗留设备，厂房地面均已硬化，无原有污染情况。</w:t>
            </w:r>
          </w:p>
        </w:tc>
      </w:tr>
    </w:tbl>
    <w:p w14:paraId="0DAB3D9E">
      <w:pPr>
        <w:pStyle w:val="42"/>
        <w:adjustRightInd w:val="0"/>
        <w:snapToGrid w:val="0"/>
        <w:spacing w:before="0" w:beforeAutospacing="0" w:after="0" w:afterAutospacing="0"/>
        <w:rPr>
          <w:rFonts w:hint="default" w:ascii="Times New Roman" w:hAnsi="Times New Roman" w:eastAsia="黑体" w:cs="Times New Roman"/>
          <w:bCs/>
          <w:kern w:val="2"/>
          <w:szCs w:val="24"/>
          <w:highlight w:val="none"/>
        </w:rPr>
        <w:sectPr>
          <w:pgSz w:w="11906" w:h="16838"/>
          <w:pgMar w:top="1440" w:right="1080" w:bottom="1440" w:left="1080" w:header="851" w:footer="851" w:gutter="0"/>
          <w:cols w:space="720" w:num="1"/>
          <w:docGrid w:linePitch="312" w:charSpace="0"/>
        </w:sectPr>
      </w:pPr>
    </w:p>
    <w:p w14:paraId="7D678D8B">
      <w:pPr>
        <w:pStyle w:val="42"/>
        <w:spacing w:before="0" w:beforeAutospacing="0" w:after="0" w:afterAutospacing="0" w:line="360" w:lineRule="auto"/>
        <w:jc w:val="center"/>
        <w:outlineLvl w:val="0"/>
        <w:rPr>
          <w:rFonts w:hint="default" w:ascii="Times New Roman" w:hAnsi="Times New Roman" w:eastAsia="黑体" w:cs="Times New Roman"/>
          <w:b/>
          <w:bCs/>
          <w:snapToGrid w:val="0"/>
          <w:sz w:val="30"/>
          <w:szCs w:val="30"/>
          <w:highlight w:val="none"/>
        </w:rPr>
      </w:pPr>
      <w:r>
        <w:rPr>
          <w:rFonts w:hint="default" w:ascii="Times New Roman" w:hAnsi="Times New Roman" w:eastAsia="黑体" w:cs="Times New Roman"/>
          <w:b/>
          <w:bCs/>
          <w:snapToGrid w:val="0"/>
          <w:sz w:val="30"/>
          <w:szCs w:val="30"/>
          <w:highlight w:val="none"/>
        </w:rPr>
        <w:t>三、区域环境质量现状、环境保护目标及评价标准</w:t>
      </w:r>
    </w:p>
    <w:tbl>
      <w:tblPr>
        <w:tblStyle w:val="47"/>
        <w:tblW w:w="496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8"/>
        <w:gridCol w:w="9377"/>
      </w:tblGrid>
      <w:tr w14:paraId="68C709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05" w:hRule="atLeast"/>
          <w:jc w:val="center"/>
        </w:trPr>
        <w:tc>
          <w:tcPr>
            <w:tcW w:w="257" w:type="pct"/>
            <w:vAlign w:val="center"/>
          </w:tcPr>
          <w:p w14:paraId="08AE01B7">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区域</w:t>
            </w:r>
          </w:p>
          <w:p w14:paraId="16847278">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环境</w:t>
            </w:r>
          </w:p>
          <w:p w14:paraId="722826C7">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质量</w:t>
            </w:r>
          </w:p>
          <w:p w14:paraId="0964A18C">
            <w:pPr>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 w:val="24"/>
                <w:highlight w:val="none"/>
              </w:rPr>
              <w:t>现状</w:t>
            </w:r>
          </w:p>
        </w:tc>
        <w:tc>
          <w:tcPr>
            <w:tcW w:w="4742" w:type="pct"/>
            <w:vAlign w:val="center"/>
          </w:tcPr>
          <w:p w14:paraId="74963812">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1、环境空气</w:t>
            </w:r>
          </w:p>
          <w:p w14:paraId="41F1FDEE">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根据淄博市生态环境委员会办公室2024年2月4日发布的《生态淄博建设工作简报--2023年12月份及全年环境空气质量情况通报》，临淄区2023年度环境空气质量状况及达标判断结果如下：</w:t>
            </w:r>
          </w:p>
          <w:p w14:paraId="7BA762CF">
            <w:pPr>
              <w:spacing w:line="360" w:lineRule="auto"/>
              <w:ind w:firstLine="482" w:firstLineChars="20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表3-1  临淄区2023年度环境空气质量状况</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83"/>
              <w:gridCol w:w="3552"/>
              <w:gridCol w:w="1534"/>
              <w:gridCol w:w="1502"/>
              <w:gridCol w:w="1480"/>
            </w:tblGrid>
            <w:tr w14:paraId="2AE7B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5F8686C0">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污染物</w:t>
                  </w:r>
                </w:p>
              </w:tc>
              <w:tc>
                <w:tcPr>
                  <w:tcW w:w="3095" w:type="dxa"/>
                  <w:tcBorders>
                    <w:tl2br w:val="nil"/>
                    <w:tr2bl w:val="nil"/>
                  </w:tcBorders>
                  <w:vAlign w:val="center"/>
                </w:tcPr>
                <w:p w14:paraId="46EC4EC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评价指标</w:t>
                  </w:r>
                </w:p>
              </w:tc>
              <w:tc>
                <w:tcPr>
                  <w:tcW w:w="1337" w:type="dxa"/>
                  <w:tcBorders>
                    <w:tl2br w:val="nil"/>
                    <w:tr2bl w:val="nil"/>
                  </w:tcBorders>
                  <w:vAlign w:val="center"/>
                </w:tcPr>
                <w:p w14:paraId="72976975">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参比浓度</w:t>
                  </w:r>
                </w:p>
              </w:tc>
              <w:tc>
                <w:tcPr>
                  <w:tcW w:w="1309" w:type="dxa"/>
                  <w:tcBorders>
                    <w:tl2br w:val="nil"/>
                    <w:tr2bl w:val="nil"/>
                  </w:tcBorders>
                  <w:vAlign w:val="center"/>
                </w:tcPr>
                <w:p w14:paraId="35B591A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标准值</w:t>
                  </w:r>
                </w:p>
              </w:tc>
              <w:tc>
                <w:tcPr>
                  <w:tcW w:w="1290" w:type="dxa"/>
                  <w:tcBorders>
                    <w:tl2br w:val="nil"/>
                    <w:tr2bl w:val="nil"/>
                  </w:tcBorders>
                  <w:vAlign w:val="center"/>
                </w:tcPr>
                <w:p w14:paraId="11A2BAD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达标情况</w:t>
                  </w:r>
                </w:p>
              </w:tc>
            </w:tr>
            <w:tr w14:paraId="70691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1767463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SO</w:t>
                  </w:r>
                  <w:r>
                    <w:rPr>
                      <w:rFonts w:hint="default" w:ascii="Times New Roman" w:hAnsi="Times New Roman" w:cs="Times New Roman"/>
                      <w:szCs w:val="21"/>
                      <w:highlight w:val="none"/>
                      <w:vertAlign w:val="subscript"/>
                    </w:rPr>
                    <w:t>2</w:t>
                  </w:r>
                </w:p>
              </w:tc>
              <w:tc>
                <w:tcPr>
                  <w:tcW w:w="3095" w:type="dxa"/>
                  <w:tcBorders>
                    <w:tl2br w:val="nil"/>
                    <w:tr2bl w:val="nil"/>
                  </w:tcBorders>
                  <w:vAlign w:val="center"/>
                </w:tcPr>
                <w:p w14:paraId="6FFC9EA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495FC9EE">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12ug/m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7AD2982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60ug/m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7C234709">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05F4C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0B0B1A55">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NO</w:t>
                  </w:r>
                  <w:r>
                    <w:rPr>
                      <w:rFonts w:hint="default" w:ascii="Times New Roman" w:hAnsi="Times New Roman" w:cs="Times New Roman"/>
                      <w:szCs w:val="21"/>
                      <w:highlight w:val="none"/>
                      <w:vertAlign w:val="subscript"/>
                    </w:rPr>
                    <w:t>2</w:t>
                  </w:r>
                </w:p>
              </w:tc>
              <w:tc>
                <w:tcPr>
                  <w:tcW w:w="3095" w:type="dxa"/>
                  <w:tcBorders>
                    <w:tl2br w:val="nil"/>
                    <w:tr2bl w:val="nil"/>
                  </w:tcBorders>
                  <w:vAlign w:val="center"/>
                </w:tcPr>
                <w:p w14:paraId="43FDD491">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7BD0A686">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31ug/m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0E91597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40ug/m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79211A24">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4ED13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1B41AA5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PM</w:t>
                  </w:r>
                  <w:r>
                    <w:rPr>
                      <w:rFonts w:hint="default" w:ascii="Times New Roman" w:hAnsi="Times New Roman" w:cs="Times New Roman"/>
                      <w:szCs w:val="21"/>
                      <w:highlight w:val="none"/>
                      <w:vertAlign w:val="subscript"/>
                    </w:rPr>
                    <w:t>10</w:t>
                  </w:r>
                </w:p>
              </w:tc>
              <w:tc>
                <w:tcPr>
                  <w:tcW w:w="3095" w:type="dxa"/>
                  <w:tcBorders>
                    <w:tl2br w:val="nil"/>
                    <w:tr2bl w:val="nil"/>
                  </w:tcBorders>
                  <w:vAlign w:val="center"/>
                </w:tcPr>
                <w:p w14:paraId="413146E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1A7A6164">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75ug/m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63F6FFC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70ug/m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15BEABCB">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不达标</w:t>
                  </w:r>
                </w:p>
              </w:tc>
            </w:tr>
            <w:tr w14:paraId="6BD70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4B360EE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PM</w:t>
                  </w:r>
                  <w:r>
                    <w:rPr>
                      <w:rFonts w:hint="default" w:ascii="Times New Roman" w:hAnsi="Times New Roman" w:cs="Times New Roman"/>
                      <w:szCs w:val="21"/>
                      <w:highlight w:val="none"/>
                      <w:vertAlign w:val="subscript"/>
                    </w:rPr>
                    <w:t>2.5</w:t>
                  </w:r>
                </w:p>
              </w:tc>
              <w:tc>
                <w:tcPr>
                  <w:tcW w:w="3095" w:type="dxa"/>
                  <w:tcBorders>
                    <w:tl2br w:val="nil"/>
                    <w:tr2bl w:val="nil"/>
                  </w:tcBorders>
                  <w:vAlign w:val="center"/>
                </w:tcPr>
                <w:p w14:paraId="73E75D3B">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0DF0970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40ug/m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61DF6F83">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35ug/m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53C5F1B8">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不达标</w:t>
                  </w:r>
                </w:p>
              </w:tc>
            </w:tr>
            <w:tr w14:paraId="32B53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3329A9B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CO</w:t>
                  </w:r>
                </w:p>
              </w:tc>
              <w:tc>
                <w:tcPr>
                  <w:tcW w:w="3095" w:type="dxa"/>
                  <w:tcBorders>
                    <w:tl2br w:val="nil"/>
                    <w:tr2bl w:val="nil"/>
                  </w:tcBorders>
                  <w:vAlign w:val="center"/>
                </w:tcPr>
                <w:p w14:paraId="6061C340">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保证率日平均质量浓度</w:t>
                  </w:r>
                </w:p>
              </w:tc>
              <w:tc>
                <w:tcPr>
                  <w:tcW w:w="1337" w:type="dxa"/>
                  <w:tcBorders>
                    <w:tl2br w:val="nil"/>
                    <w:tr2bl w:val="nil"/>
                  </w:tcBorders>
                  <w:vAlign w:val="center"/>
                </w:tcPr>
                <w:p w14:paraId="218C574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1.7mg/m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1FFDF1C7">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4mg/m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6C3119B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61F23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6CC73274">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O</w:t>
                  </w:r>
                  <w:r>
                    <w:rPr>
                      <w:rFonts w:hint="default" w:ascii="Times New Roman" w:hAnsi="Times New Roman" w:cs="Times New Roman"/>
                      <w:szCs w:val="21"/>
                      <w:highlight w:val="none"/>
                      <w:vertAlign w:val="subscript"/>
                    </w:rPr>
                    <w:t>3</w:t>
                  </w:r>
                </w:p>
              </w:tc>
              <w:tc>
                <w:tcPr>
                  <w:tcW w:w="3095" w:type="dxa"/>
                  <w:tcBorders>
                    <w:tl2br w:val="nil"/>
                    <w:tr2bl w:val="nil"/>
                  </w:tcBorders>
                  <w:vAlign w:val="center"/>
                </w:tcPr>
                <w:p w14:paraId="30E7842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保证率日最大8h平均质量浓度</w:t>
                  </w:r>
                </w:p>
              </w:tc>
              <w:tc>
                <w:tcPr>
                  <w:tcW w:w="1337" w:type="dxa"/>
                  <w:tcBorders>
                    <w:tl2br w:val="nil"/>
                    <w:tr2bl w:val="nil"/>
                  </w:tcBorders>
                  <w:vAlign w:val="center"/>
                </w:tcPr>
                <w:p w14:paraId="3CC68BE3">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191ug/m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27F15FA1">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160ug/m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71EE66F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不达标</w:t>
                  </w:r>
                </w:p>
              </w:tc>
            </w:tr>
          </w:tbl>
          <w:p w14:paraId="2450B469">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由上表可知，临淄区2023年度PM</w:t>
            </w:r>
            <w:r>
              <w:rPr>
                <w:rFonts w:hint="default" w:ascii="Times New Roman" w:hAnsi="Times New Roman" w:cs="Times New Roman"/>
                <w:sz w:val="24"/>
                <w:highlight w:val="none"/>
                <w:vertAlign w:val="subscript"/>
              </w:rPr>
              <w:t>10</w:t>
            </w:r>
            <w:r>
              <w:rPr>
                <w:rFonts w:hint="default" w:ascii="Times New Roman" w:hAnsi="Times New Roman" w:cs="Times New Roman"/>
                <w:sz w:val="24"/>
                <w:highlight w:val="none"/>
              </w:rPr>
              <w:t>、PM</w:t>
            </w:r>
            <w:r>
              <w:rPr>
                <w:rFonts w:hint="default" w:ascii="Times New Roman" w:hAnsi="Times New Roman" w:cs="Times New Roman"/>
                <w:sz w:val="24"/>
                <w:highlight w:val="none"/>
                <w:vertAlign w:val="subscript"/>
              </w:rPr>
              <w:t>2.5</w:t>
            </w:r>
            <w:r>
              <w:rPr>
                <w:rFonts w:hint="default" w:ascii="Times New Roman" w:hAnsi="Times New Roman" w:cs="Times New Roman"/>
                <w:sz w:val="24"/>
                <w:highlight w:val="none"/>
              </w:rPr>
              <w:t>及O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不能满足《环境空气质量标准》（GB3095-2012）及其修改单中二级标准要求。因此本项目所在区域环境空气质量属于不达标区。</w:t>
            </w:r>
          </w:p>
          <w:p w14:paraId="4725F1D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为切实做好大气污染防治工作，全面完成空气质量改善目标任务，山东省生态环境主管部门相继出台了《关于加强</w:t>
            </w:r>
            <w:r>
              <w:rPr>
                <w:rFonts w:hint="eastAsia" w:cs="Times New Roman"/>
                <w:sz w:val="24"/>
                <w:highlight w:val="none"/>
                <w:lang w:eastAsia="zh-CN"/>
              </w:rPr>
              <w:t>“</w:t>
            </w:r>
            <w:r>
              <w:rPr>
                <w:rFonts w:hint="default" w:ascii="Times New Roman" w:hAnsi="Times New Roman" w:cs="Times New Roman"/>
                <w:sz w:val="24"/>
                <w:highlight w:val="none"/>
              </w:rPr>
              <w:t>两高</w:t>
            </w:r>
            <w:r>
              <w:rPr>
                <w:rFonts w:hint="eastAsia" w:cs="Times New Roman"/>
                <w:sz w:val="24"/>
                <w:highlight w:val="none"/>
                <w:lang w:eastAsia="zh-CN"/>
              </w:rPr>
              <w:t>”</w:t>
            </w:r>
            <w:r>
              <w:rPr>
                <w:rFonts w:hint="default" w:ascii="Times New Roman" w:hAnsi="Times New Roman" w:cs="Times New Roman"/>
                <w:sz w:val="24"/>
                <w:highlight w:val="none"/>
              </w:rPr>
              <w:t>项目管理的通知》、《山东省深入打好蓝天保卫战行动计划（2021—2025年）》等政策文件，淄博市人民政府及淄博市生态环境主管部门相继出台了《淄博市</w:t>
            </w:r>
            <w:r>
              <w:rPr>
                <w:rFonts w:hint="eastAsia" w:cs="Times New Roman"/>
                <w:sz w:val="24"/>
                <w:highlight w:val="none"/>
                <w:lang w:eastAsia="zh-CN"/>
              </w:rPr>
              <w:t>“</w:t>
            </w:r>
            <w:r>
              <w:rPr>
                <w:rFonts w:hint="default" w:ascii="Times New Roman" w:hAnsi="Times New Roman" w:cs="Times New Roman"/>
                <w:sz w:val="24"/>
                <w:highlight w:val="none"/>
              </w:rPr>
              <w:t>三线一单</w:t>
            </w:r>
            <w:r>
              <w:rPr>
                <w:rFonts w:hint="eastAsia" w:cs="Times New Roman"/>
                <w:sz w:val="24"/>
                <w:highlight w:val="none"/>
                <w:lang w:eastAsia="zh-CN"/>
              </w:rPr>
              <w:t>”</w:t>
            </w:r>
            <w:r>
              <w:rPr>
                <w:rFonts w:hint="default" w:ascii="Times New Roman" w:hAnsi="Times New Roman" w:cs="Times New Roman"/>
                <w:sz w:val="24"/>
                <w:highlight w:val="none"/>
              </w:rPr>
              <w:t>生态环境准入清单》、《淄博市人民政府关于印发淄博市</w:t>
            </w:r>
            <w:r>
              <w:rPr>
                <w:rFonts w:hint="eastAsia" w:cs="Times New Roman"/>
                <w:sz w:val="24"/>
                <w:highlight w:val="none"/>
                <w:lang w:eastAsia="zh-CN"/>
              </w:rPr>
              <w:t>“</w:t>
            </w:r>
            <w:r>
              <w:rPr>
                <w:rFonts w:hint="default" w:ascii="Times New Roman" w:hAnsi="Times New Roman" w:cs="Times New Roman"/>
                <w:sz w:val="24"/>
                <w:highlight w:val="none"/>
              </w:rPr>
              <w:t>三线一单</w:t>
            </w:r>
            <w:r>
              <w:rPr>
                <w:rFonts w:hint="eastAsia" w:cs="Times New Roman"/>
                <w:sz w:val="24"/>
                <w:highlight w:val="none"/>
                <w:lang w:eastAsia="zh-CN"/>
              </w:rPr>
              <w:t>”</w:t>
            </w:r>
            <w:r>
              <w:rPr>
                <w:rFonts w:hint="default" w:ascii="Times New Roman" w:hAnsi="Times New Roman" w:cs="Times New Roman"/>
                <w:sz w:val="24"/>
                <w:highlight w:val="none"/>
              </w:rPr>
              <w:t>生态环境分区管控方案的通知》等文件，全方位整治工业炉窑大气污染物、挥发性有机物及工业企业扬尘，上述大气污染治理措施落实后，区域环境空气质量将得以改善。根据临淄区人民政府《关于印发临淄区国民经济和社会发展第十四个五年规划和2035年远景目标纲要的通知》（临政发〔2021〕3号），要求实施大气污染综合治理工程。深度治理二氧化硫、氮氧化物、颗粒物、挥发性有机物等污染物排放。加强机动车尾气检测与治理，加强城市道路扬尘、施工扬尘、堆场扬尘综合整治。临淄区通过开展一系列大气污染治理工程改善区域环境，区域环境空气质量将持续改善。</w:t>
            </w:r>
          </w:p>
          <w:p w14:paraId="15BAB851">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2、地表水环境</w:t>
            </w:r>
          </w:p>
          <w:p w14:paraId="373DC9A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根据《淄博市人民政府关于同意淄博市水功能区划的批复》（淄政字[2012]10号），该项目周围地表水体为</w:t>
            </w:r>
            <w:r>
              <w:rPr>
                <w:rFonts w:hint="eastAsia" w:cs="Times New Roman"/>
                <w:sz w:val="24"/>
                <w:highlight w:val="none"/>
                <w:lang w:val="en-US" w:eastAsia="zh-CN"/>
              </w:rPr>
              <w:t>运粮河</w:t>
            </w:r>
            <w:r>
              <w:rPr>
                <w:rFonts w:hint="default" w:ascii="Times New Roman" w:hAnsi="Times New Roman" w:cs="Times New Roman"/>
                <w:sz w:val="24"/>
                <w:highlight w:val="none"/>
              </w:rPr>
              <w:t>，根据</w:t>
            </w:r>
            <w:r>
              <w:rPr>
                <w:rFonts w:hint="eastAsia" w:cs="Times New Roman"/>
                <w:sz w:val="24"/>
                <w:highlight w:val="none"/>
                <w:lang w:eastAsia="zh-CN"/>
              </w:rPr>
              <w:t>2024年1月25日</w:t>
            </w:r>
            <w:r>
              <w:rPr>
                <w:rFonts w:hint="default" w:ascii="Times New Roman" w:hAnsi="Times New Roman" w:cs="Times New Roman"/>
                <w:sz w:val="24"/>
                <w:highlight w:val="none"/>
              </w:rPr>
              <w:t>淄博市生态环境局网站发布的《2023年1-12月全市地表水环境质量状况》可知，全市地表水监测断面均满足《地表水环境质量标准》（GB3838-2002）Ⅴ类标准要求。</w:t>
            </w:r>
          </w:p>
          <w:p w14:paraId="586DD76B">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3、声环境</w:t>
            </w:r>
          </w:p>
          <w:p w14:paraId="08EE1637">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本项目厂界外周边50m范围内为道路、企业，不存在声环境保护目标，无需开展声环境现状调查评价。本项目所在区域执行《声环境质量标准》（GB3096-2008）2类标准。</w:t>
            </w:r>
          </w:p>
          <w:p w14:paraId="30D6F680">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4、生态环境</w:t>
            </w:r>
          </w:p>
          <w:p w14:paraId="41BB6105">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本项目在现有厂区内进行建设，不新增用地指标，用地范围内不含生态环境保护目标，无需开展生态环境现状调查。</w:t>
            </w:r>
          </w:p>
          <w:p w14:paraId="4C85D276">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5、地下水、土壤环境</w:t>
            </w:r>
          </w:p>
          <w:p w14:paraId="44E7C3F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本项目废气、废水、固体废物均得到妥善处置，正常工况下不存在地下水、土壤环境污染途径，无</w:t>
            </w:r>
            <w:r>
              <w:rPr>
                <w:rFonts w:hint="eastAsia" w:cs="Times New Roman"/>
                <w:sz w:val="24"/>
                <w:highlight w:val="none"/>
                <w:lang w:eastAsia="zh-CN"/>
              </w:rPr>
              <w:t>需</w:t>
            </w:r>
            <w:r>
              <w:rPr>
                <w:rFonts w:hint="default" w:ascii="Times New Roman" w:hAnsi="Times New Roman" w:cs="Times New Roman"/>
                <w:sz w:val="24"/>
                <w:highlight w:val="none"/>
              </w:rPr>
              <w:t>开展地下水和土壤现状调查。</w:t>
            </w:r>
          </w:p>
          <w:p w14:paraId="0A54F4E8">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6、电磁辐射环境现状</w:t>
            </w:r>
          </w:p>
          <w:p w14:paraId="7844218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项目不属于新建或改建、扩建广播电台、差转台、电视塔台、卫星地球上行站、雷达等电磁辐射类项目，无需对电磁辐射现状开展监测与评价。</w:t>
            </w:r>
          </w:p>
        </w:tc>
      </w:tr>
      <w:tr w14:paraId="4D4199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8" w:hRule="atLeast"/>
          <w:jc w:val="center"/>
        </w:trPr>
        <w:tc>
          <w:tcPr>
            <w:tcW w:w="257" w:type="pct"/>
            <w:vAlign w:val="center"/>
          </w:tcPr>
          <w:p w14:paraId="36B86BDA">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环境</w:t>
            </w:r>
          </w:p>
          <w:p w14:paraId="5C0E55DF">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保护</w:t>
            </w:r>
          </w:p>
          <w:p w14:paraId="2D013763">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目标</w:t>
            </w:r>
          </w:p>
        </w:tc>
        <w:tc>
          <w:tcPr>
            <w:tcW w:w="4742" w:type="pct"/>
            <w:vAlign w:val="center"/>
          </w:tcPr>
          <w:p w14:paraId="22B68F9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根据调查，项目所在地周围无自然保护区、风景名胜区等敏感目标，项目周围主要环境保护目标及保护级别见下表。</w:t>
            </w:r>
          </w:p>
          <w:p w14:paraId="50B00174">
            <w:pPr>
              <w:pStyle w:val="155"/>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表3-2  主要环境保护目标分布一览表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2886"/>
              <w:gridCol w:w="1332"/>
              <w:gridCol w:w="1877"/>
              <w:gridCol w:w="1878"/>
            </w:tblGrid>
            <w:tr w14:paraId="07678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0B34984F">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2886" w:type="dxa"/>
                  <w:vAlign w:val="center"/>
                </w:tcPr>
                <w:p w14:paraId="7BC3C804">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环境保护目标</w:t>
                  </w:r>
                </w:p>
              </w:tc>
              <w:tc>
                <w:tcPr>
                  <w:tcW w:w="1332" w:type="dxa"/>
                  <w:vAlign w:val="center"/>
                </w:tcPr>
                <w:p w14:paraId="20DD3FEF">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方位</w:t>
                  </w:r>
                </w:p>
              </w:tc>
              <w:tc>
                <w:tcPr>
                  <w:tcW w:w="1877" w:type="dxa"/>
                  <w:vAlign w:val="center"/>
                </w:tcPr>
                <w:p w14:paraId="62EA7EAD">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距离（m）</w:t>
                  </w:r>
                </w:p>
              </w:tc>
              <w:tc>
                <w:tcPr>
                  <w:tcW w:w="1878" w:type="dxa"/>
                  <w:vAlign w:val="center"/>
                </w:tcPr>
                <w:p w14:paraId="590A9E4B">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人口（人）</w:t>
                  </w:r>
                </w:p>
              </w:tc>
            </w:tr>
            <w:tr w14:paraId="589BC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2AEE275E">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大气环境</w:t>
                  </w:r>
                </w:p>
              </w:tc>
              <w:tc>
                <w:tcPr>
                  <w:tcW w:w="2886" w:type="dxa"/>
                  <w:vAlign w:val="center"/>
                </w:tcPr>
                <w:p w14:paraId="0D691AB1">
                  <w:pPr>
                    <w:pStyle w:val="94"/>
                    <w:spacing w:before="24" w:after="24" w:line="276" w:lineRule="auto"/>
                    <w:rPr>
                      <w:rFonts w:hint="default" w:ascii="Times New Roman" w:hAnsi="Times New Roman" w:eastAsia="宋体" w:cs="Times New Roman"/>
                      <w:szCs w:val="21"/>
                      <w:highlight w:val="none"/>
                      <w:lang w:val="en-US" w:eastAsia="zh-CN"/>
                    </w:rPr>
                  </w:pPr>
                  <w:r>
                    <w:rPr>
                      <w:rFonts w:hint="eastAsia" w:ascii="Times New Roman" w:cs="Times New Roman"/>
                      <w:szCs w:val="21"/>
                      <w:highlight w:val="none"/>
                      <w:lang w:val="en-US" w:eastAsia="zh-CN"/>
                    </w:rPr>
                    <w:t>西于家村</w:t>
                  </w:r>
                </w:p>
              </w:tc>
              <w:tc>
                <w:tcPr>
                  <w:tcW w:w="1332" w:type="dxa"/>
                  <w:vAlign w:val="center"/>
                </w:tcPr>
                <w:p w14:paraId="1431AE1A">
                  <w:pPr>
                    <w:pStyle w:val="94"/>
                    <w:spacing w:before="24" w:after="24" w:line="276" w:lineRule="auto"/>
                    <w:rPr>
                      <w:rFonts w:hint="eastAsia" w:ascii="Times New Roman" w:hAnsi="Times New Roman" w:eastAsia="宋体" w:cs="Times New Roman"/>
                      <w:szCs w:val="21"/>
                      <w:highlight w:val="none"/>
                      <w:lang w:eastAsia="zh-CN"/>
                    </w:rPr>
                  </w:pPr>
                  <w:r>
                    <w:rPr>
                      <w:rFonts w:hint="eastAsia" w:ascii="Times New Roman" w:cs="Times New Roman"/>
                      <w:szCs w:val="21"/>
                      <w:highlight w:val="none"/>
                      <w:lang w:val="en-US" w:eastAsia="zh-CN"/>
                    </w:rPr>
                    <w:t>N</w:t>
                  </w:r>
                </w:p>
              </w:tc>
              <w:tc>
                <w:tcPr>
                  <w:tcW w:w="1877" w:type="dxa"/>
                  <w:vAlign w:val="center"/>
                </w:tcPr>
                <w:p w14:paraId="50F0DEF4">
                  <w:pPr>
                    <w:pStyle w:val="94"/>
                    <w:spacing w:before="24" w:after="24" w:line="276" w:lineRule="auto"/>
                    <w:rPr>
                      <w:rFonts w:hint="default" w:ascii="Times New Roman" w:hAnsi="Times New Roman" w:eastAsia="宋体" w:cs="Times New Roman"/>
                      <w:szCs w:val="21"/>
                      <w:highlight w:val="none"/>
                      <w:lang w:val="en-US" w:eastAsia="zh-CN"/>
                    </w:rPr>
                  </w:pPr>
                  <w:r>
                    <w:rPr>
                      <w:rFonts w:hint="eastAsia" w:ascii="Times New Roman" w:cs="Times New Roman"/>
                      <w:szCs w:val="21"/>
                      <w:highlight w:val="none"/>
                      <w:lang w:val="en-US" w:eastAsia="zh-CN"/>
                    </w:rPr>
                    <w:t>475</w:t>
                  </w:r>
                </w:p>
              </w:tc>
              <w:tc>
                <w:tcPr>
                  <w:tcW w:w="1878" w:type="dxa"/>
                  <w:vAlign w:val="center"/>
                </w:tcPr>
                <w:p w14:paraId="43A629BB">
                  <w:pPr>
                    <w:pStyle w:val="94"/>
                    <w:spacing w:before="24" w:after="24" w:line="276" w:lineRule="auto"/>
                    <w:rPr>
                      <w:rFonts w:hint="eastAsia" w:ascii="Times New Roman" w:hAnsi="Times New Roman" w:eastAsia="宋体" w:cs="Times New Roman"/>
                      <w:szCs w:val="21"/>
                      <w:highlight w:val="none"/>
                      <w:lang w:eastAsia="zh-CN"/>
                    </w:rPr>
                  </w:pPr>
                  <w:r>
                    <w:rPr>
                      <w:rFonts w:hint="eastAsia" w:ascii="Times New Roman" w:cs="Times New Roman"/>
                      <w:szCs w:val="21"/>
                      <w:highlight w:val="none"/>
                      <w:lang w:val="en-US" w:eastAsia="zh-CN"/>
                    </w:rPr>
                    <w:t>9</w:t>
                  </w:r>
                  <w:r>
                    <w:rPr>
                      <w:rFonts w:hint="default" w:ascii="Times New Roman" w:hAnsi="Times New Roman" w:cs="Times New Roman"/>
                      <w:szCs w:val="21"/>
                      <w:highlight w:val="none"/>
                    </w:rPr>
                    <w:t>8</w:t>
                  </w:r>
                  <w:r>
                    <w:rPr>
                      <w:rFonts w:hint="eastAsia" w:ascii="Times New Roman" w:cs="Times New Roman"/>
                      <w:szCs w:val="21"/>
                      <w:highlight w:val="none"/>
                      <w:lang w:val="en-US" w:eastAsia="zh-CN"/>
                    </w:rPr>
                    <w:t>3</w:t>
                  </w:r>
                </w:p>
              </w:tc>
            </w:tr>
            <w:tr w14:paraId="0919B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50114304">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声环境</w:t>
                  </w:r>
                </w:p>
              </w:tc>
              <w:tc>
                <w:tcPr>
                  <w:tcW w:w="7973" w:type="dxa"/>
                  <w:gridSpan w:val="4"/>
                  <w:vAlign w:val="center"/>
                </w:tcPr>
                <w:p w14:paraId="4144D7DB">
                  <w:pPr>
                    <w:pStyle w:val="94"/>
                    <w:spacing w:before="24" w:after="24" w:line="276" w:lineRule="auto"/>
                    <w:rPr>
                      <w:rFonts w:hint="default" w:ascii="Times New Roman" w:hAnsi="Times New Roman" w:cs="Times New Roman"/>
                      <w:szCs w:val="21"/>
                      <w:highlight w:val="none"/>
                    </w:rPr>
                  </w:pPr>
                  <w:r>
                    <w:rPr>
                      <w:rFonts w:hint="default" w:ascii="Times New Roman" w:hAnsi="Times New Roman" w:cs="Times New Roman"/>
                      <w:szCs w:val="21"/>
                      <w:highlight w:val="none"/>
                    </w:rPr>
                    <w:t>项目周围50m范围内无敏感点</w:t>
                  </w:r>
                </w:p>
              </w:tc>
            </w:tr>
            <w:tr w14:paraId="29972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3AEE9EF9">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地表水</w:t>
                  </w:r>
                </w:p>
              </w:tc>
              <w:tc>
                <w:tcPr>
                  <w:tcW w:w="2886" w:type="dxa"/>
                  <w:vAlign w:val="center"/>
                </w:tcPr>
                <w:p w14:paraId="6F557BC3">
                  <w:pPr>
                    <w:pStyle w:val="119"/>
                    <w:snapToGrid w:val="0"/>
                    <w:spacing w:line="276" w:lineRule="auto"/>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运粮河</w:t>
                  </w:r>
                </w:p>
              </w:tc>
              <w:tc>
                <w:tcPr>
                  <w:tcW w:w="1332" w:type="dxa"/>
                  <w:vAlign w:val="center"/>
                </w:tcPr>
                <w:p w14:paraId="3D79E8B8">
                  <w:pPr>
                    <w:snapToGrid w:val="0"/>
                    <w:spacing w:line="276" w:lineRule="auto"/>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N</w:t>
                  </w:r>
                </w:p>
              </w:tc>
              <w:tc>
                <w:tcPr>
                  <w:tcW w:w="1877" w:type="dxa"/>
                  <w:vAlign w:val="center"/>
                </w:tcPr>
                <w:p w14:paraId="08E19E82">
                  <w:pPr>
                    <w:snapToGrid w:val="0"/>
                    <w:spacing w:line="276" w:lineRule="auto"/>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423</w:t>
                  </w:r>
                </w:p>
              </w:tc>
              <w:tc>
                <w:tcPr>
                  <w:tcW w:w="1878" w:type="dxa"/>
                  <w:vAlign w:val="center"/>
                </w:tcPr>
                <w:p w14:paraId="528A9587">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4ADE5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27BEBF00">
                  <w:pPr>
                    <w:snapToGrid w:val="0"/>
                    <w:spacing w:line="276"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地下水</w:t>
                  </w:r>
                </w:p>
              </w:tc>
              <w:tc>
                <w:tcPr>
                  <w:tcW w:w="2886" w:type="dxa"/>
                  <w:shd w:val="clear" w:color="auto" w:fill="auto"/>
                  <w:vAlign w:val="center"/>
                </w:tcPr>
                <w:p w14:paraId="5BB23558">
                  <w:pPr>
                    <w:snapToGrid w:val="0"/>
                    <w:spacing w:line="276" w:lineRule="auto"/>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厂区周围</w:t>
                  </w:r>
                  <w:r>
                    <w:rPr>
                      <w:rFonts w:hint="eastAsia" w:ascii="Times New Roman" w:hAnsi="Times New Roman" w:eastAsia="宋体" w:cs="Times New Roman"/>
                      <w:szCs w:val="21"/>
                      <w:highlight w:val="none"/>
                      <w:lang w:val="en-US" w:eastAsia="zh-CN"/>
                    </w:rPr>
                    <w:t>500m范围内</w:t>
                  </w:r>
                </w:p>
              </w:tc>
              <w:tc>
                <w:tcPr>
                  <w:tcW w:w="1332" w:type="dxa"/>
                  <w:shd w:val="clear" w:color="auto" w:fill="auto"/>
                  <w:vAlign w:val="center"/>
                </w:tcPr>
                <w:p w14:paraId="5EB562B5">
                  <w:pPr>
                    <w:snapToGrid w:val="0"/>
                    <w:spacing w:line="276" w:lineRule="auto"/>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1877" w:type="dxa"/>
                  <w:shd w:val="clear" w:color="auto" w:fill="auto"/>
                  <w:vAlign w:val="center"/>
                </w:tcPr>
                <w:p w14:paraId="6F98AF9D">
                  <w:pPr>
                    <w:snapToGrid w:val="0"/>
                    <w:spacing w:line="276" w:lineRule="auto"/>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1878" w:type="dxa"/>
                  <w:shd w:val="clear" w:color="auto" w:fill="auto"/>
                  <w:vAlign w:val="center"/>
                </w:tcPr>
                <w:p w14:paraId="4F960F86">
                  <w:pPr>
                    <w:snapToGrid w:val="0"/>
                    <w:spacing w:line="276" w:lineRule="auto"/>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bl>
          <w:p w14:paraId="3CD84D95">
            <w:pPr>
              <w:spacing w:line="360" w:lineRule="auto"/>
              <w:rPr>
                <w:rFonts w:hint="default" w:ascii="Times New Roman" w:hAnsi="Times New Roman" w:eastAsia="黑体" w:cs="Times New Roman"/>
                <w:szCs w:val="21"/>
                <w:highlight w:val="none"/>
              </w:rPr>
            </w:pPr>
          </w:p>
        </w:tc>
      </w:tr>
      <w:tr w14:paraId="66085D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257" w:type="pct"/>
            <w:tcMar>
              <w:left w:w="28" w:type="dxa"/>
              <w:right w:w="28" w:type="dxa"/>
            </w:tcMar>
            <w:vAlign w:val="center"/>
          </w:tcPr>
          <w:p w14:paraId="68B5F7BB">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污染</w:t>
            </w:r>
          </w:p>
          <w:p w14:paraId="27EDABDC">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物排</w:t>
            </w:r>
          </w:p>
          <w:p w14:paraId="63E6D21D">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放控</w:t>
            </w:r>
          </w:p>
          <w:p w14:paraId="29178F68">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制标</w:t>
            </w:r>
          </w:p>
          <w:p w14:paraId="07E55FB4">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准</w:t>
            </w:r>
          </w:p>
        </w:tc>
        <w:tc>
          <w:tcPr>
            <w:tcW w:w="4742" w:type="pct"/>
            <w:vAlign w:val="center"/>
          </w:tcPr>
          <w:p w14:paraId="0595247B">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1、废气</w:t>
            </w:r>
          </w:p>
          <w:p w14:paraId="45A53CFA">
            <w:pPr>
              <w:tabs>
                <w:tab w:val="left" w:pos="1680"/>
              </w:tabs>
              <w:spacing w:line="360" w:lineRule="auto"/>
              <w:jc w:val="center"/>
              <w:rPr>
                <w:rFonts w:hint="default" w:ascii="Times New Roman" w:hAnsi="Times New Roman" w:cs="Times New Roman"/>
                <w:b/>
                <w:sz w:val="24"/>
                <w:highlight w:val="none"/>
              </w:rPr>
            </w:pPr>
            <w:r>
              <w:rPr>
                <w:rFonts w:hint="default" w:ascii="Times New Roman" w:hAnsi="Times New Roman" w:cs="Times New Roman"/>
                <w:b/>
                <w:bCs/>
                <w:sz w:val="24"/>
                <w:highlight w:val="none"/>
              </w:rPr>
              <w:t xml:space="preserve">表3-3  </w:t>
            </w:r>
            <w:r>
              <w:rPr>
                <w:rFonts w:hint="default" w:ascii="Times New Roman" w:hAnsi="Times New Roman" w:cs="Times New Roman"/>
                <w:b/>
                <w:sz w:val="24"/>
                <w:highlight w:val="none"/>
              </w:rPr>
              <w:t>大气污染物有组织排放标准</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960"/>
              <w:gridCol w:w="975"/>
              <w:gridCol w:w="1109"/>
              <w:gridCol w:w="5092"/>
            </w:tblGrid>
            <w:tr w14:paraId="61FF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10" w:type="dxa"/>
                  <w:tcMar>
                    <w:left w:w="28" w:type="dxa"/>
                    <w:right w:w="28" w:type="dxa"/>
                  </w:tcMar>
                  <w:vAlign w:val="center"/>
                </w:tcPr>
                <w:p w14:paraId="6F2128CC">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排放源</w:t>
                  </w:r>
                </w:p>
              </w:tc>
              <w:tc>
                <w:tcPr>
                  <w:tcW w:w="960" w:type="dxa"/>
                  <w:tcMar>
                    <w:left w:w="28" w:type="dxa"/>
                    <w:right w:w="28" w:type="dxa"/>
                  </w:tcMar>
                  <w:vAlign w:val="center"/>
                </w:tcPr>
                <w:p w14:paraId="6626FC1D">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污染因子</w:t>
                  </w:r>
                </w:p>
              </w:tc>
              <w:tc>
                <w:tcPr>
                  <w:tcW w:w="975" w:type="dxa"/>
                  <w:tcMar>
                    <w:left w:w="28" w:type="dxa"/>
                    <w:right w:w="28" w:type="dxa"/>
                  </w:tcMar>
                  <w:vAlign w:val="center"/>
                </w:tcPr>
                <w:p w14:paraId="00A2D4DB">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浓度限值</w:t>
                  </w:r>
                </w:p>
                <w:p w14:paraId="01CC93C1">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（mg/m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w:t>
                  </w:r>
                </w:p>
              </w:tc>
              <w:tc>
                <w:tcPr>
                  <w:tcW w:w="1109" w:type="dxa"/>
                  <w:vAlign w:val="center"/>
                </w:tcPr>
                <w:p w14:paraId="204CFD7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速率限值（kg/h）</w:t>
                  </w:r>
                </w:p>
              </w:tc>
              <w:tc>
                <w:tcPr>
                  <w:tcW w:w="5092" w:type="dxa"/>
                  <w:tcMar>
                    <w:left w:w="28" w:type="dxa"/>
                    <w:right w:w="28" w:type="dxa"/>
                  </w:tcMar>
                  <w:vAlign w:val="center"/>
                </w:tcPr>
                <w:p w14:paraId="44A3FBCE">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执行标准</w:t>
                  </w:r>
                </w:p>
              </w:tc>
            </w:tr>
            <w:tr w14:paraId="3718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0" w:type="dxa"/>
                  <w:shd w:val="clear" w:color="auto" w:fill="auto"/>
                  <w:tcMar>
                    <w:left w:w="28" w:type="dxa"/>
                    <w:right w:w="28" w:type="dxa"/>
                  </w:tcMar>
                  <w:vAlign w:val="center"/>
                </w:tcPr>
                <w:p w14:paraId="30B121B2">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DA001</w:t>
                  </w:r>
                </w:p>
              </w:tc>
              <w:tc>
                <w:tcPr>
                  <w:tcW w:w="960" w:type="dxa"/>
                  <w:shd w:val="clear" w:color="auto" w:fill="auto"/>
                  <w:tcMar>
                    <w:left w:w="28" w:type="dxa"/>
                    <w:right w:w="28" w:type="dxa"/>
                  </w:tcMar>
                  <w:vAlign w:val="center"/>
                </w:tcPr>
                <w:p w14:paraId="166678B7">
                  <w:pPr>
                    <w:adjustRightIn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rPr>
                    <w:t>VOCs</w:t>
                  </w:r>
                </w:p>
              </w:tc>
              <w:tc>
                <w:tcPr>
                  <w:tcW w:w="975" w:type="dxa"/>
                  <w:shd w:val="clear" w:color="auto" w:fill="auto"/>
                  <w:tcMar>
                    <w:left w:w="28" w:type="dxa"/>
                    <w:right w:w="28" w:type="dxa"/>
                  </w:tcMar>
                  <w:vAlign w:val="center"/>
                </w:tcPr>
                <w:p w14:paraId="7431D028">
                  <w:pPr>
                    <w:adjustRightIn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60</w:t>
                  </w:r>
                </w:p>
              </w:tc>
              <w:tc>
                <w:tcPr>
                  <w:tcW w:w="1109" w:type="dxa"/>
                  <w:shd w:val="clear" w:color="auto" w:fill="auto"/>
                  <w:vAlign w:val="center"/>
                </w:tcPr>
                <w:p w14:paraId="360B79E8">
                  <w:pPr>
                    <w:adjustRightIn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3</w:t>
                  </w:r>
                </w:p>
              </w:tc>
              <w:tc>
                <w:tcPr>
                  <w:tcW w:w="5092" w:type="dxa"/>
                  <w:shd w:val="clear" w:color="auto" w:fill="auto"/>
                  <w:tcMar>
                    <w:left w:w="28" w:type="dxa"/>
                    <w:right w:w="28" w:type="dxa"/>
                  </w:tcMar>
                  <w:vAlign w:val="center"/>
                </w:tcPr>
                <w:p w14:paraId="715077FE">
                  <w:pPr>
                    <w:adjustRightIn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《挥发性有机物排放标准 第6部分：有机化工行业》（DB37 2801.6—2018）表1</w:t>
                  </w:r>
                  <w:r>
                    <w:rPr>
                      <w:rFonts w:hint="eastAsia" w:cs="Times New Roman"/>
                      <w:szCs w:val="21"/>
                      <w:highlight w:val="none"/>
                      <w:lang w:val="en-US" w:eastAsia="zh-CN"/>
                    </w:rPr>
                    <w:t>其他</w:t>
                  </w:r>
                  <w:r>
                    <w:rPr>
                      <w:rFonts w:hint="eastAsia" w:ascii="Times New Roman" w:hAnsi="Times New Roman" w:cs="Times New Roman"/>
                      <w:szCs w:val="21"/>
                      <w:highlight w:val="none"/>
                      <w:lang w:val="en-US" w:eastAsia="zh-CN"/>
                    </w:rPr>
                    <w:t>行业</w:t>
                  </w:r>
                  <w:r>
                    <w:rPr>
                      <w:rFonts w:hint="default" w:ascii="Times New Roman" w:hAnsi="Times New Roman" w:cs="Times New Roman"/>
                      <w:szCs w:val="21"/>
                      <w:highlight w:val="none"/>
                    </w:rPr>
                    <w:t>排放浓度、排放速率</w:t>
                  </w:r>
                  <w:r>
                    <w:rPr>
                      <w:rFonts w:hint="eastAsia" w:ascii="Times New Roman" w:hAnsi="Times New Roman" w:cs="Times New Roman"/>
                      <w:szCs w:val="21"/>
                      <w:highlight w:val="none"/>
                      <w:lang w:val="en-US" w:eastAsia="zh-CN"/>
                    </w:rPr>
                    <w:t>限值</w:t>
                  </w:r>
                </w:p>
              </w:tc>
            </w:tr>
          </w:tbl>
          <w:p w14:paraId="2753E2B4">
            <w:pPr>
              <w:spacing w:before="120" w:beforeLines="50"/>
              <w:ind w:firstLine="482"/>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表3-4  大气污染物无组织排放标准</w:t>
            </w:r>
          </w:p>
          <w:tbl>
            <w:tblPr>
              <w:tblStyle w:val="47"/>
              <w:tblW w:w="49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390"/>
              <w:gridCol w:w="2115"/>
              <w:gridCol w:w="4660"/>
            </w:tblGrid>
            <w:tr w14:paraId="69723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dxa"/>
                  <w:vAlign w:val="center"/>
                </w:tcPr>
                <w:p w14:paraId="582CED01">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1390" w:type="dxa"/>
                  <w:vAlign w:val="center"/>
                </w:tcPr>
                <w:p w14:paraId="4E8D227E">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污染物项目</w:t>
                  </w:r>
                </w:p>
              </w:tc>
              <w:tc>
                <w:tcPr>
                  <w:tcW w:w="2115" w:type="dxa"/>
                  <w:vAlign w:val="center"/>
                </w:tcPr>
                <w:p w14:paraId="1771218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边界限值（mg/m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w:t>
                  </w:r>
                </w:p>
              </w:tc>
              <w:tc>
                <w:tcPr>
                  <w:tcW w:w="4661" w:type="dxa"/>
                  <w:vAlign w:val="center"/>
                </w:tcPr>
                <w:p w14:paraId="6A20052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标准来源</w:t>
                  </w:r>
                </w:p>
              </w:tc>
            </w:tr>
            <w:tr w14:paraId="3E1EC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dxa"/>
                  <w:vAlign w:val="center"/>
                </w:tcPr>
                <w:p w14:paraId="5D121FE8">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1390" w:type="dxa"/>
                  <w:vAlign w:val="center"/>
                </w:tcPr>
                <w:p w14:paraId="1B5EE28C">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非甲烷总烃</w:t>
                  </w:r>
                </w:p>
              </w:tc>
              <w:tc>
                <w:tcPr>
                  <w:tcW w:w="2115" w:type="dxa"/>
                  <w:vAlign w:val="center"/>
                </w:tcPr>
                <w:p w14:paraId="2225D17A">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2.0</w:t>
                  </w:r>
                </w:p>
              </w:tc>
              <w:tc>
                <w:tcPr>
                  <w:tcW w:w="4661" w:type="dxa"/>
                  <w:vAlign w:val="center"/>
                </w:tcPr>
                <w:p w14:paraId="1FE20D23">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《挥发性有机物排放标准 第6部分：有机化工行业》（DB37 2801.6—2018）表</w:t>
                  </w:r>
                  <w:r>
                    <w:rPr>
                      <w:rFonts w:hint="eastAsia" w:cs="Times New Roman"/>
                      <w:szCs w:val="21"/>
                      <w:highlight w:val="none"/>
                      <w:lang w:val="en-US" w:eastAsia="zh-CN"/>
                    </w:rPr>
                    <w:t>3</w:t>
                  </w:r>
                  <w:r>
                    <w:rPr>
                      <w:rFonts w:hint="eastAsia" w:ascii="Times New Roman" w:hAnsi="Times New Roman" w:cs="Times New Roman"/>
                      <w:szCs w:val="21"/>
                      <w:highlight w:val="none"/>
                      <w:lang w:val="en-US" w:eastAsia="zh-CN"/>
                    </w:rPr>
                    <w:t>厂界监控点浓度限值</w:t>
                  </w:r>
                </w:p>
              </w:tc>
            </w:tr>
            <w:tr w14:paraId="0BF8C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dxa"/>
                  <w:vAlign w:val="center"/>
                </w:tcPr>
                <w:p w14:paraId="56D1915D">
                  <w:pPr>
                    <w:adjustRightIn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2</w:t>
                  </w:r>
                </w:p>
              </w:tc>
              <w:tc>
                <w:tcPr>
                  <w:tcW w:w="1390" w:type="dxa"/>
                  <w:vAlign w:val="center"/>
                </w:tcPr>
                <w:p w14:paraId="2B2A7E4D">
                  <w:pPr>
                    <w:adjustRightIn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颗粒物</w:t>
                  </w:r>
                </w:p>
              </w:tc>
              <w:tc>
                <w:tcPr>
                  <w:tcW w:w="2115" w:type="dxa"/>
                  <w:vAlign w:val="center"/>
                </w:tcPr>
                <w:p w14:paraId="7FD2C730">
                  <w:pPr>
                    <w:adjustRightIn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1.0</w:t>
                  </w:r>
                </w:p>
              </w:tc>
              <w:tc>
                <w:tcPr>
                  <w:tcW w:w="4661" w:type="dxa"/>
                  <w:vAlign w:val="center"/>
                </w:tcPr>
                <w:p w14:paraId="1DD2A504">
                  <w:pPr>
                    <w:adjustRightInd w:val="0"/>
                    <w:jc w:val="center"/>
                    <w:rPr>
                      <w:rFonts w:hint="eastAsia" w:ascii="Times New Roman" w:hAnsi="Times New Roman" w:cs="Times New Roman"/>
                      <w:szCs w:val="21"/>
                      <w:highlight w:val="none"/>
                      <w:lang w:val="en-US" w:eastAsia="zh-CN"/>
                    </w:rPr>
                  </w:pPr>
                  <w:r>
                    <w:rPr>
                      <w:rFonts w:hint="default" w:ascii="Times New Roman" w:hAnsi="Times New Roman" w:cs="Times New Roman"/>
                      <w:color w:val="000000"/>
                      <w:szCs w:val="21"/>
                      <w:highlight w:val="none"/>
                      <w:lang w:val="en-US"/>
                    </w:rPr>
                    <w:t>《大气污染物综合排放标准》（GB16297-1996）表2</w:t>
                  </w:r>
                  <w:r>
                    <w:rPr>
                      <w:rFonts w:hint="eastAsia" w:ascii="Times New Roman" w:hAnsi="Times New Roman" w:cs="Times New Roman"/>
                      <w:color w:val="000000"/>
                      <w:szCs w:val="21"/>
                      <w:highlight w:val="none"/>
                      <w:lang w:val="en-US" w:eastAsia="zh-CN"/>
                    </w:rPr>
                    <w:t>无组织</w:t>
                  </w:r>
                  <w:r>
                    <w:rPr>
                      <w:rFonts w:hint="default" w:ascii="Times New Roman" w:hAnsi="Times New Roman" w:cs="Times New Roman"/>
                      <w:color w:val="000000"/>
                      <w:szCs w:val="21"/>
                      <w:highlight w:val="none"/>
                      <w:lang w:val="en-US"/>
                    </w:rPr>
                    <w:t>排放</w:t>
                  </w:r>
                  <w:r>
                    <w:rPr>
                      <w:rFonts w:hint="eastAsia" w:ascii="Times New Roman" w:hAnsi="Times New Roman" w:cs="Times New Roman"/>
                      <w:color w:val="000000"/>
                      <w:szCs w:val="21"/>
                      <w:highlight w:val="none"/>
                      <w:lang w:val="en-US" w:eastAsia="zh-CN"/>
                    </w:rPr>
                    <w:t>监控</w:t>
                  </w:r>
                  <w:r>
                    <w:rPr>
                      <w:rFonts w:hint="default" w:ascii="Times New Roman" w:hAnsi="Times New Roman" w:cs="Times New Roman"/>
                      <w:color w:val="000000"/>
                      <w:szCs w:val="21"/>
                      <w:highlight w:val="none"/>
                      <w:lang w:val="en-US"/>
                    </w:rPr>
                    <w:t>浓度限值</w:t>
                  </w:r>
                </w:p>
              </w:tc>
            </w:tr>
          </w:tbl>
          <w:p w14:paraId="7501D5FE">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2、废水</w:t>
            </w:r>
          </w:p>
          <w:p w14:paraId="627B6868">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sz w:val="24"/>
                <w:highlight w:val="none"/>
              </w:rPr>
              <w:t>项目生活污水经厂区化粪池处理后由环卫部门定期处理。</w:t>
            </w:r>
          </w:p>
          <w:p w14:paraId="47A84D9C">
            <w:pPr>
              <w:spacing w:line="26" w:lineRule="auto"/>
              <w:rPr>
                <w:rFonts w:hint="default" w:ascii="Times New Roman" w:hAnsi="Times New Roman" w:cs="Times New Roman"/>
                <w:sz w:val="2"/>
                <w:highlight w:val="none"/>
              </w:rPr>
            </w:pPr>
          </w:p>
          <w:p w14:paraId="1EB621E8">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3、噪声</w:t>
            </w:r>
          </w:p>
          <w:p w14:paraId="4C3F78A7">
            <w:pPr>
              <w:tabs>
                <w:tab w:val="left" w:pos="1680"/>
              </w:tabs>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bCs/>
                <w:sz w:val="24"/>
                <w:highlight w:val="none"/>
              </w:rPr>
              <w:t>项目施工期厂界噪声执行</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eastAsia="zh-CN"/>
              </w:rPr>
              <w:t>建筑施工噪声排放标准</w:t>
            </w:r>
            <w:r>
              <w:rPr>
                <w:rFonts w:hint="default" w:ascii="Times New Roman" w:hAnsi="Times New Roman" w:cs="Times New Roman"/>
                <w:color w:val="000000"/>
                <w:sz w:val="24"/>
                <w:highlight w:val="none"/>
              </w:rPr>
              <w:t>》（GB 12523-20</w:t>
            </w:r>
            <w:r>
              <w:rPr>
                <w:rFonts w:hint="default" w:ascii="Times New Roman" w:hAnsi="Times New Roman" w:cs="Times New Roman"/>
                <w:color w:val="000000"/>
                <w:sz w:val="24"/>
                <w:highlight w:val="none"/>
                <w:lang w:val="en-US" w:eastAsia="zh-CN"/>
              </w:rPr>
              <w:t>25</w:t>
            </w:r>
            <w:r>
              <w:rPr>
                <w:rFonts w:hint="default" w:ascii="Times New Roman" w:hAnsi="Times New Roman" w:cs="Times New Roman"/>
                <w:color w:val="000000"/>
                <w:sz w:val="24"/>
                <w:highlight w:val="none"/>
              </w:rPr>
              <w:t>）</w:t>
            </w:r>
            <w:r>
              <w:rPr>
                <w:rFonts w:hint="default" w:ascii="Times New Roman" w:hAnsi="Times New Roman" w:cs="Times New Roman"/>
                <w:bCs/>
                <w:sz w:val="24"/>
                <w:highlight w:val="none"/>
              </w:rPr>
              <w:t>（昼间≤70dB</w:t>
            </w:r>
            <w:r>
              <w:rPr>
                <w:rFonts w:hint="eastAsia" w:cs="Times New Roman"/>
                <w:bCs/>
                <w:sz w:val="24"/>
                <w:highlight w:val="none"/>
                <w:lang w:eastAsia="zh-CN"/>
              </w:rPr>
              <w:t>（</w:t>
            </w:r>
            <w:r>
              <w:rPr>
                <w:rFonts w:hint="default" w:ascii="Times New Roman" w:hAnsi="Times New Roman" w:cs="Times New Roman"/>
                <w:bCs/>
                <w:sz w:val="24"/>
                <w:highlight w:val="none"/>
              </w:rPr>
              <w:t>A</w:t>
            </w:r>
            <w:r>
              <w:rPr>
                <w:rFonts w:hint="eastAsia" w:cs="Times New Roman"/>
                <w:bCs/>
                <w:sz w:val="24"/>
                <w:highlight w:val="none"/>
                <w:lang w:eastAsia="zh-CN"/>
              </w:rPr>
              <w:t>）</w:t>
            </w:r>
            <w:r>
              <w:rPr>
                <w:rFonts w:hint="default" w:ascii="Times New Roman" w:hAnsi="Times New Roman" w:cs="Times New Roman"/>
                <w:bCs/>
                <w:sz w:val="24"/>
                <w:highlight w:val="none"/>
              </w:rPr>
              <w:t>）；运营期厂界噪声执行《工业企业厂界环境噪声排放标准》（GB12348-2008）中2类声功能区标准（昼间≤60dB（A））。</w:t>
            </w:r>
          </w:p>
          <w:p w14:paraId="3A04816D">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4、固体废物</w:t>
            </w:r>
          </w:p>
          <w:p w14:paraId="59E5F582">
            <w:pPr>
              <w:pStyle w:val="108"/>
              <w:spacing w:before="120" w:beforeLines="50" w:line="360" w:lineRule="auto"/>
              <w:ind w:firstLine="480"/>
              <w:jc w:val="left"/>
              <w:rPr>
                <w:rFonts w:hint="default" w:ascii="Times New Roman" w:hAnsi="Times New Roman" w:cs="Times New Roman"/>
                <w:bCs/>
                <w:sz w:val="24"/>
                <w:highlight w:val="none"/>
              </w:rPr>
            </w:pPr>
            <w:r>
              <w:rPr>
                <w:rFonts w:hint="default" w:ascii="Times New Roman" w:hAnsi="Times New Roman" w:cs="Times New Roman"/>
                <w:sz w:val="24"/>
                <w:szCs w:val="24"/>
                <w:highlight w:val="none"/>
              </w:rPr>
              <w:t>固体废物严格执行《中华人民共和国固体废物污染环境防治法（2020年修订）》中固体废物相关环保要求。一般固体废物按照《一般工业固体废物贮存和填埋污染控制标准》（GB18599-2020）中相关要求规范建设和维护厂区内一般固体废物临时堆放场所，并做好防雨、防风、防渗、防漏等措施，制定好转移运输中污染防治；危险废物收集、贮存执行《危险废物贮存污染控制标准》（GB18597-2023），转移按照《危险废物转移管理办法》（2022年1月1日）执行，按照《危险废物管理计划和管理台账制定技术导则》制定管理计划、规范台账记录，按照《危险废物识别标志设置技术规范》（HJ1276-2022）规范危险废物标识。</w:t>
            </w:r>
          </w:p>
        </w:tc>
      </w:tr>
      <w:tr w14:paraId="1AF03D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9" w:hRule="atLeast"/>
          <w:jc w:val="center"/>
        </w:trPr>
        <w:tc>
          <w:tcPr>
            <w:tcW w:w="257" w:type="pct"/>
            <w:vAlign w:val="center"/>
          </w:tcPr>
          <w:p w14:paraId="6A086E44">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总量</w:t>
            </w:r>
          </w:p>
          <w:p w14:paraId="607B1BBD">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控制</w:t>
            </w:r>
          </w:p>
          <w:p w14:paraId="6DE41738">
            <w:pPr>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 w:val="24"/>
                <w:highlight w:val="none"/>
              </w:rPr>
              <w:t>指标</w:t>
            </w:r>
          </w:p>
        </w:tc>
        <w:tc>
          <w:tcPr>
            <w:tcW w:w="4742" w:type="pct"/>
            <w:vAlign w:val="center"/>
          </w:tcPr>
          <w:p w14:paraId="74C78FEB">
            <w:pPr>
              <w:pStyle w:val="267"/>
              <w:numPr>
                <w:ilvl w:val="0"/>
                <w:numId w:val="0"/>
              </w:numPr>
              <w:spacing w:before="78" w:line="360" w:lineRule="auto"/>
              <w:ind w:left="124" w:leftChars="0" w:right="103" w:rightChars="0" w:firstLine="464" w:firstLineChars="0"/>
              <w:rPr>
                <w:rFonts w:hint="default" w:ascii="Times New Roman" w:hAnsi="Times New Roman" w:cs="Times New Roman"/>
                <w:spacing w:val="2"/>
                <w:sz w:val="24"/>
                <w:szCs w:val="24"/>
                <w:highlight w:val="none"/>
                <w:lang w:eastAsia="zh-CN"/>
              </w:rPr>
            </w:pPr>
            <w:r>
              <w:rPr>
                <w:rFonts w:hint="default" w:ascii="Times New Roman" w:hAnsi="Times New Roman" w:cs="Times New Roman"/>
                <w:spacing w:val="2"/>
                <w:sz w:val="24"/>
                <w:szCs w:val="24"/>
                <w:highlight w:val="none"/>
                <w:lang w:eastAsia="zh-CN"/>
              </w:rPr>
              <w:t>根据《山东省建设项目主要大气污染物排放总量替代指标核算及管理办法的通知》及《关于统筹使用</w:t>
            </w:r>
            <w:r>
              <w:rPr>
                <w:rFonts w:hint="eastAsia" w:ascii="Times New Roman" w:hAnsi="Times New Roman" w:cs="Times New Roman"/>
                <w:spacing w:val="2"/>
                <w:sz w:val="24"/>
                <w:szCs w:val="24"/>
                <w:highlight w:val="none"/>
                <w:lang w:eastAsia="zh-CN"/>
              </w:rPr>
              <w:t>“</w:t>
            </w:r>
            <w:r>
              <w:rPr>
                <w:rFonts w:hint="default" w:ascii="Times New Roman" w:hAnsi="Times New Roman" w:cs="Times New Roman"/>
                <w:spacing w:val="2"/>
                <w:sz w:val="24"/>
                <w:szCs w:val="24"/>
                <w:highlight w:val="none"/>
                <w:lang w:eastAsia="zh-CN"/>
              </w:rPr>
              <w:t>十四五</w:t>
            </w:r>
            <w:r>
              <w:rPr>
                <w:rFonts w:hint="eastAsia" w:ascii="Times New Roman" w:hAnsi="Times New Roman" w:cs="Times New Roman"/>
                <w:spacing w:val="2"/>
                <w:sz w:val="24"/>
                <w:szCs w:val="24"/>
                <w:highlight w:val="none"/>
                <w:lang w:eastAsia="zh-CN"/>
              </w:rPr>
              <w:t>”</w:t>
            </w:r>
            <w:r>
              <w:rPr>
                <w:rFonts w:hint="default" w:ascii="Times New Roman" w:hAnsi="Times New Roman" w:cs="Times New Roman"/>
                <w:spacing w:val="2"/>
                <w:sz w:val="24"/>
                <w:szCs w:val="24"/>
                <w:highlight w:val="none"/>
                <w:lang w:eastAsia="zh-CN"/>
              </w:rPr>
              <w:t>建设项目主要大气污染物总量指标的通知》（淄环函〔2021〕55号），淄博市二氧化硫、氮氧化物、颗粒物、挥发性有机物四项污染物排放总量指标按照2倍进行削减替代。</w:t>
            </w:r>
          </w:p>
          <w:p w14:paraId="5C80DF56">
            <w:pPr>
              <w:pStyle w:val="267"/>
              <w:numPr>
                <w:ilvl w:val="0"/>
                <w:numId w:val="0"/>
              </w:numPr>
              <w:spacing w:before="78" w:line="360" w:lineRule="auto"/>
              <w:ind w:left="124" w:leftChars="0" w:right="103" w:rightChars="0" w:firstLine="464" w:firstLineChars="0"/>
              <w:rPr>
                <w:rFonts w:hint="default" w:ascii="Times New Roman" w:hAnsi="Times New Roman" w:cs="Times New Roman"/>
                <w:sz w:val="24"/>
                <w:szCs w:val="24"/>
                <w:highlight w:val="none"/>
              </w:rPr>
            </w:pPr>
            <w:r>
              <w:rPr>
                <w:rFonts w:hint="default" w:ascii="Times New Roman" w:hAnsi="Times New Roman" w:cs="Times New Roman"/>
                <w:spacing w:val="2"/>
                <w:sz w:val="24"/>
                <w:szCs w:val="24"/>
                <w:highlight w:val="none"/>
                <w:lang w:eastAsia="zh-CN"/>
              </w:rPr>
              <w:t>废水：项目生活污水经厂区化粪池处理后由环卫部门定期处理。</w:t>
            </w:r>
          </w:p>
          <w:p w14:paraId="552F7705">
            <w:pPr>
              <w:pStyle w:val="267"/>
              <w:numPr>
                <w:ilvl w:val="0"/>
                <w:numId w:val="0"/>
              </w:numPr>
              <w:spacing w:before="78" w:line="360" w:lineRule="auto"/>
              <w:ind w:left="124" w:leftChars="0" w:right="103" w:rightChars="0" w:firstLine="464" w:firstLineChars="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废气：本项目建成后全厂</w:t>
            </w:r>
            <w:r>
              <w:rPr>
                <w:rFonts w:hint="eastAsia" w:cs="Times New Roman"/>
                <w:sz w:val="24"/>
                <w:szCs w:val="24"/>
                <w:highlight w:val="none"/>
                <w:lang w:val="en-US" w:eastAsia="zh-CN"/>
              </w:rPr>
              <w:t>污染物排放量为：</w:t>
            </w:r>
            <w:r>
              <w:rPr>
                <w:rFonts w:hint="default" w:ascii="Times New Roman" w:hAnsi="Times New Roman" w:cs="Times New Roman"/>
                <w:sz w:val="24"/>
                <w:szCs w:val="24"/>
                <w:highlight w:val="none"/>
              </w:rPr>
              <w:t>VOCs：</w:t>
            </w:r>
            <w:r>
              <w:rPr>
                <w:rFonts w:hint="default" w:ascii="Times New Roman" w:hAnsi="Times New Roman" w:cs="Times New Roman"/>
                <w:sz w:val="24"/>
                <w:szCs w:val="24"/>
                <w:highlight w:val="none"/>
                <w:lang w:val="en-US" w:eastAsia="zh-CN"/>
              </w:rPr>
              <w:t>0.</w:t>
            </w:r>
            <w:r>
              <w:rPr>
                <w:rFonts w:hint="eastAsia" w:ascii="Times New Roman" w:hAnsi="Times New Roman" w:cs="Times New Roman"/>
                <w:sz w:val="24"/>
                <w:szCs w:val="24"/>
                <w:highlight w:val="none"/>
                <w:lang w:val="en-US" w:eastAsia="zh-CN"/>
              </w:rPr>
              <w:t>175</w:t>
            </w:r>
            <w:r>
              <w:rPr>
                <w:rFonts w:hint="default" w:ascii="Times New Roman" w:hAnsi="Times New Roman" w:cs="Times New Roman"/>
                <w:sz w:val="24"/>
                <w:szCs w:val="24"/>
                <w:highlight w:val="none"/>
              </w:rPr>
              <w:t>t/a。</w:t>
            </w:r>
          </w:p>
          <w:p w14:paraId="561C68E0">
            <w:pPr>
              <w:pStyle w:val="108"/>
              <w:spacing w:before="120" w:beforeLines="50" w:line="360" w:lineRule="auto"/>
              <w:ind w:firstLine="480"/>
              <w:jc w:val="left"/>
              <w:rPr>
                <w:rFonts w:hint="default" w:ascii="Times New Roman" w:hAnsi="Times New Roman" w:cs="Times New Roman"/>
                <w:spacing w:val="2"/>
                <w:sz w:val="24"/>
                <w:szCs w:val="24"/>
                <w:highlight w:val="none"/>
              </w:rPr>
            </w:pPr>
            <w:r>
              <w:rPr>
                <w:rFonts w:hint="eastAsia" w:cs="Times New Roman"/>
                <w:sz w:val="24"/>
                <w:szCs w:val="24"/>
                <w:highlight w:val="none"/>
                <w:lang w:val="en-US" w:eastAsia="zh-CN"/>
              </w:rPr>
              <w:t>本项目建成后增加污染物排放量：</w:t>
            </w:r>
            <w:r>
              <w:rPr>
                <w:rFonts w:hint="default" w:ascii="Times New Roman" w:hAnsi="Times New Roman" w:cs="Times New Roman"/>
                <w:sz w:val="24"/>
                <w:szCs w:val="24"/>
                <w:highlight w:val="none"/>
              </w:rPr>
              <w:t>VOCs：</w:t>
            </w:r>
            <w:r>
              <w:rPr>
                <w:rFonts w:hint="default" w:ascii="Times New Roman" w:hAnsi="Times New Roman" w:cs="Times New Roman"/>
                <w:sz w:val="24"/>
                <w:szCs w:val="24"/>
                <w:highlight w:val="none"/>
                <w:lang w:val="en-US" w:eastAsia="zh-CN"/>
              </w:rPr>
              <w:t>0.</w:t>
            </w:r>
            <w:r>
              <w:rPr>
                <w:rFonts w:hint="eastAsia" w:cs="Times New Roman"/>
                <w:sz w:val="24"/>
                <w:szCs w:val="24"/>
                <w:highlight w:val="none"/>
                <w:lang w:val="en-US" w:eastAsia="zh-CN"/>
              </w:rPr>
              <w:t>175</w:t>
            </w:r>
            <w:r>
              <w:rPr>
                <w:rFonts w:hint="default" w:ascii="Times New Roman" w:hAnsi="Times New Roman" w:cs="Times New Roman"/>
                <w:sz w:val="24"/>
                <w:szCs w:val="24"/>
                <w:highlight w:val="none"/>
              </w:rPr>
              <w:t>t/a</w:t>
            </w:r>
            <w:r>
              <w:rPr>
                <w:rFonts w:hint="eastAsia" w:cs="Times New Roman"/>
                <w:sz w:val="24"/>
                <w:szCs w:val="24"/>
                <w:highlight w:val="none"/>
                <w:lang w:val="en-US" w:eastAsia="zh-CN"/>
              </w:rPr>
              <w:t>。</w:t>
            </w:r>
            <w:r>
              <w:rPr>
                <w:rFonts w:hint="default" w:ascii="Times New Roman" w:hAnsi="Times New Roman" w:cs="Times New Roman"/>
                <w:sz w:val="24"/>
                <w:szCs w:val="24"/>
                <w:highlight w:val="none"/>
              </w:rPr>
              <w:t>考虑倍量替代后，替代量为VOCs：</w:t>
            </w:r>
            <w:r>
              <w:rPr>
                <w:rFonts w:hint="eastAsia" w:cs="Times New Roman"/>
                <w:sz w:val="24"/>
                <w:szCs w:val="24"/>
                <w:highlight w:val="none"/>
                <w:lang w:val="en-US" w:eastAsia="zh-CN"/>
              </w:rPr>
              <w:t>0.35</w:t>
            </w:r>
            <w:r>
              <w:rPr>
                <w:rFonts w:hint="default" w:ascii="Times New Roman" w:hAnsi="Times New Roman" w:cs="Times New Roman"/>
                <w:sz w:val="24"/>
                <w:szCs w:val="24"/>
                <w:highlight w:val="none"/>
              </w:rPr>
              <w:t>t/a。</w:t>
            </w:r>
          </w:p>
        </w:tc>
      </w:tr>
    </w:tbl>
    <w:p w14:paraId="0D7924AE">
      <w:pPr>
        <w:pStyle w:val="42"/>
        <w:tabs>
          <w:tab w:val="left" w:pos="630"/>
          <w:tab w:val="center" w:pos="4873"/>
        </w:tabs>
        <w:spacing w:before="0" w:beforeAutospacing="0" w:after="0" w:afterAutospacing="0" w:line="360" w:lineRule="auto"/>
        <w:outlineLvl w:val="0"/>
        <w:rPr>
          <w:rFonts w:hint="default" w:ascii="Times New Roman" w:hAnsi="Times New Roman" w:eastAsia="黑体" w:cs="Times New Roman"/>
          <w:snapToGrid w:val="0"/>
          <w:sz w:val="36"/>
          <w:szCs w:val="36"/>
          <w:highlight w:val="none"/>
        </w:rPr>
        <w:sectPr>
          <w:type w:val="continuous"/>
          <w:pgSz w:w="11907" w:h="16840"/>
          <w:pgMar w:top="1440" w:right="1080" w:bottom="1440" w:left="1080" w:header="851" w:footer="851" w:gutter="0"/>
          <w:cols w:space="720" w:num="1"/>
          <w:docGrid w:linePitch="312" w:charSpace="0"/>
        </w:sectPr>
      </w:pPr>
    </w:p>
    <w:p w14:paraId="7B80DCDB">
      <w:pPr>
        <w:pStyle w:val="42"/>
        <w:spacing w:before="0" w:beforeAutospacing="0" w:after="0" w:afterAutospacing="0" w:line="360" w:lineRule="auto"/>
        <w:jc w:val="center"/>
        <w:outlineLvl w:val="0"/>
        <w:rPr>
          <w:rFonts w:hint="default" w:ascii="Times New Roman" w:hAnsi="Times New Roman" w:eastAsia="黑体" w:cs="Times New Roman"/>
          <w:b/>
          <w:bCs/>
          <w:snapToGrid w:val="0"/>
          <w:sz w:val="30"/>
          <w:szCs w:val="30"/>
          <w:highlight w:val="none"/>
        </w:rPr>
      </w:pPr>
      <w:r>
        <w:rPr>
          <w:rFonts w:hint="default" w:ascii="Times New Roman" w:hAnsi="Times New Roman" w:eastAsia="黑体" w:cs="Times New Roman"/>
          <w:b/>
          <w:bCs/>
          <w:snapToGrid w:val="0"/>
          <w:sz w:val="30"/>
          <w:szCs w:val="30"/>
          <w:highlight w:val="none"/>
        </w:rPr>
        <w:t>四、主要环境影响和保护措施</w:t>
      </w:r>
    </w:p>
    <w:tbl>
      <w:tblPr>
        <w:tblStyle w:val="47"/>
        <w:tblW w:w="505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8"/>
        <w:gridCol w:w="9576"/>
      </w:tblGrid>
      <w:tr w14:paraId="124423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37" w:hRule="atLeast"/>
          <w:jc w:val="center"/>
        </w:trPr>
        <w:tc>
          <w:tcPr>
            <w:tcW w:w="209" w:type="pct"/>
            <w:tcMar>
              <w:left w:w="28" w:type="dxa"/>
              <w:right w:w="28" w:type="dxa"/>
            </w:tcMar>
            <w:vAlign w:val="center"/>
          </w:tcPr>
          <w:p w14:paraId="19A5BFDD">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施工</w:t>
            </w:r>
          </w:p>
          <w:p w14:paraId="06BE2FF8">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期环</w:t>
            </w:r>
          </w:p>
          <w:p w14:paraId="4942F6CA">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境保</w:t>
            </w:r>
          </w:p>
          <w:p w14:paraId="290277FB">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护措</w:t>
            </w:r>
          </w:p>
          <w:p w14:paraId="5EC18E6E">
            <w:pPr>
              <w:spacing w:line="360" w:lineRule="auto"/>
              <w:jc w:val="center"/>
              <w:rPr>
                <w:rFonts w:hint="default" w:ascii="Times New Roman" w:hAnsi="Times New Roman" w:cs="Times New Roman"/>
                <w:bCs/>
                <w:szCs w:val="21"/>
                <w:highlight w:val="none"/>
              </w:rPr>
            </w:pPr>
            <w:r>
              <w:rPr>
                <w:rFonts w:hint="default" w:ascii="Times New Roman" w:hAnsi="Times New Roman" w:cs="Times New Roman"/>
                <w:bCs/>
                <w:sz w:val="24"/>
                <w:highlight w:val="none"/>
              </w:rPr>
              <w:t>施</w:t>
            </w:r>
          </w:p>
        </w:tc>
        <w:tc>
          <w:tcPr>
            <w:tcW w:w="4790" w:type="pct"/>
            <w:tcBorders>
              <w:bottom w:val="single" w:color="auto" w:sz="4" w:space="0"/>
            </w:tcBorders>
          </w:tcPr>
          <w:p w14:paraId="4281FF48">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sz w:val="24"/>
                <w:highlight w:val="none"/>
              </w:rPr>
              <w:t>本施工期租赁厂区内现有厂房及附属设施进行生产，只涉及设备安装，无土建，污染较小，</w:t>
            </w:r>
            <w:r>
              <w:rPr>
                <w:rFonts w:hint="default" w:ascii="Times New Roman" w:hAnsi="Times New Roman" w:cs="Times New Roman"/>
                <w:sz w:val="24"/>
                <w:highlight w:val="none"/>
                <w:lang w:val="zh-CN"/>
              </w:rPr>
              <w:t>项目施工期主要包括</w:t>
            </w:r>
            <w:r>
              <w:rPr>
                <w:rFonts w:hint="default" w:ascii="Times New Roman" w:hAnsi="Times New Roman" w:cs="Times New Roman"/>
                <w:sz w:val="24"/>
                <w:highlight w:val="none"/>
              </w:rPr>
              <w:t>设备安装</w:t>
            </w:r>
            <w:r>
              <w:rPr>
                <w:rFonts w:hint="default" w:ascii="Times New Roman" w:hAnsi="Times New Roman" w:cs="Times New Roman"/>
                <w:sz w:val="24"/>
                <w:highlight w:val="none"/>
                <w:lang w:val="zh-CN"/>
              </w:rPr>
              <w:t>等，施工过</w:t>
            </w:r>
            <w:r>
              <w:rPr>
                <w:rFonts w:hint="eastAsia" w:cs="Times New Roman"/>
                <w:sz w:val="24"/>
                <w:highlight w:val="none"/>
                <w:lang w:val="zh-CN"/>
              </w:rPr>
              <w:t>程中</w:t>
            </w:r>
            <w:r>
              <w:rPr>
                <w:rFonts w:hint="default" w:ascii="Times New Roman" w:hAnsi="Times New Roman" w:cs="Times New Roman"/>
                <w:sz w:val="24"/>
                <w:highlight w:val="none"/>
                <w:lang w:val="zh-CN"/>
              </w:rPr>
              <w:t>会产生噪声、扬尘、固废、少量污水等污染物。</w:t>
            </w:r>
          </w:p>
          <w:p w14:paraId="102B4786">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sz w:val="24"/>
                <w:highlight w:val="none"/>
                <w:lang w:val="zh-CN"/>
              </w:rPr>
              <w:t>（</w:t>
            </w:r>
            <w:r>
              <w:rPr>
                <w:rFonts w:hint="default" w:ascii="Times New Roman" w:hAnsi="Times New Roman" w:cs="Times New Roman"/>
                <w:sz w:val="24"/>
                <w:highlight w:val="none"/>
              </w:rPr>
              <w:t>1</w:t>
            </w:r>
            <w:r>
              <w:rPr>
                <w:rFonts w:hint="default" w:ascii="Times New Roman" w:hAnsi="Times New Roman" w:cs="Times New Roman"/>
                <w:sz w:val="24"/>
                <w:highlight w:val="none"/>
                <w:lang w:val="zh-CN"/>
              </w:rPr>
              <w:t>）废气：</w:t>
            </w:r>
            <w:r>
              <w:rPr>
                <w:rFonts w:hint="default" w:ascii="Times New Roman" w:hAnsi="Times New Roman" w:cs="Times New Roman"/>
                <w:sz w:val="24"/>
                <w:highlight w:val="none"/>
              </w:rPr>
              <w:t>主要是材料切割、电焊等产生的粉尘，环保设施及设备、办公家具均为成品安装，不会产生，作业过程主要是扬尘污染，扬尘污染主要影响局部的空气环境。</w:t>
            </w:r>
          </w:p>
          <w:p w14:paraId="6763956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lang w:val="zh-CN"/>
              </w:rPr>
              <w:t>（</w:t>
            </w:r>
            <w:r>
              <w:rPr>
                <w:rFonts w:hint="default" w:ascii="Times New Roman" w:hAnsi="Times New Roman" w:cs="Times New Roman"/>
                <w:sz w:val="24"/>
                <w:highlight w:val="none"/>
              </w:rPr>
              <w:t>2</w:t>
            </w:r>
            <w:r>
              <w:rPr>
                <w:rFonts w:hint="default" w:ascii="Times New Roman" w:hAnsi="Times New Roman" w:cs="Times New Roman"/>
                <w:sz w:val="24"/>
                <w:highlight w:val="none"/>
                <w:lang w:val="zh-CN"/>
              </w:rPr>
              <w:t>）废水：</w:t>
            </w:r>
            <w:r>
              <w:rPr>
                <w:rFonts w:hint="default" w:ascii="Times New Roman" w:hAnsi="Times New Roman" w:cs="Times New Roman"/>
                <w:sz w:val="24"/>
                <w:highlight w:val="none"/>
              </w:rPr>
              <w:t>施工期产生废水主要包括施工人员的生活污水和施工本身产生的废水。</w:t>
            </w:r>
          </w:p>
          <w:p w14:paraId="72677352">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sz w:val="24"/>
                <w:highlight w:val="none"/>
                <w:lang w:val="zh-CN"/>
              </w:rPr>
              <w:t>（</w:t>
            </w:r>
            <w:r>
              <w:rPr>
                <w:rFonts w:hint="default" w:ascii="Times New Roman" w:hAnsi="Times New Roman" w:cs="Times New Roman"/>
                <w:sz w:val="24"/>
                <w:highlight w:val="none"/>
              </w:rPr>
              <w:t>3</w:t>
            </w:r>
            <w:r>
              <w:rPr>
                <w:rFonts w:hint="default" w:ascii="Times New Roman" w:hAnsi="Times New Roman" w:cs="Times New Roman"/>
                <w:sz w:val="24"/>
                <w:highlight w:val="none"/>
                <w:lang w:val="zh-CN"/>
              </w:rPr>
              <w:t>）噪声：</w:t>
            </w:r>
            <w:r>
              <w:rPr>
                <w:rFonts w:hint="default" w:ascii="Times New Roman" w:hAnsi="Times New Roman" w:cs="Times New Roman"/>
                <w:sz w:val="24"/>
                <w:highlight w:val="none"/>
              </w:rPr>
              <w:t>施工场地噪声主要是施工机械噪声、设备安装噪声及施工人员人为噪声。主要是装修噪声，因在室内施工，周边无噪声敏感点，影响较小。</w:t>
            </w:r>
          </w:p>
          <w:p w14:paraId="05C00801">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lang w:val="zh-CN"/>
              </w:rPr>
              <w:t>（</w:t>
            </w:r>
            <w:r>
              <w:rPr>
                <w:rFonts w:hint="default" w:ascii="Times New Roman" w:hAnsi="Times New Roman" w:cs="Times New Roman"/>
                <w:sz w:val="24"/>
                <w:highlight w:val="none"/>
              </w:rPr>
              <w:t>4</w:t>
            </w:r>
            <w:r>
              <w:rPr>
                <w:rFonts w:hint="default" w:ascii="Times New Roman" w:hAnsi="Times New Roman" w:cs="Times New Roman"/>
                <w:sz w:val="24"/>
                <w:highlight w:val="none"/>
                <w:lang w:val="zh-CN"/>
              </w:rPr>
              <w:t>）固体废物：</w:t>
            </w:r>
            <w:r>
              <w:rPr>
                <w:rFonts w:hint="default" w:ascii="Times New Roman" w:hAnsi="Times New Roman" w:cs="Times New Roman"/>
                <w:sz w:val="24"/>
                <w:highlight w:val="none"/>
              </w:rPr>
              <w:t>施工期固体废物主要是施工人员的生活垃圾、装修及设备包装废物。</w:t>
            </w:r>
          </w:p>
          <w:p w14:paraId="32FFC18A">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综上：项目施工期以施工噪声、施工扬尘、废弃物料（建筑垃圾及其他废料）和废水为主要污染物。</w:t>
            </w:r>
          </w:p>
          <w:p w14:paraId="18B0A74C">
            <w:pPr>
              <w:pStyle w:val="46"/>
              <w:spacing w:line="360" w:lineRule="auto"/>
              <w:ind w:left="0" w:leftChars="0" w:firstLineChars="0"/>
              <w:rPr>
                <w:rFonts w:hint="default" w:ascii="Times New Roman" w:hAnsi="Times New Roman" w:cs="Times New Roman"/>
                <w:sz w:val="24"/>
                <w:highlight w:val="none"/>
              </w:rPr>
            </w:pPr>
            <w:r>
              <w:rPr>
                <w:rFonts w:hint="default" w:ascii="Times New Roman" w:hAnsi="Times New Roman" w:cs="Times New Roman"/>
                <w:sz w:val="24"/>
                <w:highlight w:val="none"/>
              </w:rPr>
              <w:t>措施如下：</w:t>
            </w:r>
          </w:p>
          <w:p w14:paraId="4C0ED21F">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（1）合理安排施工时间，减少对周边环境的影响；</w:t>
            </w:r>
          </w:p>
          <w:p w14:paraId="6F9FBBFC">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（2）施工期间密闭施工，减少粉尘、焊接等烟尘影响。</w:t>
            </w:r>
          </w:p>
          <w:p w14:paraId="5DFBB2BF">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（3）产生的生活废水进入污水管网。</w:t>
            </w:r>
          </w:p>
          <w:p w14:paraId="1C054180">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（4）固体废物为一般固废，由施工单位负责清运。</w:t>
            </w:r>
          </w:p>
          <w:p w14:paraId="10AE857F">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由于施工期环境影响较小，时间较短，本次环评将只针对运营期进行重点分析。</w:t>
            </w:r>
          </w:p>
        </w:tc>
      </w:tr>
    </w:tbl>
    <w:p w14:paraId="5B08CDA6">
      <w:pPr>
        <w:spacing w:line="360" w:lineRule="auto"/>
        <w:jc w:val="center"/>
        <w:rPr>
          <w:rFonts w:hint="default" w:ascii="Times New Roman" w:hAnsi="Times New Roman" w:eastAsia="黑体" w:cs="Times New Roman"/>
          <w:bCs/>
          <w:sz w:val="24"/>
          <w:highlight w:val="none"/>
        </w:rPr>
        <w:sectPr>
          <w:pgSz w:w="11907" w:h="16840"/>
          <w:pgMar w:top="1440" w:right="1077" w:bottom="1440" w:left="1077" w:header="851" w:footer="851" w:gutter="0"/>
          <w:cols w:space="720" w:num="1"/>
          <w:docGrid w:linePitch="312" w:charSpace="0"/>
        </w:sectPr>
      </w:pPr>
    </w:p>
    <w:tbl>
      <w:tblPr>
        <w:tblStyle w:val="47"/>
        <w:tblW w:w="510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4011"/>
      </w:tblGrid>
      <w:tr w14:paraId="37223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29" w:hRule="atLeast"/>
          <w:jc w:val="center"/>
        </w:trPr>
        <w:tc>
          <w:tcPr>
            <w:tcW w:w="136" w:type="pct"/>
            <w:tcMar>
              <w:left w:w="28" w:type="dxa"/>
              <w:right w:w="28" w:type="dxa"/>
            </w:tcMar>
            <w:vAlign w:val="center"/>
          </w:tcPr>
          <w:p w14:paraId="7BC6481F">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运营</w:t>
            </w:r>
          </w:p>
          <w:p w14:paraId="00C9BFE8">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期环</w:t>
            </w:r>
          </w:p>
          <w:p w14:paraId="56D3D776">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境影</w:t>
            </w:r>
          </w:p>
          <w:p w14:paraId="17FD9BD8">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响和</w:t>
            </w:r>
          </w:p>
          <w:p w14:paraId="77506177">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保护</w:t>
            </w:r>
          </w:p>
          <w:p w14:paraId="61B814AE">
            <w:pPr>
              <w:pStyle w:val="42"/>
              <w:adjustRightInd w:val="0"/>
              <w:snapToGrid w:val="0"/>
              <w:spacing w:before="0" w:beforeAutospacing="0" w:after="0" w:afterAutospacing="0"/>
              <w:jc w:val="center"/>
              <w:rPr>
                <w:rFonts w:hint="default" w:ascii="Times New Roman" w:hAnsi="Times New Roman" w:cs="Times New Roman"/>
                <w:bCs/>
                <w:highlight w:val="none"/>
              </w:rPr>
            </w:pPr>
            <w:r>
              <w:rPr>
                <w:rFonts w:hint="default" w:ascii="Times New Roman" w:hAnsi="Times New Roman" w:cs="Times New Roman"/>
                <w:bCs/>
                <w:highlight w:val="none"/>
              </w:rPr>
              <w:t>措</w:t>
            </w:r>
          </w:p>
          <w:p w14:paraId="6DFE3A30">
            <w:pPr>
              <w:pStyle w:val="42"/>
              <w:adjustRightInd w:val="0"/>
              <w:snapToGrid w:val="0"/>
              <w:spacing w:before="0" w:beforeAutospacing="0" w:after="0" w:afterAutospacing="0"/>
              <w:jc w:val="center"/>
              <w:rPr>
                <w:rFonts w:hint="default" w:ascii="Times New Roman" w:hAnsi="Times New Roman" w:cs="Times New Roman"/>
                <w:bCs/>
                <w:highlight w:val="none"/>
              </w:rPr>
            </w:pPr>
          </w:p>
          <w:p w14:paraId="4D0B419E">
            <w:pPr>
              <w:pStyle w:val="42"/>
              <w:adjustRightInd w:val="0"/>
              <w:snapToGrid w:val="0"/>
              <w:spacing w:before="0" w:beforeAutospacing="0" w:after="0" w:afterAutospacing="0"/>
              <w:jc w:val="center"/>
              <w:rPr>
                <w:rFonts w:hint="default" w:ascii="Times New Roman" w:hAnsi="Times New Roman" w:cs="Times New Roman"/>
                <w:bCs/>
                <w:highlight w:val="none"/>
              </w:rPr>
            </w:pPr>
            <w:r>
              <w:rPr>
                <w:rFonts w:hint="default" w:ascii="Times New Roman" w:hAnsi="Times New Roman" w:cs="Times New Roman"/>
                <w:bCs/>
                <w:highlight w:val="none"/>
              </w:rPr>
              <w:t>施</w:t>
            </w:r>
          </w:p>
          <w:p w14:paraId="43E11FBE">
            <w:pPr>
              <w:spacing w:line="360" w:lineRule="auto"/>
              <w:jc w:val="center"/>
              <w:rPr>
                <w:rFonts w:hint="default" w:ascii="Times New Roman" w:hAnsi="Times New Roman" w:cs="Times New Roman"/>
                <w:bCs/>
                <w:sz w:val="24"/>
                <w:highlight w:val="none"/>
              </w:rPr>
            </w:pPr>
          </w:p>
        </w:tc>
        <w:tc>
          <w:tcPr>
            <w:tcW w:w="4863" w:type="pct"/>
            <w:vAlign w:val="center"/>
          </w:tcPr>
          <w:p w14:paraId="2E8B9198">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一、废气</w:t>
            </w:r>
          </w:p>
          <w:p w14:paraId="280E8A81">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 xml:space="preserve">1、废气产生源强               </w:t>
            </w:r>
          </w:p>
          <w:p w14:paraId="3B5D3854">
            <w:pPr>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  大气污染物有组织排放情况表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8"/>
              <w:gridCol w:w="605"/>
              <w:gridCol w:w="574"/>
              <w:gridCol w:w="545"/>
              <w:gridCol w:w="545"/>
              <w:gridCol w:w="545"/>
              <w:gridCol w:w="1079"/>
              <w:gridCol w:w="394"/>
              <w:gridCol w:w="530"/>
              <w:gridCol w:w="591"/>
              <w:gridCol w:w="500"/>
              <w:gridCol w:w="500"/>
              <w:gridCol w:w="394"/>
              <w:gridCol w:w="591"/>
              <w:gridCol w:w="515"/>
              <w:gridCol w:w="1074"/>
              <w:gridCol w:w="498"/>
              <w:gridCol w:w="469"/>
              <w:gridCol w:w="621"/>
              <w:gridCol w:w="543"/>
              <w:gridCol w:w="629"/>
              <w:gridCol w:w="590"/>
              <w:gridCol w:w="607"/>
              <w:gridCol w:w="378"/>
            </w:tblGrid>
            <w:tr w14:paraId="49F63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8" w:type="dxa"/>
                  <w:vMerge w:val="restart"/>
                  <w:vAlign w:val="center"/>
                </w:tcPr>
                <w:p w14:paraId="0246CCA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污染工序</w:t>
                  </w:r>
                </w:p>
              </w:tc>
              <w:tc>
                <w:tcPr>
                  <w:tcW w:w="605" w:type="dxa"/>
                  <w:vMerge w:val="restart"/>
                  <w:vAlign w:val="center"/>
                </w:tcPr>
                <w:p w14:paraId="7124F55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污染物种类</w:t>
                  </w:r>
                </w:p>
              </w:tc>
              <w:tc>
                <w:tcPr>
                  <w:tcW w:w="1664" w:type="dxa"/>
                  <w:gridSpan w:val="3"/>
                  <w:vAlign w:val="center"/>
                </w:tcPr>
                <w:p w14:paraId="31E59F1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污染物产生情况</w:t>
                  </w:r>
                </w:p>
              </w:tc>
              <w:tc>
                <w:tcPr>
                  <w:tcW w:w="2548" w:type="dxa"/>
                  <w:gridSpan w:val="4"/>
                  <w:vAlign w:val="center"/>
                </w:tcPr>
                <w:p w14:paraId="5115300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治理设施</w:t>
                  </w:r>
                </w:p>
              </w:tc>
              <w:tc>
                <w:tcPr>
                  <w:tcW w:w="1591" w:type="dxa"/>
                  <w:gridSpan w:val="3"/>
                  <w:vAlign w:val="center"/>
                </w:tcPr>
                <w:p w14:paraId="34DFCA3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污染物排放情况</w:t>
                  </w:r>
                </w:p>
              </w:tc>
              <w:tc>
                <w:tcPr>
                  <w:tcW w:w="5334" w:type="dxa"/>
                  <w:gridSpan w:val="9"/>
                  <w:vAlign w:val="center"/>
                </w:tcPr>
                <w:p w14:paraId="085C913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排放口</w:t>
                  </w:r>
                </w:p>
              </w:tc>
              <w:tc>
                <w:tcPr>
                  <w:tcW w:w="1197" w:type="dxa"/>
                  <w:gridSpan w:val="2"/>
                  <w:vAlign w:val="center"/>
                </w:tcPr>
                <w:p w14:paraId="623CD06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排放标准</w:t>
                  </w:r>
                </w:p>
              </w:tc>
              <w:tc>
                <w:tcPr>
                  <w:tcW w:w="378" w:type="dxa"/>
                  <w:vMerge w:val="restart"/>
                  <w:vAlign w:val="center"/>
                </w:tcPr>
                <w:p w14:paraId="5213502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是否达标</w:t>
                  </w:r>
                </w:p>
              </w:tc>
            </w:tr>
            <w:tr w14:paraId="3EE55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8" w:type="dxa"/>
                  <w:vMerge w:val="continue"/>
                  <w:vAlign w:val="center"/>
                </w:tcPr>
                <w:p w14:paraId="05B4E7C9">
                  <w:pPr>
                    <w:adjustRightInd w:val="0"/>
                    <w:snapToGrid w:val="0"/>
                    <w:jc w:val="center"/>
                    <w:rPr>
                      <w:rFonts w:hint="default" w:ascii="Times New Roman" w:hAnsi="Times New Roman" w:cs="Times New Roman"/>
                      <w:szCs w:val="21"/>
                      <w:highlight w:val="none"/>
                    </w:rPr>
                  </w:pPr>
                </w:p>
              </w:tc>
              <w:tc>
                <w:tcPr>
                  <w:tcW w:w="605" w:type="dxa"/>
                  <w:vMerge w:val="continue"/>
                  <w:vAlign w:val="center"/>
                </w:tcPr>
                <w:p w14:paraId="082CB6D5">
                  <w:pPr>
                    <w:adjustRightInd w:val="0"/>
                    <w:snapToGrid w:val="0"/>
                    <w:jc w:val="center"/>
                    <w:rPr>
                      <w:rFonts w:hint="default" w:ascii="Times New Roman" w:hAnsi="Times New Roman" w:cs="Times New Roman"/>
                      <w:szCs w:val="21"/>
                      <w:highlight w:val="none"/>
                    </w:rPr>
                  </w:pPr>
                </w:p>
              </w:tc>
              <w:tc>
                <w:tcPr>
                  <w:tcW w:w="574" w:type="dxa"/>
                  <w:vAlign w:val="center"/>
                </w:tcPr>
                <w:p w14:paraId="366EAE5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产生浓度mg/m</w:t>
                  </w:r>
                  <w:r>
                    <w:rPr>
                      <w:rFonts w:hint="default" w:ascii="Times New Roman" w:hAnsi="Times New Roman" w:cs="Times New Roman"/>
                      <w:szCs w:val="21"/>
                      <w:highlight w:val="none"/>
                      <w:vertAlign w:val="superscript"/>
                    </w:rPr>
                    <w:t>3</w:t>
                  </w:r>
                </w:p>
              </w:tc>
              <w:tc>
                <w:tcPr>
                  <w:tcW w:w="545" w:type="dxa"/>
                  <w:vAlign w:val="center"/>
                </w:tcPr>
                <w:p w14:paraId="4F22485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产生速率kg/h</w:t>
                  </w:r>
                </w:p>
              </w:tc>
              <w:tc>
                <w:tcPr>
                  <w:tcW w:w="545" w:type="dxa"/>
                  <w:vAlign w:val="center"/>
                </w:tcPr>
                <w:p w14:paraId="713D450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产生量t/a</w:t>
                  </w:r>
                </w:p>
              </w:tc>
              <w:tc>
                <w:tcPr>
                  <w:tcW w:w="545" w:type="dxa"/>
                  <w:vAlign w:val="center"/>
                </w:tcPr>
                <w:p w14:paraId="568E3C8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收集效率%</w:t>
                  </w:r>
                </w:p>
              </w:tc>
              <w:tc>
                <w:tcPr>
                  <w:tcW w:w="1079" w:type="dxa"/>
                  <w:vAlign w:val="center"/>
                </w:tcPr>
                <w:p w14:paraId="29B5650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治理设施</w:t>
                  </w:r>
                </w:p>
              </w:tc>
              <w:tc>
                <w:tcPr>
                  <w:tcW w:w="394" w:type="dxa"/>
                  <w:vAlign w:val="center"/>
                </w:tcPr>
                <w:p w14:paraId="2EF2ABA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处理效率%</w:t>
                  </w:r>
                </w:p>
              </w:tc>
              <w:tc>
                <w:tcPr>
                  <w:tcW w:w="530" w:type="dxa"/>
                  <w:vAlign w:val="center"/>
                </w:tcPr>
                <w:p w14:paraId="2EAF9F7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是否为可行技术</w:t>
                  </w:r>
                </w:p>
              </w:tc>
              <w:tc>
                <w:tcPr>
                  <w:tcW w:w="591" w:type="dxa"/>
                  <w:vAlign w:val="center"/>
                </w:tcPr>
                <w:p w14:paraId="2284D5B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排放浓度mg/m</w:t>
                  </w:r>
                  <w:r>
                    <w:rPr>
                      <w:rFonts w:hint="default" w:ascii="Times New Roman" w:hAnsi="Times New Roman" w:cs="Times New Roman"/>
                      <w:szCs w:val="21"/>
                      <w:highlight w:val="none"/>
                      <w:vertAlign w:val="superscript"/>
                    </w:rPr>
                    <w:t>3</w:t>
                  </w:r>
                </w:p>
              </w:tc>
              <w:tc>
                <w:tcPr>
                  <w:tcW w:w="500" w:type="dxa"/>
                  <w:vAlign w:val="center"/>
                </w:tcPr>
                <w:p w14:paraId="5D06DC1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排放速率kg/h</w:t>
                  </w:r>
                </w:p>
              </w:tc>
              <w:tc>
                <w:tcPr>
                  <w:tcW w:w="500" w:type="dxa"/>
                  <w:vAlign w:val="center"/>
                </w:tcPr>
                <w:p w14:paraId="6B37253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排放量t/a</w:t>
                  </w:r>
                </w:p>
              </w:tc>
              <w:tc>
                <w:tcPr>
                  <w:tcW w:w="394" w:type="dxa"/>
                  <w:vAlign w:val="center"/>
                </w:tcPr>
                <w:p w14:paraId="3D9AAEC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编号</w:t>
                  </w:r>
                </w:p>
              </w:tc>
              <w:tc>
                <w:tcPr>
                  <w:tcW w:w="591" w:type="dxa"/>
                  <w:vAlign w:val="center"/>
                </w:tcPr>
                <w:p w14:paraId="722FEA5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515" w:type="dxa"/>
                  <w:vAlign w:val="center"/>
                </w:tcPr>
                <w:p w14:paraId="333F35C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类型</w:t>
                  </w:r>
                </w:p>
              </w:tc>
              <w:tc>
                <w:tcPr>
                  <w:tcW w:w="1074" w:type="dxa"/>
                  <w:vAlign w:val="center"/>
                </w:tcPr>
                <w:p w14:paraId="1AFFB38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地理坐标</w:t>
                  </w:r>
                </w:p>
              </w:tc>
              <w:tc>
                <w:tcPr>
                  <w:tcW w:w="498" w:type="dxa"/>
                  <w:vAlign w:val="center"/>
                </w:tcPr>
                <w:p w14:paraId="5E97AC9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高度m</w:t>
                  </w:r>
                </w:p>
              </w:tc>
              <w:tc>
                <w:tcPr>
                  <w:tcW w:w="469" w:type="dxa"/>
                  <w:vAlign w:val="center"/>
                </w:tcPr>
                <w:p w14:paraId="7BC4250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出口内径m</w:t>
                  </w:r>
                </w:p>
              </w:tc>
              <w:tc>
                <w:tcPr>
                  <w:tcW w:w="621" w:type="dxa"/>
                  <w:vAlign w:val="center"/>
                </w:tcPr>
                <w:p w14:paraId="2ECE063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风量m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/h</w:t>
                  </w:r>
                </w:p>
              </w:tc>
              <w:tc>
                <w:tcPr>
                  <w:tcW w:w="543" w:type="dxa"/>
                  <w:vAlign w:val="center"/>
                </w:tcPr>
                <w:p w14:paraId="30D04E8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排气温度℃</w:t>
                  </w:r>
                </w:p>
              </w:tc>
              <w:tc>
                <w:tcPr>
                  <w:tcW w:w="629" w:type="dxa"/>
                  <w:vAlign w:val="center"/>
                </w:tcPr>
                <w:p w14:paraId="426285B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年排放时数/h</w:t>
                  </w:r>
                </w:p>
              </w:tc>
              <w:tc>
                <w:tcPr>
                  <w:tcW w:w="590" w:type="dxa"/>
                  <w:vAlign w:val="center"/>
                </w:tcPr>
                <w:p w14:paraId="58B1699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浓度限值mg/m</w:t>
                  </w:r>
                  <w:r>
                    <w:rPr>
                      <w:rFonts w:hint="default" w:ascii="Times New Roman" w:hAnsi="Times New Roman" w:cs="Times New Roman"/>
                      <w:szCs w:val="21"/>
                      <w:highlight w:val="none"/>
                      <w:vertAlign w:val="superscript"/>
                    </w:rPr>
                    <w:t>3</w:t>
                  </w:r>
                </w:p>
              </w:tc>
              <w:tc>
                <w:tcPr>
                  <w:tcW w:w="607" w:type="dxa"/>
                  <w:vAlign w:val="center"/>
                </w:tcPr>
                <w:p w14:paraId="292BCB9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速率限值kg/h</w:t>
                  </w:r>
                </w:p>
              </w:tc>
              <w:tc>
                <w:tcPr>
                  <w:tcW w:w="378" w:type="dxa"/>
                  <w:vMerge w:val="continue"/>
                  <w:vAlign w:val="center"/>
                </w:tcPr>
                <w:p w14:paraId="102D8F76">
                  <w:pPr>
                    <w:adjustRightInd w:val="0"/>
                    <w:snapToGrid w:val="0"/>
                    <w:jc w:val="center"/>
                    <w:rPr>
                      <w:rFonts w:hint="default" w:ascii="Times New Roman" w:hAnsi="Times New Roman" w:cs="Times New Roman"/>
                      <w:szCs w:val="21"/>
                      <w:highlight w:val="none"/>
                    </w:rPr>
                  </w:pPr>
                </w:p>
              </w:tc>
            </w:tr>
            <w:tr w14:paraId="2B302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Align w:val="center"/>
                </w:tcPr>
                <w:p w14:paraId="7F9A7C0B">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吹塑</w:t>
                  </w:r>
                </w:p>
              </w:tc>
              <w:tc>
                <w:tcPr>
                  <w:tcW w:w="605" w:type="dxa"/>
                  <w:vAlign w:val="center"/>
                </w:tcPr>
                <w:p w14:paraId="64959F6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574" w:type="dxa"/>
                  <w:vAlign w:val="center"/>
                </w:tcPr>
                <w:p w14:paraId="5B10A0A9">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 xml:space="preserve">75.938 </w:t>
                  </w:r>
                </w:p>
              </w:tc>
              <w:tc>
                <w:tcPr>
                  <w:tcW w:w="545" w:type="dxa"/>
                  <w:vAlign w:val="center"/>
                </w:tcPr>
                <w:p w14:paraId="27F04B5D">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 xml:space="preserve">0.304 </w:t>
                  </w:r>
                </w:p>
              </w:tc>
              <w:tc>
                <w:tcPr>
                  <w:tcW w:w="545" w:type="dxa"/>
                  <w:vAlign w:val="center"/>
                </w:tcPr>
                <w:p w14:paraId="4887EBB4">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0.729</w:t>
                  </w:r>
                </w:p>
              </w:tc>
              <w:tc>
                <w:tcPr>
                  <w:tcW w:w="545" w:type="dxa"/>
                  <w:vAlign w:val="center"/>
                </w:tcPr>
                <w:p w14:paraId="216A25B8">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1079" w:type="dxa"/>
                  <w:vMerge w:val="restart"/>
                  <w:vAlign w:val="center"/>
                </w:tcPr>
                <w:p w14:paraId="0035C8B5">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2级活性炭吸附</w:t>
                  </w:r>
                </w:p>
              </w:tc>
              <w:tc>
                <w:tcPr>
                  <w:tcW w:w="394" w:type="dxa"/>
                  <w:vAlign w:val="center"/>
                </w:tcPr>
                <w:p w14:paraId="2A617875">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530" w:type="dxa"/>
                  <w:vAlign w:val="center"/>
                </w:tcPr>
                <w:p w14:paraId="7856FCE4">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91" w:type="dxa"/>
                  <w:vAlign w:val="center"/>
                </w:tcPr>
                <w:p w14:paraId="3C309DA1">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00" w:type="dxa"/>
                  <w:vAlign w:val="center"/>
                </w:tcPr>
                <w:p w14:paraId="301C0B6C">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00" w:type="dxa"/>
                  <w:vAlign w:val="center"/>
                </w:tcPr>
                <w:p w14:paraId="3EEEF138">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394" w:type="dxa"/>
                  <w:vAlign w:val="center"/>
                </w:tcPr>
                <w:p w14:paraId="6FA8DA04">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91" w:type="dxa"/>
                  <w:vAlign w:val="center"/>
                </w:tcPr>
                <w:p w14:paraId="3BC0C224">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15" w:type="dxa"/>
                  <w:vAlign w:val="center"/>
                </w:tcPr>
                <w:p w14:paraId="6CE4AE20">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1074" w:type="dxa"/>
                  <w:vAlign w:val="center"/>
                </w:tcPr>
                <w:p w14:paraId="38A8AC48">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498" w:type="dxa"/>
                  <w:vAlign w:val="center"/>
                </w:tcPr>
                <w:p w14:paraId="39E612BC">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469" w:type="dxa"/>
                  <w:vAlign w:val="center"/>
                </w:tcPr>
                <w:p w14:paraId="4A698233">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621" w:type="dxa"/>
                  <w:vAlign w:val="center"/>
                </w:tcPr>
                <w:p w14:paraId="4CB4B871">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43" w:type="dxa"/>
                  <w:vAlign w:val="center"/>
                </w:tcPr>
                <w:p w14:paraId="4C149FB1">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629" w:type="dxa"/>
                  <w:vAlign w:val="center"/>
                </w:tcPr>
                <w:p w14:paraId="4E3F1E92">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90" w:type="dxa"/>
                  <w:vAlign w:val="center"/>
                </w:tcPr>
                <w:p w14:paraId="668495A3">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607" w:type="dxa"/>
                  <w:vAlign w:val="center"/>
                </w:tcPr>
                <w:p w14:paraId="076D7CD0">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378" w:type="dxa"/>
                  <w:vAlign w:val="center"/>
                </w:tcPr>
                <w:p w14:paraId="0E59EEF0">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r>
            <w:tr w14:paraId="722E9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Align w:val="center"/>
                </w:tcPr>
                <w:p w14:paraId="71B7FC0A">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注塑</w:t>
                  </w:r>
                </w:p>
              </w:tc>
              <w:tc>
                <w:tcPr>
                  <w:tcW w:w="605" w:type="dxa"/>
                  <w:vAlign w:val="center"/>
                </w:tcPr>
                <w:p w14:paraId="3A4CED5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574" w:type="dxa"/>
                  <w:vAlign w:val="center"/>
                </w:tcPr>
                <w:p w14:paraId="3439F70D">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 xml:space="preserve">76.042 </w:t>
                  </w:r>
                </w:p>
              </w:tc>
              <w:tc>
                <w:tcPr>
                  <w:tcW w:w="545" w:type="dxa"/>
                  <w:vAlign w:val="center"/>
                </w:tcPr>
                <w:p w14:paraId="2EC77C66">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 xml:space="preserve">0.152 </w:t>
                  </w:r>
                </w:p>
              </w:tc>
              <w:tc>
                <w:tcPr>
                  <w:tcW w:w="545" w:type="dxa"/>
                  <w:vAlign w:val="center"/>
                </w:tcPr>
                <w:p w14:paraId="35FC2441">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0.365</w:t>
                  </w:r>
                </w:p>
              </w:tc>
              <w:tc>
                <w:tcPr>
                  <w:tcW w:w="545" w:type="dxa"/>
                  <w:vAlign w:val="center"/>
                </w:tcPr>
                <w:p w14:paraId="2507AB3B">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1079" w:type="dxa"/>
                  <w:vMerge w:val="continue"/>
                  <w:vAlign w:val="center"/>
                </w:tcPr>
                <w:p w14:paraId="3240B334">
                  <w:pPr>
                    <w:adjustRightInd w:val="0"/>
                    <w:snapToGrid w:val="0"/>
                    <w:jc w:val="center"/>
                    <w:rPr>
                      <w:rFonts w:hint="default" w:ascii="Times New Roman" w:hAnsi="Times New Roman" w:cs="Times New Roman"/>
                      <w:szCs w:val="21"/>
                      <w:highlight w:val="none"/>
                    </w:rPr>
                  </w:pPr>
                </w:p>
              </w:tc>
              <w:tc>
                <w:tcPr>
                  <w:tcW w:w="394" w:type="dxa"/>
                  <w:vAlign w:val="center"/>
                </w:tcPr>
                <w:p w14:paraId="77279147">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530" w:type="dxa"/>
                  <w:vAlign w:val="center"/>
                </w:tcPr>
                <w:p w14:paraId="43FD4442">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91" w:type="dxa"/>
                  <w:vAlign w:val="center"/>
                </w:tcPr>
                <w:p w14:paraId="66306E5E">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00" w:type="dxa"/>
                  <w:vAlign w:val="center"/>
                </w:tcPr>
                <w:p w14:paraId="6B06F68B">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00" w:type="dxa"/>
                  <w:vAlign w:val="center"/>
                </w:tcPr>
                <w:p w14:paraId="052D3001">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394" w:type="dxa"/>
                  <w:vAlign w:val="center"/>
                </w:tcPr>
                <w:p w14:paraId="3197536E">
                  <w:pPr>
                    <w:adjustRightInd w:val="0"/>
                    <w:snapToGrid w:val="0"/>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w:t>
                  </w:r>
                </w:p>
              </w:tc>
              <w:tc>
                <w:tcPr>
                  <w:tcW w:w="591" w:type="dxa"/>
                  <w:vAlign w:val="center"/>
                </w:tcPr>
                <w:p w14:paraId="15687E3A">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15" w:type="dxa"/>
                  <w:vAlign w:val="center"/>
                </w:tcPr>
                <w:p w14:paraId="64BF33AF">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1074" w:type="dxa"/>
                  <w:vAlign w:val="center"/>
                </w:tcPr>
                <w:p w14:paraId="1A58C776">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498" w:type="dxa"/>
                  <w:vAlign w:val="center"/>
                </w:tcPr>
                <w:p w14:paraId="5AE8A912">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469" w:type="dxa"/>
                  <w:vAlign w:val="center"/>
                </w:tcPr>
                <w:p w14:paraId="2AAB0204">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621" w:type="dxa"/>
                  <w:vAlign w:val="center"/>
                </w:tcPr>
                <w:p w14:paraId="7D790B32">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43" w:type="dxa"/>
                  <w:vAlign w:val="center"/>
                </w:tcPr>
                <w:p w14:paraId="27AF82C3">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629" w:type="dxa"/>
                  <w:vAlign w:val="center"/>
                </w:tcPr>
                <w:p w14:paraId="13384796">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590" w:type="dxa"/>
                  <w:vAlign w:val="center"/>
                </w:tcPr>
                <w:p w14:paraId="711F09AD">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607" w:type="dxa"/>
                  <w:vAlign w:val="center"/>
                </w:tcPr>
                <w:p w14:paraId="4EC316ED">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378" w:type="dxa"/>
                  <w:vAlign w:val="center"/>
                </w:tcPr>
                <w:p w14:paraId="2D535D49">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r>
            <w:tr w14:paraId="1429C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Align w:val="center"/>
                </w:tcPr>
                <w:p w14:paraId="648DAA0B">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合计</w:t>
                  </w:r>
                </w:p>
              </w:tc>
              <w:tc>
                <w:tcPr>
                  <w:tcW w:w="605" w:type="dxa"/>
                  <w:vAlign w:val="center"/>
                </w:tcPr>
                <w:p w14:paraId="01D0970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574" w:type="dxa"/>
                  <w:vAlign w:val="center"/>
                </w:tcPr>
                <w:p w14:paraId="085509B3">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75.972</w:t>
                  </w:r>
                </w:p>
              </w:tc>
              <w:tc>
                <w:tcPr>
                  <w:tcW w:w="545" w:type="dxa"/>
                  <w:vAlign w:val="center"/>
                </w:tcPr>
                <w:p w14:paraId="2B8B092B">
                  <w:pPr>
                    <w:adjustRightInd w:val="0"/>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0.456</w:t>
                  </w:r>
                </w:p>
              </w:tc>
              <w:tc>
                <w:tcPr>
                  <w:tcW w:w="545" w:type="dxa"/>
                  <w:vAlign w:val="center"/>
                </w:tcPr>
                <w:p w14:paraId="797C26C7">
                  <w:pPr>
                    <w:adjustRightInd w:val="0"/>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1.094</w:t>
                  </w:r>
                </w:p>
              </w:tc>
              <w:tc>
                <w:tcPr>
                  <w:tcW w:w="545" w:type="dxa"/>
                  <w:vAlign w:val="center"/>
                </w:tcPr>
                <w:p w14:paraId="390A96FA">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90</w:t>
                  </w:r>
                </w:p>
              </w:tc>
              <w:tc>
                <w:tcPr>
                  <w:tcW w:w="1079" w:type="dxa"/>
                  <w:vAlign w:val="center"/>
                </w:tcPr>
                <w:p w14:paraId="0635F05C">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2级活性炭吸附</w:t>
                  </w:r>
                </w:p>
              </w:tc>
              <w:tc>
                <w:tcPr>
                  <w:tcW w:w="394" w:type="dxa"/>
                  <w:vAlign w:val="center"/>
                </w:tcPr>
                <w:p w14:paraId="5A0CA77F">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84</w:t>
                  </w:r>
                </w:p>
              </w:tc>
              <w:tc>
                <w:tcPr>
                  <w:tcW w:w="530" w:type="dxa"/>
                  <w:vAlign w:val="center"/>
                </w:tcPr>
                <w:p w14:paraId="7AFEACD0">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是</w:t>
                  </w:r>
                </w:p>
              </w:tc>
              <w:tc>
                <w:tcPr>
                  <w:tcW w:w="591" w:type="dxa"/>
                  <w:vAlign w:val="center"/>
                </w:tcPr>
                <w:p w14:paraId="49FB431F">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12.156</w:t>
                  </w:r>
                </w:p>
              </w:tc>
              <w:tc>
                <w:tcPr>
                  <w:tcW w:w="500" w:type="dxa"/>
                  <w:vAlign w:val="center"/>
                </w:tcPr>
                <w:p w14:paraId="2BD81219">
                  <w:pPr>
                    <w:adjustRightInd w:val="0"/>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0.073</w:t>
                  </w:r>
                </w:p>
              </w:tc>
              <w:tc>
                <w:tcPr>
                  <w:tcW w:w="500" w:type="dxa"/>
                  <w:vAlign w:val="center"/>
                </w:tcPr>
                <w:p w14:paraId="1AB2E216">
                  <w:pPr>
                    <w:adjustRightInd w:val="0"/>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0.175</w:t>
                  </w:r>
                </w:p>
              </w:tc>
              <w:tc>
                <w:tcPr>
                  <w:tcW w:w="394" w:type="dxa"/>
                  <w:vAlign w:val="center"/>
                </w:tcPr>
                <w:p w14:paraId="297B90E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DA00</w:t>
                  </w:r>
                  <w:r>
                    <w:rPr>
                      <w:rFonts w:hint="eastAsia" w:cs="Times New Roman"/>
                      <w:szCs w:val="21"/>
                      <w:highlight w:val="none"/>
                      <w:lang w:val="en-US" w:eastAsia="zh-CN"/>
                    </w:rPr>
                    <w:t>1</w:t>
                  </w:r>
                </w:p>
              </w:tc>
              <w:tc>
                <w:tcPr>
                  <w:tcW w:w="591" w:type="dxa"/>
                  <w:vAlign w:val="center"/>
                </w:tcPr>
                <w:p w14:paraId="1EFD936F">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吹塑、注塑排气筒</w:t>
                  </w:r>
                </w:p>
              </w:tc>
              <w:tc>
                <w:tcPr>
                  <w:tcW w:w="515" w:type="dxa"/>
                  <w:vAlign w:val="center"/>
                </w:tcPr>
                <w:p w14:paraId="49977D8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一般排放口</w:t>
                  </w:r>
                </w:p>
              </w:tc>
              <w:tc>
                <w:tcPr>
                  <w:tcW w:w="1074" w:type="dxa"/>
                  <w:vAlign w:val="center"/>
                </w:tcPr>
                <w:p w14:paraId="694AC78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118°14′51.246″E</w:t>
                  </w:r>
                </w:p>
                <w:p w14:paraId="718F06E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36°48′53.524″N</w:t>
                  </w:r>
                </w:p>
              </w:tc>
              <w:tc>
                <w:tcPr>
                  <w:tcW w:w="498" w:type="dxa"/>
                  <w:shd w:val="clear" w:color="auto" w:fill="auto"/>
                  <w:vAlign w:val="center"/>
                </w:tcPr>
                <w:p w14:paraId="4DC5E5AC">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rPr>
                    <w:t>15</w:t>
                  </w:r>
                </w:p>
              </w:tc>
              <w:tc>
                <w:tcPr>
                  <w:tcW w:w="469" w:type="dxa"/>
                  <w:shd w:val="clear" w:color="auto" w:fill="auto"/>
                  <w:vAlign w:val="center"/>
                </w:tcPr>
                <w:p w14:paraId="3EF3FA4A">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rPr>
                    <w:t>0.</w:t>
                  </w:r>
                  <w:r>
                    <w:rPr>
                      <w:rFonts w:hint="eastAsia" w:ascii="Times New Roman" w:hAnsi="Times New Roman" w:cs="Times New Roman"/>
                      <w:szCs w:val="21"/>
                      <w:highlight w:val="none"/>
                      <w:lang w:val="en-US" w:eastAsia="zh-CN"/>
                    </w:rPr>
                    <w:t>35</w:t>
                  </w:r>
                </w:p>
              </w:tc>
              <w:tc>
                <w:tcPr>
                  <w:tcW w:w="621" w:type="dxa"/>
                  <w:vAlign w:val="center"/>
                </w:tcPr>
                <w:p w14:paraId="5F3091DB">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6000</w:t>
                  </w:r>
                </w:p>
              </w:tc>
              <w:tc>
                <w:tcPr>
                  <w:tcW w:w="543" w:type="dxa"/>
                  <w:vAlign w:val="center"/>
                </w:tcPr>
                <w:p w14:paraId="50BCD251">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w:t>
                  </w:r>
                </w:p>
              </w:tc>
              <w:tc>
                <w:tcPr>
                  <w:tcW w:w="629" w:type="dxa"/>
                  <w:vAlign w:val="center"/>
                </w:tcPr>
                <w:p w14:paraId="7E3733F0">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2400</w:t>
                  </w:r>
                </w:p>
              </w:tc>
              <w:tc>
                <w:tcPr>
                  <w:tcW w:w="590" w:type="dxa"/>
                  <w:vAlign w:val="center"/>
                </w:tcPr>
                <w:p w14:paraId="52B33479">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60</w:t>
                  </w:r>
                </w:p>
              </w:tc>
              <w:tc>
                <w:tcPr>
                  <w:tcW w:w="607" w:type="dxa"/>
                  <w:vAlign w:val="center"/>
                </w:tcPr>
                <w:p w14:paraId="122A7B01">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3</w:t>
                  </w:r>
                </w:p>
              </w:tc>
              <w:tc>
                <w:tcPr>
                  <w:tcW w:w="378" w:type="dxa"/>
                  <w:vAlign w:val="center"/>
                </w:tcPr>
                <w:p w14:paraId="7FDB7ABB">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是</w:t>
                  </w:r>
                </w:p>
              </w:tc>
            </w:tr>
          </w:tbl>
          <w:p w14:paraId="44F48EFD">
            <w:pPr>
              <w:adjustRightInd w:val="0"/>
              <w:snapToGrid w:val="0"/>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表4-2  项目无组织废气产生及排放情况一览表</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9"/>
              <w:gridCol w:w="1464"/>
              <w:gridCol w:w="1318"/>
              <w:gridCol w:w="976"/>
              <w:gridCol w:w="1037"/>
              <w:gridCol w:w="1257"/>
              <w:gridCol w:w="985"/>
              <w:gridCol w:w="1200"/>
              <w:gridCol w:w="839"/>
              <w:gridCol w:w="1391"/>
              <w:gridCol w:w="1146"/>
              <w:gridCol w:w="1405"/>
            </w:tblGrid>
            <w:tr w14:paraId="7EF17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restart"/>
                  <w:vAlign w:val="center"/>
                </w:tcPr>
                <w:p w14:paraId="751E5CB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面源编号</w:t>
                  </w:r>
                </w:p>
              </w:tc>
              <w:tc>
                <w:tcPr>
                  <w:tcW w:w="531" w:type="pct"/>
                  <w:vMerge w:val="restart"/>
                  <w:vAlign w:val="center"/>
                </w:tcPr>
                <w:p w14:paraId="28D8E74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478" w:type="pct"/>
                  <w:vMerge w:val="restart"/>
                  <w:vAlign w:val="center"/>
                </w:tcPr>
                <w:p w14:paraId="242C506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w:t>
                  </w:r>
                </w:p>
              </w:tc>
              <w:tc>
                <w:tcPr>
                  <w:tcW w:w="1186" w:type="pct"/>
                  <w:gridSpan w:val="3"/>
                  <w:vAlign w:val="center"/>
                </w:tcPr>
                <w:p w14:paraId="5315443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面源情况</w:t>
                  </w:r>
                </w:p>
              </w:tc>
              <w:tc>
                <w:tcPr>
                  <w:tcW w:w="357" w:type="pct"/>
                  <w:vMerge w:val="restart"/>
                  <w:vAlign w:val="center"/>
                </w:tcPr>
                <w:p w14:paraId="71E64EF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年产生量（t/a）</w:t>
                  </w:r>
                </w:p>
              </w:tc>
              <w:tc>
                <w:tcPr>
                  <w:tcW w:w="435" w:type="pct"/>
                  <w:vMerge w:val="restart"/>
                  <w:vAlign w:val="center"/>
                </w:tcPr>
                <w:p w14:paraId="2B71206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处理措施</w:t>
                  </w:r>
                </w:p>
              </w:tc>
              <w:tc>
                <w:tcPr>
                  <w:tcW w:w="304" w:type="pct"/>
                  <w:vMerge w:val="restart"/>
                  <w:vAlign w:val="center"/>
                </w:tcPr>
                <w:p w14:paraId="2DF580E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年排放时间（h）</w:t>
                  </w:r>
                </w:p>
              </w:tc>
              <w:tc>
                <w:tcPr>
                  <w:tcW w:w="920" w:type="pct"/>
                  <w:gridSpan w:val="2"/>
                  <w:vAlign w:val="center"/>
                </w:tcPr>
                <w:p w14:paraId="3E5F54E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排放情况</w:t>
                  </w:r>
                </w:p>
              </w:tc>
              <w:tc>
                <w:tcPr>
                  <w:tcW w:w="509" w:type="pct"/>
                  <w:vMerge w:val="restart"/>
                  <w:vAlign w:val="center"/>
                </w:tcPr>
                <w:p w14:paraId="6A489E6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厂界监控浓度限值（mg/m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w:t>
                  </w:r>
                </w:p>
              </w:tc>
            </w:tr>
            <w:tr w14:paraId="25829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continue"/>
                  <w:vAlign w:val="center"/>
                </w:tcPr>
                <w:p w14:paraId="10070E6E">
                  <w:pPr>
                    <w:adjustRightInd w:val="0"/>
                    <w:snapToGrid w:val="0"/>
                    <w:jc w:val="center"/>
                    <w:rPr>
                      <w:rFonts w:hint="default" w:ascii="Times New Roman" w:hAnsi="Times New Roman" w:cs="Times New Roman"/>
                      <w:szCs w:val="21"/>
                      <w:highlight w:val="none"/>
                    </w:rPr>
                  </w:pPr>
                </w:p>
              </w:tc>
              <w:tc>
                <w:tcPr>
                  <w:tcW w:w="531" w:type="pct"/>
                  <w:vMerge w:val="continue"/>
                  <w:vAlign w:val="center"/>
                </w:tcPr>
                <w:p w14:paraId="79C159D0">
                  <w:pPr>
                    <w:adjustRightInd w:val="0"/>
                    <w:snapToGrid w:val="0"/>
                    <w:jc w:val="center"/>
                    <w:rPr>
                      <w:rFonts w:hint="default" w:ascii="Times New Roman" w:hAnsi="Times New Roman" w:cs="Times New Roman"/>
                      <w:szCs w:val="21"/>
                      <w:highlight w:val="none"/>
                    </w:rPr>
                  </w:pPr>
                </w:p>
              </w:tc>
              <w:tc>
                <w:tcPr>
                  <w:tcW w:w="478" w:type="pct"/>
                  <w:vMerge w:val="continue"/>
                  <w:vAlign w:val="center"/>
                </w:tcPr>
                <w:p w14:paraId="099F8830">
                  <w:pPr>
                    <w:adjustRightInd w:val="0"/>
                    <w:snapToGrid w:val="0"/>
                    <w:jc w:val="center"/>
                    <w:rPr>
                      <w:rFonts w:hint="default" w:ascii="Times New Roman" w:hAnsi="Times New Roman" w:cs="Times New Roman"/>
                      <w:szCs w:val="21"/>
                      <w:highlight w:val="none"/>
                    </w:rPr>
                  </w:pPr>
                </w:p>
              </w:tc>
              <w:tc>
                <w:tcPr>
                  <w:tcW w:w="354" w:type="pct"/>
                  <w:vAlign w:val="center"/>
                </w:tcPr>
                <w:p w14:paraId="4838443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长度（m）</w:t>
                  </w:r>
                </w:p>
              </w:tc>
              <w:tc>
                <w:tcPr>
                  <w:tcW w:w="376" w:type="pct"/>
                  <w:vAlign w:val="center"/>
                </w:tcPr>
                <w:p w14:paraId="319E0DA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宽度（m）</w:t>
                  </w:r>
                </w:p>
              </w:tc>
              <w:tc>
                <w:tcPr>
                  <w:tcW w:w="456" w:type="pct"/>
                  <w:vAlign w:val="center"/>
                </w:tcPr>
                <w:p w14:paraId="177FB74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有效高度（m）</w:t>
                  </w:r>
                </w:p>
              </w:tc>
              <w:tc>
                <w:tcPr>
                  <w:tcW w:w="357" w:type="pct"/>
                  <w:vMerge w:val="continue"/>
                  <w:vAlign w:val="center"/>
                </w:tcPr>
                <w:p w14:paraId="19A734A7">
                  <w:pPr>
                    <w:adjustRightInd w:val="0"/>
                    <w:snapToGrid w:val="0"/>
                    <w:jc w:val="center"/>
                    <w:rPr>
                      <w:rFonts w:hint="default" w:ascii="Times New Roman" w:hAnsi="Times New Roman" w:cs="Times New Roman"/>
                      <w:szCs w:val="21"/>
                      <w:highlight w:val="none"/>
                    </w:rPr>
                  </w:pPr>
                </w:p>
              </w:tc>
              <w:tc>
                <w:tcPr>
                  <w:tcW w:w="435" w:type="pct"/>
                  <w:vMerge w:val="continue"/>
                  <w:vAlign w:val="center"/>
                </w:tcPr>
                <w:p w14:paraId="3E9BA8EF">
                  <w:pPr>
                    <w:adjustRightInd w:val="0"/>
                    <w:snapToGrid w:val="0"/>
                    <w:jc w:val="center"/>
                    <w:rPr>
                      <w:rFonts w:hint="default" w:ascii="Times New Roman" w:hAnsi="Times New Roman" w:cs="Times New Roman"/>
                      <w:szCs w:val="21"/>
                      <w:highlight w:val="none"/>
                    </w:rPr>
                  </w:pPr>
                </w:p>
              </w:tc>
              <w:tc>
                <w:tcPr>
                  <w:tcW w:w="304" w:type="pct"/>
                  <w:vMerge w:val="continue"/>
                  <w:vAlign w:val="center"/>
                </w:tcPr>
                <w:p w14:paraId="74ACB07D">
                  <w:pPr>
                    <w:adjustRightInd w:val="0"/>
                    <w:snapToGrid w:val="0"/>
                    <w:jc w:val="center"/>
                    <w:rPr>
                      <w:rFonts w:hint="default" w:ascii="Times New Roman" w:hAnsi="Times New Roman" w:cs="Times New Roman"/>
                      <w:szCs w:val="21"/>
                      <w:highlight w:val="none"/>
                    </w:rPr>
                  </w:pPr>
                </w:p>
              </w:tc>
              <w:tc>
                <w:tcPr>
                  <w:tcW w:w="504" w:type="pct"/>
                  <w:vAlign w:val="center"/>
                </w:tcPr>
                <w:p w14:paraId="1FFB992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排放速率（kg/h）</w:t>
                  </w:r>
                </w:p>
              </w:tc>
              <w:tc>
                <w:tcPr>
                  <w:tcW w:w="415" w:type="pct"/>
                  <w:vAlign w:val="center"/>
                </w:tcPr>
                <w:p w14:paraId="1230579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排放量（t/a）</w:t>
                  </w:r>
                </w:p>
              </w:tc>
              <w:tc>
                <w:tcPr>
                  <w:tcW w:w="509" w:type="pct"/>
                  <w:vMerge w:val="continue"/>
                </w:tcPr>
                <w:p w14:paraId="639D52E9">
                  <w:pPr>
                    <w:adjustRightInd w:val="0"/>
                    <w:snapToGrid w:val="0"/>
                    <w:jc w:val="center"/>
                    <w:rPr>
                      <w:rFonts w:hint="default" w:ascii="Times New Roman" w:hAnsi="Times New Roman" w:cs="Times New Roman"/>
                      <w:szCs w:val="21"/>
                      <w:highlight w:val="none"/>
                    </w:rPr>
                  </w:pPr>
                </w:p>
              </w:tc>
            </w:tr>
            <w:tr w14:paraId="1BE94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restart"/>
                  <w:vAlign w:val="center"/>
                </w:tcPr>
                <w:p w14:paraId="1DB4F04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M1</w:t>
                  </w:r>
                </w:p>
              </w:tc>
              <w:tc>
                <w:tcPr>
                  <w:tcW w:w="531" w:type="pct"/>
                  <w:vMerge w:val="restart"/>
                  <w:vAlign w:val="center"/>
                </w:tcPr>
                <w:p w14:paraId="4173ADB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车间</w:t>
                  </w:r>
                </w:p>
              </w:tc>
              <w:tc>
                <w:tcPr>
                  <w:tcW w:w="478" w:type="pct"/>
                  <w:vAlign w:val="center"/>
                </w:tcPr>
                <w:p w14:paraId="0DDCF77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354" w:type="pct"/>
                  <w:vMerge w:val="restart"/>
                  <w:vAlign w:val="center"/>
                </w:tcPr>
                <w:p w14:paraId="710F495A">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w:t>
                  </w:r>
                </w:p>
              </w:tc>
              <w:tc>
                <w:tcPr>
                  <w:tcW w:w="376" w:type="pct"/>
                  <w:vMerge w:val="restart"/>
                  <w:vAlign w:val="center"/>
                </w:tcPr>
                <w:p w14:paraId="727E04D1">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8</w:t>
                  </w:r>
                </w:p>
              </w:tc>
              <w:tc>
                <w:tcPr>
                  <w:tcW w:w="456" w:type="pct"/>
                  <w:vMerge w:val="restart"/>
                  <w:vAlign w:val="center"/>
                </w:tcPr>
                <w:p w14:paraId="678BC155">
                  <w:pPr>
                    <w:adjustRightInd w:val="0"/>
                    <w:snapToGrid w:val="0"/>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6</w:t>
                  </w:r>
                </w:p>
              </w:tc>
              <w:tc>
                <w:tcPr>
                  <w:tcW w:w="357" w:type="pct"/>
                  <w:vAlign w:val="center"/>
                </w:tcPr>
                <w:p w14:paraId="7784BA02">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0.1</w:t>
                  </w:r>
                  <w:r>
                    <w:rPr>
                      <w:rFonts w:hint="eastAsia" w:cs="Times New Roman"/>
                      <w:szCs w:val="21"/>
                      <w:highlight w:val="none"/>
                      <w:lang w:val="en-US" w:eastAsia="zh-CN"/>
                    </w:rPr>
                    <w:t>22</w:t>
                  </w:r>
                </w:p>
              </w:tc>
              <w:tc>
                <w:tcPr>
                  <w:tcW w:w="435" w:type="pct"/>
                  <w:vAlign w:val="center"/>
                </w:tcPr>
                <w:p w14:paraId="39E0E0A7">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车间</w:t>
                  </w:r>
                  <w:r>
                    <w:rPr>
                      <w:rFonts w:hint="eastAsia" w:cs="Times New Roman"/>
                      <w:szCs w:val="21"/>
                      <w:highlight w:val="none"/>
                      <w:lang w:val="en-US" w:eastAsia="zh-CN"/>
                    </w:rPr>
                    <w:t>密闭，加强收集</w:t>
                  </w:r>
                </w:p>
              </w:tc>
              <w:tc>
                <w:tcPr>
                  <w:tcW w:w="304" w:type="pct"/>
                  <w:vAlign w:val="center"/>
                </w:tcPr>
                <w:p w14:paraId="03173F5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2400</w:t>
                  </w:r>
                </w:p>
              </w:tc>
              <w:tc>
                <w:tcPr>
                  <w:tcW w:w="504" w:type="pct"/>
                  <w:vAlign w:val="center"/>
                </w:tcPr>
                <w:p w14:paraId="2DE48EF8">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0.051</w:t>
                  </w:r>
                </w:p>
              </w:tc>
              <w:tc>
                <w:tcPr>
                  <w:tcW w:w="415" w:type="pct"/>
                  <w:shd w:val="clear" w:color="auto" w:fill="auto"/>
                  <w:vAlign w:val="center"/>
                </w:tcPr>
                <w:p w14:paraId="344D8EB2">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0.122</w:t>
                  </w:r>
                </w:p>
              </w:tc>
              <w:tc>
                <w:tcPr>
                  <w:tcW w:w="509" w:type="pct"/>
                  <w:vAlign w:val="center"/>
                </w:tcPr>
                <w:p w14:paraId="1E6821E6">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2</w:t>
                  </w:r>
                  <w:r>
                    <w:rPr>
                      <w:rFonts w:hint="default" w:ascii="Times New Roman" w:hAnsi="Times New Roman" w:cs="Times New Roman"/>
                      <w:szCs w:val="21"/>
                      <w:highlight w:val="none"/>
                    </w:rPr>
                    <w:t>.0</w:t>
                  </w:r>
                </w:p>
              </w:tc>
            </w:tr>
            <w:tr w14:paraId="34BA0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continue"/>
                  <w:vAlign w:val="center"/>
                </w:tcPr>
                <w:p w14:paraId="0365942C">
                  <w:pPr>
                    <w:adjustRightInd w:val="0"/>
                    <w:snapToGrid w:val="0"/>
                    <w:jc w:val="center"/>
                    <w:rPr>
                      <w:rFonts w:hint="default" w:ascii="Times New Roman" w:hAnsi="Times New Roman" w:cs="Times New Roman"/>
                      <w:szCs w:val="21"/>
                      <w:highlight w:val="none"/>
                    </w:rPr>
                  </w:pPr>
                </w:p>
              </w:tc>
              <w:tc>
                <w:tcPr>
                  <w:tcW w:w="531" w:type="pct"/>
                  <w:vMerge w:val="continue"/>
                  <w:vAlign w:val="center"/>
                </w:tcPr>
                <w:p w14:paraId="4ADC38A0">
                  <w:pPr>
                    <w:adjustRightInd w:val="0"/>
                    <w:snapToGrid w:val="0"/>
                    <w:jc w:val="center"/>
                    <w:rPr>
                      <w:rFonts w:hint="default" w:ascii="Times New Roman" w:hAnsi="Times New Roman" w:cs="Times New Roman"/>
                      <w:szCs w:val="21"/>
                      <w:highlight w:val="none"/>
                    </w:rPr>
                  </w:pPr>
                </w:p>
              </w:tc>
              <w:tc>
                <w:tcPr>
                  <w:tcW w:w="478" w:type="pct"/>
                  <w:vAlign w:val="center"/>
                </w:tcPr>
                <w:p w14:paraId="793BBF08">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颗粒物</w:t>
                  </w:r>
                </w:p>
              </w:tc>
              <w:tc>
                <w:tcPr>
                  <w:tcW w:w="354" w:type="pct"/>
                  <w:vMerge w:val="continue"/>
                  <w:vAlign w:val="center"/>
                </w:tcPr>
                <w:p w14:paraId="33DDCBE7">
                  <w:pPr>
                    <w:adjustRightInd w:val="0"/>
                    <w:snapToGrid w:val="0"/>
                    <w:jc w:val="center"/>
                    <w:rPr>
                      <w:rFonts w:hint="eastAsia" w:cs="Times New Roman"/>
                      <w:szCs w:val="21"/>
                      <w:highlight w:val="none"/>
                      <w:lang w:val="en-US" w:eastAsia="zh-CN"/>
                    </w:rPr>
                  </w:pPr>
                </w:p>
              </w:tc>
              <w:tc>
                <w:tcPr>
                  <w:tcW w:w="376" w:type="pct"/>
                  <w:vMerge w:val="continue"/>
                  <w:vAlign w:val="center"/>
                </w:tcPr>
                <w:p w14:paraId="0CF3B11A">
                  <w:pPr>
                    <w:adjustRightInd w:val="0"/>
                    <w:snapToGrid w:val="0"/>
                    <w:jc w:val="center"/>
                    <w:rPr>
                      <w:rFonts w:hint="eastAsia" w:cs="Times New Roman"/>
                      <w:szCs w:val="21"/>
                      <w:highlight w:val="none"/>
                      <w:lang w:val="en-US" w:eastAsia="zh-CN"/>
                    </w:rPr>
                  </w:pPr>
                </w:p>
              </w:tc>
              <w:tc>
                <w:tcPr>
                  <w:tcW w:w="456" w:type="pct"/>
                  <w:vMerge w:val="continue"/>
                  <w:vAlign w:val="center"/>
                </w:tcPr>
                <w:p w14:paraId="70D30299">
                  <w:pPr>
                    <w:adjustRightInd w:val="0"/>
                    <w:snapToGrid w:val="0"/>
                    <w:jc w:val="center"/>
                    <w:rPr>
                      <w:rFonts w:hint="eastAsia" w:cs="Times New Roman"/>
                      <w:szCs w:val="21"/>
                      <w:highlight w:val="none"/>
                      <w:lang w:val="en-US" w:eastAsia="zh-CN"/>
                    </w:rPr>
                  </w:pPr>
                </w:p>
              </w:tc>
              <w:tc>
                <w:tcPr>
                  <w:tcW w:w="357" w:type="pct"/>
                  <w:vAlign w:val="center"/>
                </w:tcPr>
                <w:p w14:paraId="00511CD5">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少量</w:t>
                  </w:r>
                </w:p>
              </w:tc>
              <w:tc>
                <w:tcPr>
                  <w:tcW w:w="435" w:type="pct"/>
                  <w:vAlign w:val="center"/>
                </w:tcPr>
                <w:p w14:paraId="10AE27DD">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车间阻挡、自然沉降</w:t>
                  </w:r>
                </w:p>
              </w:tc>
              <w:tc>
                <w:tcPr>
                  <w:tcW w:w="304" w:type="pct"/>
                  <w:vAlign w:val="center"/>
                </w:tcPr>
                <w:p w14:paraId="56A9AA47">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2400</w:t>
                  </w:r>
                </w:p>
              </w:tc>
              <w:tc>
                <w:tcPr>
                  <w:tcW w:w="504" w:type="pct"/>
                  <w:vAlign w:val="center"/>
                </w:tcPr>
                <w:p w14:paraId="247ADF34">
                  <w:pPr>
                    <w:adjustRightInd w:val="0"/>
                    <w:snapToGrid w:val="0"/>
                    <w:jc w:val="center"/>
                    <w:rPr>
                      <w:rFonts w:hint="default" w:cs="Times New Roman"/>
                      <w:szCs w:val="21"/>
                      <w:highlight w:val="none"/>
                      <w:lang w:val="en-US" w:eastAsia="zh-CN"/>
                    </w:rPr>
                  </w:pPr>
                  <w:r>
                    <w:rPr>
                      <w:rFonts w:hint="eastAsia" w:cs="Times New Roman"/>
                      <w:szCs w:val="21"/>
                      <w:highlight w:val="none"/>
                      <w:lang w:val="en-US" w:eastAsia="zh-CN"/>
                    </w:rPr>
                    <w:t>/</w:t>
                  </w:r>
                </w:p>
              </w:tc>
              <w:tc>
                <w:tcPr>
                  <w:tcW w:w="415" w:type="pct"/>
                  <w:shd w:val="clear" w:color="auto" w:fill="auto"/>
                  <w:vAlign w:val="center"/>
                </w:tcPr>
                <w:p w14:paraId="6CD42445">
                  <w:pPr>
                    <w:adjustRightInd w:val="0"/>
                    <w:snapToGrid w:val="0"/>
                    <w:jc w:val="center"/>
                    <w:rPr>
                      <w:rFonts w:hint="default" w:cs="Times New Roman"/>
                      <w:szCs w:val="21"/>
                      <w:highlight w:val="none"/>
                      <w:lang w:val="en-US" w:eastAsia="zh-CN"/>
                    </w:rPr>
                  </w:pPr>
                  <w:r>
                    <w:rPr>
                      <w:rFonts w:hint="eastAsia" w:cs="Times New Roman"/>
                      <w:szCs w:val="21"/>
                      <w:highlight w:val="none"/>
                      <w:lang w:val="en-US" w:eastAsia="zh-CN"/>
                    </w:rPr>
                    <w:t>/</w:t>
                  </w:r>
                </w:p>
              </w:tc>
              <w:tc>
                <w:tcPr>
                  <w:tcW w:w="509" w:type="pct"/>
                  <w:vAlign w:val="center"/>
                </w:tcPr>
                <w:p w14:paraId="0902CD37">
                  <w:pPr>
                    <w:adjustRightInd w:val="0"/>
                    <w:snapToGrid w:val="0"/>
                    <w:jc w:val="center"/>
                    <w:rPr>
                      <w:rFonts w:hint="default" w:cs="Times New Roman"/>
                      <w:szCs w:val="21"/>
                      <w:highlight w:val="none"/>
                      <w:lang w:val="en-US" w:eastAsia="zh-CN"/>
                    </w:rPr>
                  </w:pPr>
                  <w:r>
                    <w:rPr>
                      <w:rFonts w:hint="eastAsia" w:cs="Times New Roman"/>
                      <w:szCs w:val="21"/>
                      <w:highlight w:val="none"/>
                      <w:lang w:val="en-US" w:eastAsia="zh-CN"/>
                    </w:rPr>
                    <w:t>1.0</w:t>
                  </w:r>
                </w:p>
              </w:tc>
            </w:tr>
          </w:tbl>
          <w:p w14:paraId="398902B9">
            <w:pPr>
              <w:pStyle w:val="45"/>
              <w:ind w:firstLine="720" w:firstLineChars="300"/>
              <w:rPr>
                <w:rFonts w:hint="default" w:ascii="Times New Roman" w:hAnsi="Times New Roman" w:cs="Times New Roman"/>
                <w:szCs w:val="21"/>
                <w:highlight w:val="none"/>
              </w:rPr>
            </w:pPr>
          </w:p>
        </w:tc>
      </w:tr>
    </w:tbl>
    <w:p w14:paraId="3683FEEF">
      <w:pPr>
        <w:spacing w:line="360" w:lineRule="auto"/>
        <w:jc w:val="center"/>
        <w:rPr>
          <w:rFonts w:hint="default" w:ascii="Times New Roman" w:hAnsi="Times New Roman" w:cs="Times New Roman"/>
          <w:bCs/>
          <w:sz w:val="24"/>
          <w:highlight w:val="none"/>
        </w:rPr>
        <w:sectPr>
          <w:pgSz w:w="16840" w:h="11907" w:orient="landscape"/>
          <w:pgMar w:top="1077" w:right="1440" w:bottom="1077" w:left="1440" w:header="851" w:footer="680" w:gutter="0"/>
          <w:cols w:space="720" w:num="1"/>
          <w:docGrid w:linePitch="312" w:charSpace="0"/>
        </w:sectPr>
      </w:pP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9436"/>
      </w:tblGrid>
      <w:tr w14:paraId="1F08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2" w:hRule="atLeast"/>
          <w:jc w:val="center"/>
        </w:trPr>
        <w:tc>
          <w:tcPr>
            <w:tcW w:w="229" w:type="pct"/>
            <w:shd w:val="clear" w:color="auto" w:fill="FFFFFF"/>
            <w:tcMar>
              <w:left w:w="28" w:type="dxa"/>
              <w:right w:w="28" w:type="dxa"/>
            </w:tcMar>
            <w:vAlign w:val="center"/>
          </w:tcPr>
          <w:p w14:paraId="00D7FA55">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运营</w:t>
            </w:r>
          </w:p>
          <w:p w14:paraId="78AB4ABE">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期环</w:t>
            </w:r>
          </w:p>
          <w:p w14:paraId="5E5F603F">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境影</w:t>
            </w:r>
          </w:p>
          <w:p w14:paraId="0BFC349F">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响和</w:t>
            </w:r>
          </w:p>
          <w:p w14:paraId="657B622B">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保护</w:t>
            </w:r>
          </w:p>
          <w:p w14:paraId="4972047B">
            <w:pPr>
              <w:pStyle w:val="42"/>
              <w:adjustRightInd w:val="0"/>
              <w:snapToGrid w:val="0"/>
              <w:spacing w:before="0" w:beforeAutospacing="0" w:after="0" w:afterAutospacing="0"/>
              <w:jc w:val="center"/>
              <w:rPr>
                <w:rFonts w:hint="default" w:ascii="Times New Roman" w:hAnsi="Times New Roman" w:cs="Times New Roman"/>
                <w:bCs/>
                <w:color w:val="000000"/>
                <w:highlight w:val="none"/>
              </w:rPr>
            </w:pPr>
            <w:r>
              <w:rPr>
                <w:rFonts w:hint="default" w:ascii="Times New Roman" w:hAnsi="Times New Roman" w:cs="Times New Roman"/>
                <w:bCs/>
                <w:color w:val="000000"/>
                <w:highlight w:val="none"/>
              </w:rPr>
              <w:t>措施</w:t>
            </w:r>
          </w:p>
          <w:p w14:paraId="3622BC00">
            <w:pPr>
              <w:spacing w:line="360" w:lineRule="auto"/>
              <w:jc w:val="center"/>
              <w:rPr>
                <w:rFonts w:hint="default" w:ascii="Times New Roman" w:hAnsi="Times New Roman" w:cs="Times New Roman"/>
                <w:bCs/>
                <w:color w:val="000000"/>
                <w:sz w:val="24"/>
                <w:highlight w:val="none"/>
              </w:rPr>
            </w:pPr>
          </w:p>
        </w:tc>
        <w:tc>
          <w:tcPr>
            <w:tcW w:w="4770" w:type="pct"/>
            <w:shd w:val="clear" w:color="auto" w:fill="FFFFFF"/>
            <w:vAlign w:val="center"/>
          </w:tcPr>
          <w:p w14:paraId="6D931341">
            <w:pPr>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2、源强核算过程</w:t>
            </w:r>
          </w:p>
          <w:p w14:paraId="0609EE9D">
            <w:pPr>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（1）有组织废气</w:t>
            </w:r>
          </w:p>
          <w:p w14:paraId="5FBD5D22">
            <w:pPr>
              <w:spacing w:line="360" w:lineRule="auto"/>
              <w:ind w:firstLine="480" w:firstLineChars="200"/>
              <w:rPr>
                <w:rFonts w:hint="default" w:ascii="Times New Roman" w:hAnsi="Times New Roman" w:cs="Times New Roman"/>
                <w:color w:val="000000"/>
                <w:sz w:val="24"/>
                <w:highlight w:val="none"/>
              </w:rPr>
            </w:pPr>
            <w:r>
              <w:rPr>
                <w:rFonts w:hint="eastAsia" w:cs="Times New Roman"/>
                <w:color w:val="000000"/>
                <w:sz w:val="24"/>
                <w:highlight w:val="none"/>
                <w:lang w:val="en-US" w:eastAsia="zh-CN"/>
              </w:rPr>
              <w:t>吹塑废气：《排放源统计调查产排污核算方法和系数手册》中“292塑料制品业系数手册”中“2926 塑料包装箱及容器制造行业系数表”挥发性有机物产污系数2.7kg/t产品，吹塑机年产塑料桶20万个，每个重1.5kg，产品重量为300t/a，吹塑废气产生量为0.81t/a，废气集气罩收集，收集效率90%，则吹塑废气VOCs有组织产生量为0.729t/a。</w:t>
            </w:r>
            <w:r>
              <w:rPr>
                <w:rFonts w:hint="default" w:ascii="Times New Roman" w:hAnsi="Times New Roman" w:cs="Times New Roman"/>
                <w:color w:val="000000"/>
                <w:sz w:val="24"/>
                <w:highlight w:val="none"/>
              </w:rPr>
              <w:t>风机风量为</w:t>
            </w:r>
            <w:r>
              <w:rPr>
                <w:rFonts w:hint="eastAsia" w:ascii="Times New Roman" w:hAnsi="Times New Roman" w:cs="Times New Roman"/>
                <w:color w:val="000000"/>
                <w:sz w:val="24"/>
                <w:highlight w:val="none"/>
                <w:lang w:val="en-US" w:eastAsia="zh-CN"/>
              </w:rPr>
              <w:t>4</w:t>
            </w:r>
            <w:r>
              <w:rPr>
                <w:rFonts w:hint="default" w:ascii="Times New Roman" w:hAnsi="Times New Roman" w:cs="Times New Roman"/>
                <w:color w:val="000000"/>
                <w:sz w:val="24"/>
                <w:highlight w:val="none"/>
              </w:rPr>
              <w:t>000m</w:t>
            </w:r>
            <w:r>
              <w:rPr>
                <w:rFonts w:hint="default" w:ascii="Times New Roman" w:hAnsi="Times New Roman" w:cs="Times New Roman"/>
                <w:color w:val="000000"/>
                <w:sz w:val="24"/>
                <w:highlight w:val="none"/>
                <w:vertAlign w:val="superscript"/>
              </w:rPr>
              <w:t>3</w:t>
            </w:r>
            <w:r>
              <w:rPr>
                <w:rFonts w:hint="default" w:ascii="Times New Roman" w:hAnsi="Times New Roman" w:cs="Times New Roman"/>
                <w:color w:val="000000"/>
                <w:sz w:val="24"/>
                <w:highlight w:val="none"/>
              </w:rPr>
              <w:t>/h，年工作2400h/a，</w:t>
            </w:r>
            <w:r>
              <w:rPr>
                <w:rFonts w:hint="eastAsia" w:cs="Times New Roman"/>
                <w:color w:val="000000"/>
                <w:sz w:val="24"/>
                <w:highlight w:val="none"/>
                <w:lang w:val="en-US" w:eastAsia="zh-CN"/>
              </w:rPr>
              <w:t>VOCs</w:t>
            </w:r>
            <w:r>
              <w:rPr>
                <w:rFonts w:hint="default" w:ascii="Times New Roman" w:hAnsi="Times New Roman" w:cs="Times New Roman"/>
                <w:color w:val="000000"/>
                <w:sz w:val="24"/>
                <w:highlight w:val="none"/>
              </w:rPr>
              <w:t>产生速率</w:t>
            </w:r>
            <w:r>
              <w:rPr>
                <w:rFonts w:hint="eastAsia" w:ascii="Times New Roman" w:hAnsi="Times New Roman" w:cs="Times New Roman"/>
                <w:color w:val="000000"/>
                <w:sz w:val="24"/>
                <w:highlight w:val="none"/>
                <w:lang w:val="en-US" w:eastAsia="zh-CN"/>
              </w:rPr>
              <w:t>0.304</w:t>
            </w:r>
            <w:r>
              <w:rPr>
                <w:rFonts w:hint="default" w:ascii="Times New Roman" w:hAnsi="Times New Roman" w:cs="Times New Roman"/>
                <w:color w:val="000000"/>
                <w:sz w:val="24"/>
                <w:highlight w:val="none"/>
              </w:rPr>
              <w:t>kg/h，产生浓度</w:t>
            </w:r>
            <w:r>
              <w:rPr>
                <w:rFonts w:hint="eastAsia" w:ascii="Times New Roman" w:hAnsi="Times New Roman" w:cs="Times New Roman"/>
                <w:color w:val="000000"/>
                <w:sz w:val="24"/>
                <w:highlight w:val="none"/>
                <w:lang w:val="en-US" w:eastAsia="zh-CN"/>
              </w:rPr>
              <w:t>75.938</w:t>
            </w:r>
            <w:r>
              <w:rPr>
                <w:rFonts w:hint="default" w:ascii="Times New Roman" w:hAnsi="Times New Roman" w:cs="Times New Roman"/>
                <w:color w:val="000000"/>
                <w:sz w:val="24"/>
                <w:highlight w:val="none"/>
              </w:rPr>
              <w:t>mg/m</w:t>
            </w:r>
            <w:r>
              <w:rPr>
                <w:rFonts w:hint="default" w:ascii="Times New Roman" w:hAnsi="Times New Roman" w:cs="Times New Roman"/>
                <w:color w:val="000000"/>
                <w:sz w:val="24"/>
                <w:highlight w:val="none"/>
                <w:vertAlign w:val="superscript"/>
              </w:rPr>
              <w:t>3</w:t>
            </w:r>
            <w:r>
              <w:rPr>
                <w:rFonts w:hint="default" w:ascii="Times New Roman" w:hAnsi="Times New Roman" w:cs="Times New Roman"/>
                <w:color w:val="000000"/>
                <w:sz w:val="24"/>
                <w:highlight w:val="none"/>
              </w:rPr>
              <w:t>。经</w:t>
            </w:r>
            <w:r>
              <w:rPr>
                <w:rFonts w:hint="eastAsia" w:ascii="Times New Roman" w:hAnsi="Times New Roman" w:cs="Times New Roman"/>
                <w:color w:val="000000"/>
                <w:sz w:val="24"/>
                <w:highlight w:val="none"/>
                <w:lang w:val="en-US" w:eastAsia="zh-CN"/>
              </w:rPr>
              <w:t>2级活性炭吸附装置</w:t>
            </w:r>
            <w:r>
              <w:rPr>
                <w:rFonts w:hint="default" w:ascii="Times New Roman" w:hAnsi="Times New Roman" w:cs="Times New Roman"/>
                <w:color w:val="000000"/>
                <w:sz w:val="24"/>
                <w:highlight w:val="none"/>
              </w:rPr>
              <w:t>处理</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每级活性炭吸附处理效率60%，2级活性炭吸附综合处理效率84%</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通过15m高排气筒D001排放</w:t>
            </w:r>
            <w:r>
              <w:rPr>
                <w:rFonts w:hint="default" w:ascii="Times New Roman" w:hAnsi="Times New Roman" w:cs="Times New Roman"/>
                <w:color w:val="000000"/>
                <w:sz w:val="24"/>
                <w:highlight w:val="none"/>
              </w:rPr>
              <w:t>。</w:t>
            </w:r>
          </w:p>
          <w:p w14:paraId="773A75FA">
            <w:pPr>
              <w:spacing w:line="360" w:lineRule="auto"/>
              <w:ind w:firstLine="480" w:firstLineChars="200"/>
              <w:rPr>
                <w:rFonts w:hint="default" w:ascii="Times New Roman" w:hAnsi="Times New Roman" w:cs="Times New Roman"/>
                <w:color w:val="000000"/>
                <w:sz w:val="24"/>
                <w:highlight w:val="none"/>
              </w:rPr>
            </w:pPr>
            <w:r>
              <w:rPr>
                <w:rFonts w:hint="eastAsia" w:cs="Times New Roman"/>
                <w:color w:val="000000"/>
                <w:sz w:val="24"/>
                <w:highlight w:val="none"/>
                <w:lang w:val="en-US" w:eastAsia="zh-CN"/>
              </w:rPr>
              <w:t>注塑废气：《排放源统计调查产排污核算方法和系数手册》中“292塑料制品业系数手册”中“2926 塑料包装箱及容器制造行业系数表”挥发性有机物产污系数2.7kg/t产品，注塑机年产塑料桶10万个，每个重1.5kg，产品重量为150t/a，注塑废气产生量为0.405t/a，废气集气罩收集，收集效率90%，则注塑废气VOCs有组织产生量为0.365t/a。</w:t>
            </w:r>
            <w:r>
              <w:rPr>
                <w:rFonts w:hint="default" w:ascii="Times New Roman" w:hAnsi="Times New Roman" w:cs="Times New Roman"/>
                <w:color w:val="000000"/>
                <w:sz w:val="24"/>
                <w:highlight w:val="none"/>
              </w:rPr>
              <w:t>风机风量为</w:t>
            </w:r>
            <w:r>
              <w:rPr>
                <w:rFonts w:hint="eastAsia" w:ascii="Times New Roman" w:hAnsi="Times New Roman" w:cs="Times New Roman"/>
                <w:color w:val="000000"/>
                <w:sz w:val="24"/>
                <w:highlight w:val="none"/>
                <w:lang w:val="en-US" w:eastAsia="zh-CN"/>
              </w:rPr>
              <w:t>2</w:t>
            </w:r>
            <w:r>
              <w:rPr>
                <w:rFonts w:hint="default" w:ascii="Times New Roman" w:hAnsi="Times New Roman" w:cs="Times New Roman"/>
                <w:color w:val="000000"/>
                <w:sz w:val="24"/>
                <w:highlight w:val="none"/>
              </w:rPr>
              <w:t>000m</w:t>
            </w:r>
            <w:r>
              <w:rPr>
                <w:rFonts w:hint="default" w:ascii="Times New Roman" w:hAnsi="Times New Roman" w:cs="Times New Roman"/>
                <w:color w:val="000000"/>
                <w:sz w:val="24"/>
                <w:highlight w:val="none"/>
                <w:vertAlign w:val="superscript"/>
              </w:rPr>
              <w:t>3</w:t>
            </w:r>
            <w:r>
              <w:rPr>
                <w:rFonts w:hint="default" w:ascii="Times New Roman" w:hAnsi="Times New Roman" w:cs="Times New Roman"/>
                <w:color w:val="000000"/>
                <w:sz w:val="24"/>
                <w:highlight w:val="none"/>
              </w:rPr>
              <w:t>/h，年工作2400h/a，</w:t>
            </w:r>
            <w:r>
              <w:rPr>
                <w:rFonts w:hint="eastAsia" w:cs="Times New Roman"/>
                <w:color w:val="000000"/>
                <w:sz w:val="24"/>
                <w:highlight w:val="none"/>
                <w:lang w:val="en-US" w:eastAsia="zh-CN"/>
              </w:rPr>
              <w:t>VOCs</w:t>
            </w:r>
            <w:r>
              <w:rPr>
                <w:rFonts w:hint="default" w:ascii="Times New Roman" w:hAnsi="Times New Roman" w:cs="Times New Roman"/>
                <w:color w:val="000000"/>
                <w:sz w:val="24"/>
                <w:highlight w:val="none"/>
              </w:rPr>
              <w:t>产生速率</w:t>
            </w:r>
            <w:r>
              <w:rPr>
                <w:rFonts w:hint="eastAsia" w:ascii="Times New Roman" w:hAnsi="Times New Roman" w:cs="Times New Roman"/>
                <w:color w:val="000000"/>
                <w:sz w:val="24"/>
                <w:highlight w:val="none"/>
                <w:lang w:val="en-US" w:eastAsia="zh-CN"/>
              </w:rPr>
              <w:t>0.152</w:t>
            </w:r>
            <w:r>
              <w:rPr>
                <w:rFonts w:hint="default" w:ascii="Times New Roman" w:hAnsi="Times New Roman" w:cs="Times New Roman"/>
                <w:color w:val="000000"/>
                <w:sz w:val="24"/>
                <w:highlight w:val="none"/>
              </w:rPr>
              <w:t>kg/h，产生浓度</w:t>
            </w:r>
            <w:r>
              <w:rPr>
                <w:rFonts w:hint="eastAsia" w:ascii="Times New Roman" w:hAnsi="Times New Roman" w:cs="Times New Roman"/>
                <w:color w:val="000000"/>
                <w:sz w:val="24"/>
                <w:highlight w:val="none"/>
                <w:lang w:val="en-US" w:eastAsia="zh-CN"/>
              </w:rPr>
              <w:t>76.042</w:t>
            </w:r>
            <w:r>
              <w:rPr>
                <w:rFonts w:hint="default" w:ascii="Times New Roman" w:hAnsi="Times New Roman" w:cs="Times New Roman"/>
                <w:color w:val="000000"/>
                <w:sz w:val="24"/>
                <w:highlight w:val="none"/>
              </w:rPr>
              <w:t>mg/m</w:t>
            </w:r>
            <w:r>
              <w:rPr>
                <w:rFonts w:hint="default" w:ascii="Times New Roman" w:hAnsi="Times New Roman" w:cs="Times New Roman"/>
                <w:color w:val="000000"/>
                <w:sz w:val="24"/>
                <w:highlight w:val="none"/>
                <w:vertAlign w:val="superscript"/>
              </w:rPr>
              <w:t>3</w:t>
            </w:r>
            <w:r>
              <w:rPr>
                <w:rFonts w:hint="default" w:ascii="Times New Roman" w:hAnsi="Times New Roman" w:cs="Times New Roman"/>
                <w:color w:val="000000"/>
                <w:sz w:val="24"/>
                <w:highlight w:val="none"/>
              </w:rPr>
              <w:t>。经</w:t>
            </w:r>
            <w:r>
              <w:rPr>
                <w:rFonts w:hint="eastAsia" w:ascii="Times New Roman" w:hAnsi="Times New Roman" w:cs="Times New Roman"/>
                <w:color w:val="000000"/>
                <w:sz w:val="24"/>
                <w:highlight w:val="none"/>
                <w:lang w:val="en-US" w:eastAsia="zh-CN"/>
              </w:rPr>
              <w:t>2级活性炭吸附装置</w:t>
            </w:r>
            <w:r>
              <w:rPr>
                <w:rFonts w:hint="default" w:ascii="Times New Roman" w:hAnsi="Times New Roman" w:cs="Times New Roman"/>
                <w:color w:val="000000"/>
                <w:sz w:val="24"/>
                <w:highlight w:val="none"/>
              </w:rPr>
              <w:t>处理</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每级活性炭吸附处理效率60%，2级活性炭吸附综合处理效率84%</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通过15m高排气筒D001排放</w:t>
            </w:r>
            <w:r>
              <w:rPr>
                <w:rFonts w:hint="default" w:ascii="Times New Roman" w:hAnsi="Times New Roman" w:cs="Times New Roman"/>
                <w:color w:val="000000"/>
                <w:sz w:val="24"/>
                <w:highlight w:val="none"/>
              </w:rPr>
              <w:t>。</w:t>
            </w:r>
          </w:p>
          <w:p w14:paraId="5E4134F6">
            <w:pPr>
              <w:spacing w:line="360" w:lineRule="auto"/>
              <w:ind w:firstLine="480" w:firstLineChars="200"/>
              <w:rPr>
                <w:rFonts w:hint="eastAsia" w:ascii="Times New Roman" w:hAnsi="Times New Roman" w:eastAsia="宋体"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吹塑废气、注塑废气通过2级活性炭吸附装置</w:t>
            </w:r>
            <w:r>
              <w:rPr>
                <w:rFonts w:hint="default" w:ascii="Times New Roman" w:hAnsi="Times New Roman" w:cs="Times New Roman"/>
                <w:color w:val="000000"/>
                <w:sz w:val="24"/>
                <w:highlight w:val="none"/>
              </w:rPr>
              <w:t>处理，</w:t>
            </w:r>
            <w:r>
              <w:rPr>
                <w:rFonts w:hint="eastAsia" w:ascii="Times New Roman" w:hAnsi="Times New Roman" w:cs="Times New Roman"/>
                <w:color w:val="000000"/>
                <w:sz w:val="24"/>
                <w:highlight w:val="none"/>
                <w:lang w:val="en-US" w:eastAsia="zh-CN"/>
              </w:rPr>
              <w:t>通过15m高排气筒D001排放</w:t>
            </w:r>
            <w:r>
              <w:rPr>
                <w:rFonts w:hint="default" w:ascii="Times New Roman" w:hAnsi="Times New Roman" w:cs="Times New Roman"/>
                <w:color w:val="000000"/>
                <w:sz w:val="24"/>
                <w:highlight w:val="none"/>
              </w:rPr>
              <w:t>。</w:t>
            </w:r>
            <w:r>
              <w:rPr>
                <w:rFonts w:hint="eastAsia" w:cs="Times New Roman"/>
                <w:color w:val="000000"/>
                <w:sz w:val="24"/>
                <w:highlight w:val="none"/>
                <w:lang w:val="en-US" w:eastAsia="zh-CN"/>
              </w:rPr>
              <w:t>VOCs</w:t>
            </w:r>
            <w:r>
              <w:rPr>
                <w:rFonts w:hint="default" w:ascii="Times New Roman" w:hAnsi="Times New Roman" w:cs="Times New Roman"/>
                <w:color w:val="000000"/>
                <w:sz w:val="24"/>
                <w:highlight w:val="none"/>
              </w:rPr>
              <w:t>排放量</w:t>
            </w:r>
            <w:r>
              <w:rPr>
                <w:rFonts w:hint="eastAsia" w:ascii="Times New Roman" w:hAnsi="Times New Roman" w:cs="Times New Roman"/>
                <w:color w:val="000000"/>
                <w:sz w:val="24"/>
                <w:highlight w:val="none"/>
                <w:lang w:val="en-US" w:eastAsia="zh-CN"/>
              </w:rPr>
              <w:t>0.175</w:t>
            </w:r>
            <w:r>
              <w:rPr>
                <w:rFonts w:hint="default" w:ascii="Times New Roman" w:hAnsi="Times New Roman" w:cs="Times New Roman"/>
                <w:color w:val="000000"/>
                <w:sz w:val="24"/>
                <w:highlight w:val="none"/>
              </w:rPr>
              <w:t>t/a，排放速率</w:t>
            </w:r>
            <w:r>
              <w:rPr>
                <w:rFonts w:hint="eastAsia" w:ascii="Times New Roman" w:hAnsi="Times New Roman" w:cs="Times New Roman"/>
                <w:color w:val="000000"/>
                <w:sz w:val="24"/>
                <w:highlight w:val="none"/>
                <w:lang w:val="en-US" w:eastAsia="zh-CN"/>
              </w:rPr>
              <w:t>0.073</w:t>
            </w:r>
            <w:r>
              <w:rPr>
                <w:rFonts w:hint="default" w:ascii="Times New Roman" w:hAnsi="Times New Roman" w:cs="Times New Roman"/>
                <w:color w:val="000000"/>
                <w:sz w:val="24"/>
                <w:highlight w:val="none"/>
              </w:rPr>
              <w:t>kg/h，排放浓度</w:t>
            </w:r>
            <w:r>
              <w:rPr>
                <w:rFonts w:hint="eastAsia" w:cs="Times New Roman"/>
                <w:color w:val="000000"/>
                <w:sz w:val="24"/>
                <w:highlight w:val="none"/>
                <w:lang w:val="en-US" w:eastAsia="zh-CN"/>
              </w:rPr>
              <w:t>12.156</w:t>
            </w:r>
            <w:r>
              <w:rPr>
                <w:rFonts w:hint="default" w:ascii="Times New Roman" w:hAnsi="Times New Roman" w:cs="Times New Roman"/>
                <w:color w:val="000000"/>
                <w:sz w:val="24"/>
                <w:highlight w:val="none"/>
              </w:rPr>
              <w:t>mg/m</w:t>
            </w:r>
            <w:r>
              <w:rPr>
                <w:rFonts w:hint="default" w:ascii="Times New Roman" w:hAnsi="Times New Roman" w:cs="Times New Roman"/>
                <w:color w:val="000000"/>
                <w:sz w:val="24"/>
                <w:highlight w:val="none"/>
                <w:vertAlign w:val="superscript"/>
              </w:rPr>
              <w:t>3</w:t>
            </w:r>
            <w:r>
              <w:rPr>
                <w:rFonts w:hint="default" w:ascii="Times New Roman" w:hAnsi="Times New Roman" w:cs="Times New Roman"/>
                <w:color w:val="000000"/>
                <w:sz w:val="24"/>
                <w:highlight w:val="none"/>
              </w:rPr>
              <w:t>。</w:t>
            </w:r>
          </w:p>
          <w:p w14:paraId="7BB2E5A0">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废气处理设施流程图如下：</w:t>
            </w:r>
          </w:p>
          <w:p w14:paraId="1920124E">
            <w:pPr>
              <w:spacing w:line="360" w:lineRule="auto"/>
              <w:ind w:firstLine="420" w:firstLineChars="200"/>
              <w:jc w:val="both"/>
              <w:rPr>
                <w:rFonts w:hint="default" w:ascii="Times New Roman" w:hAnsi="Times New Roman" w:cs="Times New Roman"/>
                <w:color w:val="000000"/>
                <w:highlight w:val="none"/>
              </w:rPr>
            </w:pPr>
            <w:r>
              <w:rPr>
                <w:rFonts w:hint="default" w:ascii="Times New Roman" w:hAnsi="Times New Roman" w:cs="Times New Roman"/>
                <w:color w:val="000000" w:themeColor="text1"/>
                <w:highlight w:val="none"/>
                <w14:textFill>
                  <w14:solidFill>
                    <w14:schemeClr w14:val="tx1"/>
                  </w14:solidFill>
                </w14:textFill>
              </w:rPr>
              <w:object>
                <v:shape id="_x0000_i1028" o:spt="75" type="#_x0000_t75" style="height:118.25pt;width:400.6pt;" o:ole="t" filled="f" o:preferrelative="t" stroked="f" coordsize="21600,21600">
                  <v:path/>
                  <v:fill on="f" focussize="0,0"/>
                  <v:stroke on="f"/>
                  <v:imagedata r:id="rId25" o:title=""/>
                  <o:lock v:ext="edit" aspectratio="t"/>
                  <w10:wrap type="none"/>
                  <w10:anchorlock/>
                </v:shape>
                <o:OLEObject Type="Embed" ProgID="Visio.Drawing.15" ShapeID="_x0000_i1028" DrawAspect="Content" ObjectID="_1468075728" r:id="rId24">
                  <o:LockedField>false</o:LockedField>
                </o:OLEObject>
              </w:object>
            </w:r>
          </w:p>
          <w:p w14:paraId="7E6AF274">
            <w:pPr>
              <w:adjustRightInd w:val="0"/>
              <w:snapToGrid w:val="0"/>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图4-1  项目废气产生、治理及排放走向图</w:t>
            </w:r>
          </w:p>
          <w:p w14:paraId="67E44E37">
            <w:pPr>
              <w:tabs>
                <w:tab w:val="left" w:pos="1680"/>
              </w:tabs>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（2）无组织废气源强</w:t>
            </w:r>
          </w:p>
          <w:p w14:paraId="494CB708">
            <w:pPr>
              <w:pStyle w:val="16"/>
              <w:snapToGrid/>
              <w:spacing w:before="0" w:after="0" w:line="360" w:lineRule="auto"/>
              <w:ind w:right="0" w:firstLine="480" w:firstLineChars="200"/>
              <w:rPr>
                <w:rFonts w:hint="default" w:ascii="Times New Roman" w:hAnsi="Times New Roman" w:cs="Times New Roman"/>
                <w:color w:val="000000"/>
                <w:sz w:val="24"/>
                <w:szCs w:val="24"/>
                <w:highlight w:val="none"/>
              </w:rPr>
            </w:pPr>
            <w:r>
              <w:rPr>
                <w:rFonts w:hint="eastAsia" w:cs="Times New Roman"/>
                <w:color w:val="000000"/>
                <w:sz w:val="24"/>
                <w:szCs w:val="24"/>
                <w:highlight w:val="none"/>
                <w:lang w:val="en-US" w:eastAsia="zh-CN"/>
              </w:rPr>
              <w:t>吹塑</w:t>
            </w:r>
            <w:r>
              <w:rPr>
                <w:rFonts w:hint="default" w:ascii="Times New Roman" w:hAnsi="Times New Roman" w:cs="Times New Roman"/>
                <w:color w:val="000000"/>
                <w:sz w:val="24"/>
                <w:szCs w:val="24"/>
                <w:highlight w:val="none"/>
              </w:rPr>
              <w:t>废气</w:t>
            </w:r>
            <w:r>
              <w:rPr>
                <w:rFonts w:hint="eastAsia" w:cs="Times New Roman"/>
                <w:color w:val="000000"/>
                <w:sz w:val="24"/>
                <w:szCs w:val="24"/>
                <w:highlight w:val="none"/>
                <w:lang w:val="en-US" w:eastAsia="zh-CN"/>
              </w:rPr>
              <w:t>VOCs</w:t>
            </w:r>
            <w:r>
              <w:rPr>
                <w:rFonts w:hint="default" w:ascii="Times New Roman" w:hAnsi="Times New Roman" w:cs="Times New Roman"/>
                <w:color w:val="000000"/>
                <w:sz w:val="24"/>
                <w:highlight w:val="none"/>
              </w:rPr>
              <w:t>产生量为</w:t>
            </w:r>
            <w:r>
              <w:rPr>
                <w:rFonts w:hint="eastAsia" w:cs="Times New Roman"/>
                <w:color w:val="000000"/>
                <w:sz w:val="24"/>
                <w:highlight w:val="none"/>
                <w:lang w:val="en-US" w:eastAsia="zh-CN"/>
              </w:rPr>
              <w:t>0.81</w:t>
            </w:r>
            <w:r>
              <w:rPr>
                <w:rFonts w:hint="default" w:ascii="Times New Roman" w:hAnsi="Times New Roman" w:cs="Times New Roman"/>
                <w:color w:val="000000"/>
                <w:sz w:val="24"/>
                <w:highlight w:val="none"/>
              </w:rPr>
              <w:t>t/a，废气收集效率90%，</w:t>
            </w:r>
            <w:r>
              <w:rPr>
                <w:rFonts w:hint="eastAsia" w:cs="Times New Roman"/>
                <w:color w:val="000000"/>
                <w:sz w:val="24"/>
                <w:szCs w:val="24"/>
                <w:highlight w:val="none"/>
                <w:lang w:val="en-US" w:eastAsia="zh-CN"/>
              </w:rPr>
              <w:t>VOCs</w:t>
            </w:r>
            <w:r>
              <w:rPr>
                <w:rFonts w:hint="default" w:ascii="Times New Roman" w:hAnsi="Times New Roman" w:cs="Times New Roman"/>
                <w:color w:val="000000"/>
                <w:sz w:val="24"/>
                <w:highlight w:val="none"/>
              </w:rPr>
              <w:t>无组织排放量为</w:t>
            </w:r>
            <w:r>
              <w:rPr>
                <w:rFonts w:hint="eastAsia" w:cs="Times New Roman"/>
                <w:color w:val="000000"/>
                <w:sz w:val="24"/>
                <w:highlight w:val="none"/>
                <w:lang w:val="en-US" w:eastAsia="zh-CN"/>
              </w:rPr>
              <w:t>0.081</w:t>
            </w:r>
            <w:r>
              <w:rPr>
                <w:rFonts w:hint="default" w:ascii="Times New Roman" w:hAnsi="Times New Roman" w:cs="Times New Roman"/>
                <w:color w:val="000000"/>
                <w:sz w:val="24"/>
                <w:highlight w:val="none"/>
              </w:rPr>
              <w:t>t/a；</w:t>
            </w:r>
            <w:r>
              <w:rPr>
                <w:rFonts w:hint="eastAsia" w:cs="Times New Roman"/>
                <w:color w:val="000000"/>
                <w:sz w:val="24"/>
                <w:highlight w:val="none"/>
                <w:lang w:val="en-US" w:eastAsia="zh-CN"/>
              </w:rPr>
              <w:t>注塑</w:t>
            </w:r>
            <w:r>
              <w:rPr>
                <w:rFonts w:hint="default" w:ascii="Times New Roman" w:hAnsi="Times New Roman" w:cs="Times New Roman"/>
                <w:color w:val="000000"/>
                <w:sz w:val="24"/>
                <w:highlight w:val="none"/>
              </w:rPr>
              <w:t>废气VOCs产生量为</w:t>
            </w:r>
            <w:r>
              <w:rPr>
                <w:rFonts w:hint="eastAsia" w:cs="Times New Roman"/>
                <w:color w:val="000000"/>
                <w:sz w:val="24"/>
                <w:highlight w:val="none"/>
                <w:lang w:val="en-US" w:eastAsia="zh-CN"/>
              </w:rPr>
              <w:t>0.405</w:t>
            </w:r>
            <w:r>
              <w:rPr>
                <w:rFonts w:hint="default" w:ascii="Times New Roman" w:hAnsi="Times New Roman" w:cs="Times New Roman"/>
                <w:color w:val="000000"/>
                <w:sz w:val="24"/>
                <w:highlight w:val="none"/>
              </w:rPr>
              <w:t>t/a，废气收集效率90%，VOCs无组织排放量为0.</w:t>
            </w:r>
            <w:r>
              <w:rPr>
                <w:rFonts w:hint="eastAsia" w:cs="Times New Roman"/>
                <w:color w:val="000000"/>
                <w:sz w:val="24"/>
                <w:highlight w:val="none"/>
                <w:lang w:val="en-US" w:eastAsia="zh-CN"/>
              </w:rPr>
              <w:t>041</w:t>
            </w:r>
            <w:r>
              <w:rPr>
                <w:rFonts w:hint="default" w:ascii="Times New Roman" w:hAnsi="Times New Roman" w:cs="Times New Roman"/>
                <w:color w:val="000000"/>
                <w:sz w:val="24"/>
                <w:highlight w:val="none"/>
              </w:rPr>
              <w:t>t/a</w:t>
            </w:r>
            <w:r>
              <w:rPr>
                <w:rFonts w:hint="default" w:ascii="Times New Roman" w:hAnsi="Times New Roman" w:cs="Times New Roman"/>
                <w:color w:val="000000"/>
                <w:sz w:val="24"/>
                <w:szCs w:val="24"/>
                <w:highlight w:val="none"/>
              </w:rPr>
              <w:t>。无组织VOCs排放量合计</w:t>
            </w:r>
            <w:r>
              <w:rPr>
                <w:rFonts w:hint="eastAsia" w:cs="Times New Roman"/>
                <w:color w:val="000000"/>
                <w:sz w:val="24"/>
                <w:szCs w:val="24"/>
                <w:highlight w:val="none"/>
                <w:lang w:val="en-US" w:eastAsia="zh-CN"/>
              </w:rPr>
              <w:t>0.122</w:t>
            </w:r>
            <w:r>
              <w:rPr>
                <w:rFonts w:hint="default" w:ascii="Times New Roman" w:hAnsi="Times New Roman" w:cs="Times New Roman"/>
                <w:color w:val="000000"/>
                <w:sz w:val="24"/>
                <w:szCs w:val="24"/>
                <w:highlight w:val="none"/>
              </w:rPr>
              <w:t>t/a。</w:t>
            </w:r>
          </w:p>
          <w:p w14:paraId="3C997A68">
            <w:pPr>
              <w:pStyle w:val="16"/>
              <w:snapToGrid/>
              <w:spacing w:before="0" w:after="0" w:line="360" w:lineRule="auto"/>
              <w:ind w:right="0" w:firstLine="480" w:firstLineChars="200"/>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项目</w:t>
            </w:r>
            <w:r>
              <w:rPr>
                <w:rFonts w:hint="default" w:ascii="Times New Roman" w:hAnsi="Times New Roman" w:cs="Times New Roman"/>
                <w:color w:val="000000"/>
                <w:sz w:val="24"/>
                <w:szCs w:val="24"/>
                <w:highlight w:val="none"/>
                <w:lang w:val="en-US" w:eastAsia="zh-CN"/>
              </w:rPr>
              <w:t>各原料为颗粒料（长度3~5mm），投料、混合过程基本不产生粉尘，仅运输、储存过程沾染少量粉尘</w:t>
            </w:r>
            <w:r>
              <w:rPr>
                <w:rFonts w:hint="eastAsia" w:cs="Times New Roman"/>
                <w:color w:val="000000"/>
                <w:sz w:val="24"/>
                <w:szCs w:val="24"/>
                <w:highlight w:val="none"/>
                <w:lang w:val="en-US" w:eastAsia="zh-CN"/>
              </w:rPr>
              <w:t>在投料、混合过程中</w:t>
            </w:r>
            <w:r>
              <w:rPr>
                <w:rFonts w:hint="default" w:ascii="Times New Roman" w:hAnsi="Times New Roman" w:cs="Times New Roman"/>
                <w:color w:val="000000"/>
                <w:sz w:val="24"/>
                <w:szCs w:val="24"/>
                <w:highlight w:val="none"/>
                <w:lang w:val="en-US" w:eastAsia="zh-CN"/>
              </w:rPr>
              <w:t>无组织排放</w:t>
            </w:r>
            <w:r>
              <w:rPr>
                <w:rFonts w:hint="default" w:ascii="Times New Roman" w:hAnsi="Times New Roman" w:cs="Times New Roman"/>
                <w:color w:val="000000"/>
                <w:sz w:val="24"/>
                <w:szCs w:val="24"/>
                <w:highlight w:val="none"/>
              </w:rPr>
              <w:t>。</w:t>
            </w:r>
            <w:r>
              <w:rPr>
                <w:rFonts w:hint="eastAsia" w:cs="Times New Roman"/>
                <w:color w:val="000000"/>
                <w:sz w:val="24"/>
                <w:szCs w:val="24"/>
                <w:highlight w:val="none"/>
                <w:lang w:val="en-US" w:eastAsia="zh-CN"/>
              </w:rPr>
              <w:t>本项目原料采用袋装，倒置投料，投料口尽可能接近投料口，通过采取以上措施，项目颗粒物无组织排放浓度可满足《大气污染物综合排放标准》（GB16297-1996）表2无组织排放监控浓度限值要求</w:t>
            </w:r>
          </w:p>
          <w:p w14:paraId="7A30A5A1">
            <w:pPr>
              <w:spacing w:line="360" w:lineRule="auto"/>
              <w:ind w:firstLine="482" w:firstLineChars="200"/>
              <w:rPr>
                <w:rFonts w:hint="default" w:ascii="Times New Roman" w:hAnsi="Times New Roman" w:eastAsia="宋体" w:cs="Times New Roman"/>
                <w:b/>
                <w:color w:val="000000"/>
                <w:sz w:val="24"/>
                <w:highlight w:val="none"/>
                <w:lang w:val="en-US" w:eastAsia="zh-CN"/>
              </w:rPr>
            </w:pPr>
            <w:r>
              <w:rPr>
                <w:rFonts w:hint="eastAsia" w:cs="Times New Roman"/>
                <w:b/>
                <w:color w:val="000000"/>
                <w:sz w:val="24"/>
                <w:highlight w:val="none"/>
                <w:lang w:val="en-US" w:eastAsia="zh-CN"/>
              </w:rPr>
              <w:t>3、排风量确定</w:t>
            </w:r>
          </w:p>
          <w:p w14:paraId="5C3439D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各集气罩排风量按照《排风罩的分类及技术条件》（GB/T 16758-2008）中的顶吸罩要求设计。</w:t>
            </w:r>
          </w:p>
          <w:p w14:paraId="7003D9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L1=Vo×F×3600</w:t>
            </w:r>
          </w:p>
          <w:p w14:paraId="1EB041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其中L1为顶吸罩风量，m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p>
          <w:p w14:paraId="5C81501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Vo为罩口平均风速，m/s；</w:t>
            </w:r>
          </w:p>
          <w:p w14:paraId="5DC305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 F为罩口面积，m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w:t>
            </w:r>
          </w:p>
          <w:p w14:paraId="13CEFDD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为保证收集效率，罩口设计风速为0.6m/s。</w:t>
            </w:r>
          </w:p>
          <w:p w14:paraId="11E4EF3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项目新建塑料中空吹塑机2台、自动注塑机1台，各设置1个0.8m*0.8m集气罩，每个集气罩最低排风量为1382.4</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r>
              <w:rPr>
                <w:rFonts w:hint="eastAsia" w:cs="Times New Roman"/>
                <w:color w:val="auto"/>
                <w:kern w:val="2"/>
                <w:sz w:val="24"/>
                <w:szCs w:val="24"/>
                <w:highlight w:val="none"/>
                <w:lang w:val="en-US" w:eastAsia="zh-CN" w:bidi="ar-SA"/>
              </w:rPr>
              <w:t>，总风量最低为4147.2</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r>
              <w:rPr>
                <w:rFonts w:hint="eastAsia" w:cs="Times New Roman"/>
                <w:color w:val="auto"/>
                <w:kern w:val="2"/>
                <w:sz w:val="24"/>
                <w:szCs w:val="24"/>
                <w:highlight w:val="none"/>
                <w:lang w:val="en-US" w:eastAsia="zh-CN" w:bidi="ar-SA"/>
              </w:rPr>
              <w:t>，项目拟建设排风量为6000</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r>
              <w:rPr>
                <w:rFonts w:hint="eastAsia" w:cs="Times New Roman"/>
                <w:color w:val="auto"/>
                <w:kern w:val="2"/>
                <w:sz w:val="24"/>
                <w:szCs w:val="24"/>
                <w:highlight w:val="none"/>
                <w:lang w:val="en-US" w:eastAsia="zh-CN" w:bidi="ar-SA"/>
              </w:rPr>
              <w:t>，计算罩口风速为0.87</w:t>
            </w:r>
            <w:r>
              <w:rPr>
                <w:rFonts w:hint="eastAsia" w:ascii="Times New Roman" w:hAnsi="Times New Roman" w:eastAsia="宋体" w:cs="Times New Roman"/>
                <w:color w:val="auto"/>
                <w:kern w:val="2"/>
                <w:sz w:val="24"/>
                <w:szCs w:val="24"/>
                <w:highlight w:val="none"/>
                <w:lang w:val="en-US" w:eastAsia="zh-CN" w:bidi="ar-SA"/>
              </w:rPr>
              <w:t>m/s</w:t>
            </w:r>
            <w:r>
              <w:rPr>
                <w:rFonts w:hint="eastAsia" w:cs="Times New Roman"/>
                <w:color w:val="auto"/>
                <w:kern w:val="2"/>
                <w:sz w:val="24"/>
                <w:szCs w:val="24"/>
                <w:highlight w:val="none"/>
                <w:lang w:val="en-US" w:eastAsia="zh-CN" w:bidi="ar-SA"/>
              </w:rPr>
              <w:t>，可以满足废气收集要求。</w:t>
            </w:r>
          </w:p>
          <w:p w14:paraId="4C8800B1">
            <w:pPr>
              <w:spacing w:line="360" w:lineRule="auto"/>
              <w:ind w:firstLine="482" w:firstLineChars="200"/>
              <w:rPr>
                <w:rFonts w:hint="default" w:ascii="Times New Roman" w:hAnsi="Times New Roman" w:cs="Times New Roman"/>
                <w:b/>
                <w:color w:val="000000"/>
                <w:sz w:val="24"/>
                <w:highlight w:val="none"/>
              </w:rPr>
            </w:pPr>
            <w:r>
              <w:rPr>
                <w:rFonts w:hint="eastAsia" w:cs="Times New Roman"/>
                <w:b/>
                <w:color w:val="000000"/>
                <w:sz w:val="24"/>
                <w:highlight w:val="none"/>
                <w:lang w:val="en-US" w:eastAsia="zh-CN"/>
              </w:rPr>
              <w:t>4</w:t>
            </w:r>
            <w:r>
              <w:rPr>
                <w:rFonts w:hint="default" w:ascii="Times New Roman" w:hAnsi="Times New Roman" w:cs="Times New Roman"/>
                <w:b/>
                <w:color w:val="000000"/>
                <w:sz w:val="24"/>
                <w:highlight w:val="none"/>
              </w:rPr>
              <w:t>、废气环保措施经济技术论证</w:t>
            </w:r>
          </w:p>
          <w:p w14:paraId="594D6CF7">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①有机废气治理工艺</w:t>
            </w:r>
          </w:p>
          <w:p w14:paraId="0A5A30A7">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拟建项目VOCs处理采用2级活性炭吸附装置，活性炭吸附装置的装填材料选用颗粒状活性炭（碘值大于800），根据《吸附法工业有机废气治理工程技术规范》（HJ2026-2013）要求，项目选择蜂窝活性炭的横向强度应不低于0.3MPa，纵向强度应不低于0.8MPa，蜂窝活性炭的BET比表面积应不低于750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/g。</w:t>
            </w:r>
          </w:p>
          <w:p w14:paraId="41091FE1">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根据《吸附法工业有机废气治理工程技术规范》（HJ2026-2013）要求，采用颗粒状吸附剂时，气体流速宜低于0.60m/s。项目单个活性炭箱体尺寸为1.5m×</w:t>
            </w:r>
            <w:r>
              <w:rPr>
                <w:rFonts w:hint="eastAsia" w:cs="Times New Roman"/>
                <w:bCs/>
                <w:color w:val="000000"/>
                <w:sz w:val="24"/>
                <w:highlight w:val="none"/>
                <w:lang w:val="en-US" w:eastAsia="zh-CN"/>
              </w:rPr>
              <w:t>2</w:t>
            </w:r>
            <w:r>
              <w:rPr>
                <w:rFonts w:hint="default" w:ascii="Times New Roman" w:hAnsi="Times New Roman" w:cs="Times New Roman"/>
                <w:bCs/>
                <w:color w:val="000000"/>
                <w:sz w:val="24"/>
                <w:highlight w:val="none"/>
              </w:rPr>
              <w:t>m×1m，DA00</w:t>
            </w:r>
            <w:r>
              <w:rPr>
                <w:rFonts w:hint="eastAsia" w:cs="Times New Roman"/>
                <w:bCs/>
                <w:color w:val="000000"/>
                <w:sz w:val="24"/>
                <w:highlight w:val="none"/>
                <w:lang w:val="en-US" w:eastAsia="zh-CN"/>
              </w:rPr>
              <w:t>1</w:t>
            </w:r>
            <w:r>
              <w:rPr>
                <w:rFonts w:hint="default" w:ascii="Times New Roman" w:hAnsi="Times New Roman" w:cs="Times New Roman"/>
                <w:bCs/>
                <w:color w:val="000000"/>
                <w:sz w:val="24"/>
                <w:highlight w:val="none"/>
              </w:rPr>
              <w:t>废气量为</w:t>
            </w:r>
            <w:r>
              <w:rPr>
                <w:rFonts w:hint="eastAsia" w:cs="Times New Roman"/>
                <w:bCs/>
                <w:color w:val="000000"/>
                <w:sz w:val="24"/>
                <w:highlight w:val="none"/>
                <w:lang w:val="en-US" w:eastAsia="zh-CN"/>
              </w:rPr>
              <w:t>60</w:t>
            </w:r>
            <w:r>
              <w:rPr>
                <w:rFonts w:hint="default" w:ascii="Times New Roman" w:hAnsi="Times New Roman" w:cs="Times New Roman"/>
                <w:bCs/>
                <w:color w:val="000000"/>
                <w:sz w:val="24"/>
                <w:highlight w:val="none"/>
              </w:rPr>
              <w:t>00m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/h，空气流速为0.</w:t>
            </w:r>
            <w:r>
              <w:rPr>
                <w:rFonts w:hint="eastAsia" w:cs="Times New Roman"/>
                <w:bCs/>
                <w:color w:val="000000"/>
                <w:sz w:val="24"/>
                <w:highlight w:val="none"/>
                <w:lang w:val="en-US" w:eastAsia="zh-CN"/>
              </w:rPr>
              <w:t>56</w:t>
            </w:r>
            <w:r>
              <w:rPr>
                <w:rFonts w:hint="default" w:ascii="Times New Roman" w:hAnsi="Times New Roman" w:cs="Times New Roman"/>
                <w:bCs/>
                <w:color w:val="000000"/>
                <w:sz w:val="24"/>
                <w:highlight w:val="none"/>
              </w:rPr>
              <w:t>m/s，可以满足规范要求。</w:t>
            </w:r>
          </w:p>
          <w:p w14:paraId="1618D0D5">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本项目VOCs处理采用2级活性炭吸附装置，属于《排污许可证申请与核发技术规范 总则》（HJ942—2018）4.5.2.1中可行技术，能够满足达标排放要求。</w:t>
            </w:r>
          </w:p>
          <w:p w14:paraId="78F00A8A">
            <w:pPr>
              <w:spacing w:line="360" w:lineRule="auto"/>
              <w:ind w:firstLine="482" w:firstLineChars="200"/>
              <w:rPr>
                <w:rFonts w:hint="default" w:ascii="Times New Roman" w:hAnsi="Times New Roman" w:cs="Times New Roman"/>
                <w:b/>
                <w:color w:val="000000"/>
                <w:sz w:val="24"/>
                <w:highlight w:val="none"/>
              </w:rPr>
            </w:pPr>
            <w:r>
              <w:rPr>
                <w:rFonts w:hint="eastAsia" w:cs="Times New Roman"/>
                <w:b/>
                <w:color w:val="000000"/>
                <w:sz w:val="24"/>
                <w:highlight w:val="none"/>
                <w:lang w:val="en-US" w:eastAsia="zh-CN"/>
              </w:rPr>
              <w:t>5</w:t>
            </w:r>
            <w:r>
              <w:rPr>
                <w:rFonts w:hint="default" w:ascii="Times New Roman" w:hAnsi="Times New Roman" w:cs="Times New Roman"/>
                <w:b/>
                <w:color w:val="000000"/>
                <w:sz w:val="24"/>
                <w:highlight w:val="none"/>
              </w:rPr>
              <w:t>、非正常工况</w:t>
            </w:r>
          </w:p>
          <w:p w14:paraId="2BD1585B">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非正常排放主要是指设备开、停运行检修以及废气治理措施故障。其中，设备检修及区域性计划停电时的停车，企业会事先安排好设备正常的停车。本报告重点分析突发性故障造成的废气排放。项目事故废气排放工况主要为废气治理措施发生故障时，导致废气不处理或处理不达标，持续时间1h，年发生频为1次，去除效率为0，则非正常排放下污染物排放最大情况见下表。</w:t>
            </w:r>
          </w:p>
          <w:p w14:paraId="1937573B">
            <w:pPr>
              <w:spacing w:line="360" w:lineRule="auto"/>
              <w:ind w:firstLine="482" w:firstLineChars="200"/>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3</w:t>
            </w:r>
            <w:r>
              <w:rPr>
                <w:rFonts w:hint="default" w:ascii="Times New Roman" w:hAnsi="Times New Roman" w:cs="Times New Roman"/>
                <w:b/>
                <w:bCs/>
                <w:color w:val="000000"/>
                <w:sz w:val="24"/>
                <w:highlight w:val="none"/>
              </w:rPr>
              <w:t xml:space="preserve">  项目非正常排放废气排放情况汇总表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959"/>
              <w:gridCol w:w="1335"/>
              <w:gridCol w:w="1168"/>
              <w:gridCol w:w="1032"/>
              <w:gridCol w:w="1250"/>
              <w:gridCol w:w="1350"/>
              <w:gridCol w:w="849"/>
            </w:tblGrid>
            <w:tr w14:paraId="57116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jc w:val="center"/>
              </w:trPr>
              <w:tc>
                <w:tcPr>
                  <w:tcW w:w="1267" w:type="dxa"/>
                  <w:vMerge w:val="restart"/>
                  <w:tcMar>
                    <w:top w:w="0" w:type="dxa"/>
                    <w:left w:w="0" w:type="dxa"/>
                    <w:bottom w:w="0" w:type="dxa"/>
                    <w:right w:w="0" w:type="dxa"/>
                  </w:tcMar>
                  <w:vAlign w:val="center"/>
                </w:tcPr>
                <w:p w14:paraId="7B1A2070">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排气筒</w:t>
                  </w:r>
                </w:p>
              </w:tc>
              <w:tc>
                <w:tcPr>
                  <w:tcW w:w="959" w:type="dxa"/>
                  <w:vMerge w:val="restart"/>
                  <w:vAlign w:val="center"/>
                </w:tcPr>
                <w:p w14:paraId="345B56C2">
                  <w:pPr>
                    <w:jc w:val="center"/>
                    <w:rPr>
                      <w:rFonts w:hint="default" w:ascii="Times New Roman" w:hAnsi="Times New Roman" w:cs="Times New Roman"/>
                      <w:bCs/>
                      <w:color w:val="000000"/>
                      <w:szCs w:val="21"/>
                      <w:highlight w:val="none"/>
                    </w:rPr>
                  </w:pPr>
                  <w:r>
                    <w:rPr>
                      <w:rFonts w:hint="default" w:ascii="Times New Roman" w:hAnsi="Times New Roman" w:cs="Times New Roman"/>
                      <w:color w:val="000000"/>
                      <w:szCs w:val="21"/>
                      <w:highlight w:val="none"/>
                    </w:rPr>
                    <w:t>污染物</w:t>
                  </w:r>
                </w:p>
              </w:tc>
              <w:tc>
                <w:tcPr>
                  <w:tcW w:w="1335" w:type="dxa"/>
                  <w:vMerge w:val="restart"/>
                  <w:vAlign w:val="center"/>
                </w:tcPr>
                <w:p w14:paraId="2F1C23E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排放浓度（mg/Nm</w:t>
                  </w:r>
                  <w:r>
                    <w:rPr>
                      <w:rFonts w:hint="default" w:ascii="Times New Roman" w:hAnsi="Times New Roman" w:cs="Times New Roman"/>
                      <w:color w:val="000000"/>
                      <w:szCs w:val="21"/>
                      <w:highlight w:val="none"/>
                      <w:vertAlign w:val="superscript"/>
                    </w:rPr>
                    <w:t>3</w:t>
                  </w:r>
                  <w:r>
                    <w:rPr>
                      <w:rFonts w:hint="default" w:ascii="Times New Roman" w:hAnsi="Times New Roman" w:cs="Times New Roman"/>
                      <w:color w:val="000000"/>
                      <w:szCs w:val="21"/>
                      <w:highlight w:val="none"/>
                    </w:rPr>
                    <w:t>）</w:t>
                  </w:r>
                </w:p>
              </w:tc>
              <w:tc>
                <w:tcPr>
                  <w:tcW w:w="1168" w:type="dxa"/>
                  <w:vMerge w:val="restart"/>
                  <w:vAlign w:val="center"/>
                </w:tcPr>
                <w:p w14:paraId="65990238">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排放速率（</w:t>
                  </w:r>
                  <w:r>
                    <w:rPr>
                      <w:rFonts w:hint="default" w:ascii="Times New Roman" w:hAnsi="Times New Roman" w:cs="Times New Roman"/>
                      <w:color w:val="000000"/>
                      <w:szCs w:val="21"/>
                      <w:highlight w:val="none"/>
                    </w:rPr>
                    <w:t>kg/h）</w:t>
                  </w:r>
                </w:p>
              </w:tc>
              <w:tc>
                <w:tcPr>
                  <w:tcW w:w="1032" w:type="dxa"/>
                  <w:vMerge w:val="restart"/>
                  <w:vAlign w:val="center"/>
                </w:tcPr>
                <w:p w14:paraId="39F700E0">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排放量（</w:t>
                  </w:r>
                  <w:r>
                    <w:rPr>
                      <w:rFonts w:hint="default" w:ascii="Times New Roman" w:hAnsi="Times New Roman" w:cs="Times New Roman"/>
                      <w:color w:val="000000"/>
                      <w:szCs w:val="21"/>
                      <w:highlight w:val="none"/>
                    </w:rPr>
                    <w:t>kg/次）</w:t>
                  </w:r>
                </w:p>
              </w:tc>
              <w:tc>
                <w:tcPr>
                  <w:tcW w:w="2600" w:type="dxa"/>
                  <w:gridSpan w:val="2"/>
                  <w:vAlign w:val="center"/>
                </w:tcPr>
                <w:p w14:paraId="53E965BE">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排放标准</w:t>
                  </w:r>
                </w:p>
              </w:tc>
              <w:tc>
                <w:tcPr>
                  <w:tcW w:w="849" w:type="dxa"/>
                  <w:vMerge w:val="restart"/>
                  <w:vAlign w:val="center"/>
                </w:tcPr>
                <w:p w14:paraId="3BF11818">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是否</w:t>
                  </w:r>
                </w:p>
                <w:p w14:paraId="2B36240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超标</w:t>
                  </w:r>
                </w:p>
              </w:tc>
            </w:tr>
            <w:tr w14:paraId="31924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67" w:type="dxa"/>
                  <w:vMerge w:val="continue"/>
                  <w:tcMar>
                    <w:top w:w="0" w:type="dxa"/>
                    <w:left w:w="0" w:type="dxa"/>
                    <w:bottom w:w="0" w:type="dxa"/>
                    <w:right w:w="0" w:type="dxa"/>
                  </w:tcMar>
                  <w:vAlign w:val="center"/>
                </w:tcPr>
                <w:p w14:paraId="528A8DAA">
                  <w:pPr>
                    <w:jc w:val="center"/>
                    <w:rPr>
                      <w:rFonts w:hint="default" w:ascii="Times New Roman" w:hAnsi="Times New Roman" w:cs="Times New Roman"/>
                      <w:color w:val="000000"/>
                      <w:szCs w:val="21"/>
                      <w:highlight w:val="none"/>
                    </w:rPr>
                  </w:pPr>
                </w:p>
              </w:tc>
              <w:tc>
                <w:tcPr>
                  <w:tcW w:w="959" w:type="dxa"/>
                  <w:vMerge w:val="continue"/>
                  <w:vAlign w:val="center"/>
                </w:tcPr>
                <w:p w14:paraId="286986C1">
                  <w:pPr>
                    <w:jc w:val="center"/>
                    <w:rPr>
                      <w:rFonts w:hint="default" w:ascii="Times New Roman" w:hAnsi="Times New Roman" w:cs="Times New Roman"/>
                      <w:color w:val="000000"/>
                      <w:szCs w:val="21"/>
                      <w:highlight w:val="none"/>
                    </w:rPr>
                  </w:pPr>
                </w:p>
              </w:tc>
              <w:tc>
                <w:tcPr>
                  <w:tcW w:w="1335" w:type="dxa"/>
                  <w:vMerge w:val="continue"/>
                  <w:vAlign w:val="center"/>
                </w:tcPr>
                <w:p w14:paraId="73636557">
                  <w:pPr>
                    <w:jc w:val="center"/>
                    <w:rPr>
                      <w:rFonts w:hint="default" w:ascii="Times New Roman" w:hAnsi="Times New Roman" w:cs="Times New Roman"/>
                      <w:color w:val="000000"/>
                      <w:szCs w:val="21"/>
                      <w:highlight w:val="none"/>
                    </w:rPr>
                  </w:pPr>
                </w:p>
              </w:tc>
              <w:tc>
                <w:tcPr>
                  <w:tcW w:w="1168" w:type="dxa"/>
                  <w:vMerge w:val="continue"/>
                  <w:vAlign w:val="center"/>
                </w:tcPr>
                <w:p w14:paraId="4733A288">
                  <w:pPr>
                    <w:jc w:val="center"/>
                    <w:rPr>
                      <w:rFonts w:hint="default" w:ascii="Times New Roman" w:hAnsi="Times New Roman" w:cs="Times New Roman"/>
                      <w:color w:val="000000"/>
                      <w:szCs w:val="21"/>
                      <w:highlight w:val="none"/>
                    </w:rPr>
                  </w:pPr>
                </w:p>
              </w:tc>
              <w:tc>
                <w:tcPr>
                  <w:tcW w:w="1032" w:type="dxa"/>
                  <w:vMerge w:val="continue"/>
                  <w:vAlign w:val="center"/>
                </w:tcPr>
                <w:p w14:paraId="22EF12DA">
                  <w:pPr>
                    <w:jc w:val="center"/>
                    <w:rPr>
                      <w:rFonts w:hint="default" w:ascii="Times New Roman" w:hAnsi="Times New Roman" w:cs="Times New Roman"/>
                      <w:color w:val="000000"/>
                      <w:szCs w:val="21"/>
                      <w:highlight w:val="none"/>
                    </w:rPr>
                  </w:pPr>
                </w:p>
              </w:tc>
              <w:tc>
                <w:tcPr>
                  <w:tcW w:w="1250" w:type="dxa"/>
                  <w:vAlign w:val="center"/>
                </w:tcPr>
                <w:p w14:paraId="126F81D7">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浓度mg/m</w:t>
                  </w:r>
                  <w:r>
                    <w:rPr>
                      <w:rFonts w:hint="default" w:ascii="Times New Roman" w:hAnsi="Times New Roman" w:cs="Times New Roman"/>
                      <w:color w:val="000000"/>
                      <w:szCs w:val="21"/>
                      <w:highlight w:val="none"/>
                      <w:vertAlign w:val="superscript"/>
                    </w:rPr>
                    <w:t>3</w:t>
                  </w:r>
                </w:p>
              </w:tc>
              <w:tc>
                <w:tcPr>
                  <w:tcW w:w="1350" w:type="dxa"/>
                  <w:vAlign w:val="center"/>
                </w:tcPr>
                <w:p w14:paraId="32561453">
                  <w:pPr>
                    <w:jc w:val="both"/>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速率kg/h</w:t>
                  </w:r>
                </w:p>
              </w:tc>
              <w:tc>
                <w:tcPr>
                  <w:tcW w:w="849" w:type="dxa"/>
                  <w:vMerge w:val="continue"/>
                  <w:vAlign w:val="center"/>
                </w:tcPr>
                <w:p w14:paraId="2B568753">
                  <w:pPr>
                    <w:jc w:val="center"/>
                    <w:rPr>
                      <w:rFonts w:hint="default" w:ascii="Times New Roman" w:hAnsi="Times New Roman" w:cs="Times New Roman"/>
                      <w:color w:val="000000"/>
                      <w:szCs w:val="21"/>
                      <w:highlight w:val="none"/>
                    </w:rPr>
                  </w:pPr>
                </w:p>
              </w:tc>
            </w:tr>
            <w:tr w14:paraId="0BE1B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267" w:type="dxa"/>
                  <w:shd w:val="clear" w:color="auto" w:fill="auto"/>
                  <w:tcMar>
                    <w:top w:w="0" w:type="dxa"/>
                    <w:left w:w="0" w:type="dxa"/>
                    <w:bottom w:w="0" w:type="dxa"/>
                    <w:right w:w="0" w:type="dxa"/>
                  </w:tcMar>
                  <w:vAlign w:val="center"/>
                </w:tcPr>
                <w:p w14:paraId="53A5BF0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DA001</w:t>
                  </w:r>
                </w:p>
              </w:tc>
              <w:tc>
                <w:tcPr>
                  <w:tcW w:w="959" w:type="dxa"/>
                  <w:shd w:val="clear" w:color="auto" w:fill="auto"/>
                  <w:vAlign w:val="center"/>
                </w:tcPr>
                <w:p w14:paraId="189E8F8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1335" w:type="dxa"/>
                  <w:shd w:val="clear" w:color="auto" w:fill="auto"/>
                  <w:vAlign w:val="center"/>
                </w:tcPr>
                <w:p w14:paraId="15F48D3A">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75.972</w:t>
                  </w:r>
                </w:p>
              </w:tc>
              <w:tc>
                <w:tcPr>
                  <w:tcW w:w="1168" w:type="dxa"/>
                  <w:shd w:val="clear" w:color="auto" w:fill="auto"/>
                  <w:vAlign w:val="center"/>
                </w:tcPr>
                <w:p w14:paraId="61DAAE7A">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0.456</w:t>
                  </w:r>
                </w:p>
              </w:tc>
              <w:tc>
                <w:tcPr>
                  <w:tcW w:w="1032" w:type="dxa"/>
                  <w:shd w:val="clear" w:color="auto" w:fill="auto"/>
                  <w:vAlign w:val="center"/>
                </w:tcPr>
                <w:p w14:paraId="1D64784E">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0.456</w:t>
                  </w:r>
                </w:p>
              </w:tc>
              <w:tc>
                <w:tcPr>
                  <w:tcW w:w="1250" w:type="dxa"/>
                  <w:shd w:val="clear" w:color="auto" w:fill="auto"/>
                  <w:vAlign w:val="center"/>
                </w:tcPr>
                <w:p w14:paraId="32681716">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60</w:t>
                  </w:r>
                </w:p>
              </w:tc>
              <w:tc>
                <w:tcPr>
                  <w:tcW w:w="1350" w:type="dxa"/>
                  <w:shd w:val="clear" w:color="auto" w:fill="auto"/>
                  <w:vAlign w:val="center"/>
                </w:tcPr>
                <w:p w14:paraId="5E4A7D28">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3</w:t>
                  </w:r>
                </w:p>
              </w:tc>
              <w:tc>
                <w:tcPr>
                  <w:tcW w:w="849" w:type="dxa"/>
                  <w:vAlign w:val="center"/>
                </w:tcPr>
                <w:p w14:paraId="6AB06363">
                  <w:pPr>
                    <w:spacing w:line="280" w:lineRule="exact"/>
                    <w:jc w:val="center"/>
                    <w:rPr>
                      <w:rFonts w:hint="eastAsia"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超标</w:t>
                  </w:r>
                </w:p>
              </w:tc>
            </w:tr>
          </w:tbl>
          <w:p w14:paraId="7C121A61">
            <w:pPr>
              <w:tabs>
                <w:tab w:val="left" w:pos="1680"/>
              </w:tabs>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bCs/>
                <w:color w:val="000000"/>
                <w:sz w:val="24"/>
                <w:highlight w:val="none"/>
              </w:rPr>
              <w:t>由上表可知，本项目废气处理措施非正常工况下，不能达标排放，企业应加强环保设施的检修工作，确保环保设施有效运行，防止非正常工况现象发生。</w:t>
            </w:r>
          </w:p>
          <w:p w14:paraId="5D8B0807">
            <w:pPr>
              <w:adjustRightInd w:val="0"/>
              <w:snapToGri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非正常排放应对措施：强化生产设备和环保设备的运行管理、定期对其进行检修，一旦发现环保设备运转不正常，或无法运转，需立即停止生产，减少对周围大气环境造成的影响。</w:t>
            </w:r>
          </w:p>
          <w:p w14:paraId="39BFDA12">
            <w:pPr>
              <w:spacing w:line="360" w:lineRule="auto"/>
              <w:ind w:firstLine="482" w:firstLineChars="200"/>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6、监测计划</w:t>
            </w:r>
          </w:p>
          <w:p w14:paraId="101DC31A">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color w:val="000000"/>
                <w:sz w:val="24"/>
                <w:highlight w:val="none"/>
              </w:rPr>
              <w:t>根据</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排污单位自行监测技术指南 橡胶和塑料制品</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（HJ 1207—2021），项目废气监测计划见下表。</w:t>
            </w:r>
          </w:p>
          <w:p w14:paraId="60D278C3">
            <w:pPr>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4</w:t>
            </w:r>
            <w:r>
              <w:rPr>
                <w:rFonts w:hint="default" w:ascii="Times New Roman" w:hAnsi="Times New Roman" w:cs="Times New Roman"/>
                <w:b/>
                <w:bCs/>
                <w:color w:val="000000"/>
                <w:sz w:val="24"/>
                <w:highlight w:val="none"/>
              </w:rPr>
              <w:t xml:space="preserve">  废气监测计划一览表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9"/>
              <w:gridCol w:w="2910"/>
              <w:gridCol w:w="2054"/>
              <w:gridCol w:w="2777"/>
            </w:tblGrid>
            <w:tr w14:paraId="67E9B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tcBorders>
                    <w:top w:val="single" w:color="auto" w:sz="4" w:space="0"/>
                    <w:left w:val="single" w:color="auto" w:sz="4" w:space="0"/>
                    <w:bottom w:val="single" w:color="auto" w:sz="4" w:space="0"/>
                    <w:right w:val="single" w:color="auto" w:sz="4" w:space="0"/>
                  </w:tcBorders>
                  <w:vAlign w:val="center"/>
                </w:tcPr>
                <w:p w14:paraId="056FB326">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环境要素</w:t>
                  </w:r>
                </w:p>
              </w:tc>
              <w:tc>
                <w:tcPr>
                  <w:tcW w:w="2910" w:type="dxa"/>
                  <w:tcBorders>
                    <w:top w:val="single" w:color="auto" w:sz="4" w:space="0"/>
                    <w:left w:val="single" w:color="auto" w:sz="4" w:space="0"/>
                    <w:bottom w:val="single" w:color="auto" w:sz="4" w:space="0"/>
                    <w:right w:val="single" w:color="auto" w:sz="4" w:space="0"/>
                  </w:tcBorders>
                  <w:vAlign w:val="center"/>
                </w:tcPr>
                <w:p w14:paraId="29387845">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监测位置</w:t>
                  </w:r>
                </w:p>
              </w:tc>
              <w:tc>
                <w:tcPr>
                  <w:tcW w:w="2054" w:type="dxa"/>
                  <w:tcBorders>
                    <w:top w:val="single" w:color="auto" w:sz="4" w:space="0"/>
                    <w:left w:val="single" w:color="auto" w:sz="4" w:space="0"/>
                    <w:bottom w:val="single" w:color="auto" w:sz="4" w:space="0"/>
                    <w:right w:val="single" w:color="auto" w:sz="4" w:space="0"/>
                  </w:tcBorders>
                  <w:vAlign w:val="center"/>
                </w:tcPr>
                <w:p w14:paraId="766AC322">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监测项目</w:t>
                  </w:r>
                </w:p>
              </w:tc>
              <w:tc>
                <w:tcPr>
                  <w:tcW w:w="2777" w:type="dxa"/>
                  <w:tcBorders>
                    <w:top w:val="single" w:color="auto" w:sz="4" w:space="0"/>
                    <w:left w:val="single" w:color="auto" w:sz="4" w:space="0"/>
                    <w:bottom w:val="single" w:color="auto" w:sz="4" w:space="0"/>
                    <w:right w:val="single" w:color="auto" w:sz="4" w:space="0"/>
                  </w:tcBorders>
                  <w:vAlign w:val="center"/>
                </w:tcPr>
                <w:p w14:paraId="78CCE7E8">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监测频次</w:t>
                  </w:r>
                </w:p>
              </w:tc>
            </w:tr>
            <w:tr w14:paraId="5C025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vMerge w:val="restart"/>
                  <w:tcBorders>
                    <w:top w:val="single" w:color="auto" w:sz="4" w:space="0"/>
                    <w:left w:val="single" w:color="auto" w:sz="4" w:space="0"/>
                    <w:right w:val="single" w:color="auto" w:sz="4" w:space="0"/>
                  </w:tcBorders>
                  <w:vAlign w:val="center"/>
                </w:tcPr>
                <w:p w14:paraId="0C7F2878">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废气</w:t>
                  </w:r>
                </w:p>
              </w:tc>
              <w:tc>
                <w:tcPr>
                  <w:tcW w:w="2910" w:type="dxa"/>
                  <w:tcBorders>
                    <w:top w:val="single" w:color="auto" w:sz="4" w:space="0"/>
                    <w:left w:val="single" w:color="auto" w:sz="4" w:space="0"/>
                    <w:right w:val="single" w:color="auto" w:sz="4" w:space="0"/>
                  </w:tcBorders>
                  <w:shd w:val="clear" w:color="auto" w:fill="auto"/>
                  <w:vAlign w:val="center"/>
                </w:tcPr>
                <w:p w14:paraId="05402E7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DA001</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0A42EE1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2777" w:type="dxa"/>
                  <w:tcBorders>
                    <w:top w:val="single" w:color="auto" w:sz="4" w:space="0"/>
                    <w:left w:val="single" w:color="auto" w:sz="4" w:space="0"/>
                    <w:right w:val="single" w:color="auto" w:sz="4" w:space="0"/>
                  </w:tcBorders>
                  <w:vAlign w:val="center"/>
                </w:tcPr>
                <w:p w14:paraId="44B48295">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每</w:t>
                  </w:r>
                  <w:r>
                    <w:rPr>
                      <w:rFonts w:hint="eastAsia" w:ascii="Times New Roman" w:hAnsi="Times New Roman" w:cs="Times New Roman"/>
                      <w:color w:val="000000"/>
                      <w:highlight w:val="none"/>
                      <w:lang w:val="en-US" w:eastAsia="zh-CN"/>
                    </w:rPr>
                    <w:t>半年</w:t>
                  </w:r>
                  <w:r>
                    <w:rPr>
                      <w:rFonts w:hint="default" w:ascii="Times New Roman" w:hAnsi="Times New Roman" w:cs="Times New Roman"/>
                      <w:color w:val="000000"/>
                      <w:highlight w:val="none"/>
                    </w:rPr>
                    <w:t>一次</w:t>
                  </w:r>
                </w:p>
              </w:tc>
            </w:tr>
            <w:tr w14:paraId="6390D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vMerge w:val="continue"/>
                  <w:tcBorders>
                    <w:left w:val="single" w:color="auto" w:sz="4" w:space="0"/>
                    <w:right w:val="single" w:color="auto" w:sz="4" w:space="0"/>
                  </w:tcBorders>
                  <w:vAlign w:val="center"/>
                </w:tcPr>
                <w:p w14:paraId="4DAD0D53">
                  <w:pPr>
                    <w:pStyle w:val="255"/>
                    <w:ind w:firstLine="0"/>
                    <w:rPr>
                      <w:rFonts w:hint="default" w:ascii="Times New Roman" w:hAnsi="Times New Roman" w:cs="Times New Roman"/>
                      <w:color w:val="000000"/>
                      <w:highlight w:val="none"/>
                    </w:rPr>
                  </w:pPr>
                </w:p>
              </w:tc>
              <w:tc>
                <w:tcPr>
                  <w:tcW w:w="2910" w:type="dxa"/>
                  <w:tcBorders>
                    <w:top w:val="single" w:color="auto" w:sz="4" w:space="0"/>
                    <w:left w:val="single" w:color="auto" w:sz="4" w:space="0"/>
                    <w:bottom w:val="single" w:color="auto" w:sz="4" w:space="0"/>
                    <w:right w:val="single" w:color="auto" w:sz="4" w:space="0"/>
                  </w:tcBorders>
                  <w:vAlign w:val="center"/>
                </w:tcPr>
                <w:p w14:paraId="02E515A7">
                  <w:pPr>
                    <w:pStyle w:val="255"/>
                    <w:ind w:firstLine="0"/>
                    <w:rPr>
                      <w:rFonts w:hint="default" w:ascii="Times New Roman" w:hAnsi="Times New Roman" w:cs="Times New Roman"/>
                      <w:color w:val="000000"/>
                      <w:kern w:val="0"/>
                      <w:highlight w:val="none"/>
                    </w:rPr>
                  </w:pPr>
                  <w:r>
                    <w:rPr>
                      <w:rFonts w:hint="default" w:ascii="Times New Roman" w:hAnsi="Times New Roman" w:cs="Times New Roman"/>
                      <w:color w:val="000000"/>
                      <w:highlight w:val="none"/>
                    </w:rPr>
                    <w:t>厂界无组织</w:t>
                  </w:r>
                </w:p>
              </w:tc>
              <w:tc>
                <w:tcPr>
                  <w:tcW w:w="2054" w:type="dxa"/>
                  <w:tcBorders>
                    <w:top w:val="single" w:color="auto" w:sz="4" w:space="0"/>
                    <w:left w:val="single" w:color="auto" w:sz="4" w:space="0"/>
                    <w:bottom w:val="single" w:color="auto" w:sz="4" w:space="0"/>
                    <w:right w:val="single" w:color="auto" w:sz="4" w:space="0"/>
                  </w:tcBorders>
                  <w:vAlign w:val="center"/>
                </w:tcPr>
                <w:p w14:paraId="297C5BBF">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VOCs</w:t>
                  </w:r>
                  <w:r>
                    <w:rPr>
                      <w:rFonts w:hint="eastAsia" w:cs="Times New Roman"/>
                      <w:szCs w:val="21"/>
                      <w:highlight w:val="none"/>
                      <w:lang w:eastAsia="zh-CN"/>
                    </w:rPr>
                    <w:t>、</w:t>
                  </w:r>
                  <w:r>
                    <w:rPr>
                      <w:rFonts w:hint="eastAsia" w:cs="Times New Roman"/>
                      <w:szCs w:val="21"/>
                      <w:highlight w:val="none"/>
                      <w:lang w:val="en-US" w:eastAsia="zh-CN"/>
                    </w:rPr>
                    <w:t>颗粒物</w:t>
                  </w:r>
                </w:p>
              </w:tc>
              <w:tc>
                <w:tcPr>
                  <w:tcW w:w="2777" w:type="dxa"/>
                  <w:tcBorders>
                    <w:top w:val="single" w:color="auto" w:sz="4" w:space="0"/>
                    <w:left w:val="single" w:color="auto" w:sz="4" w:space="0"/>
                    <w:bottom w:val="single" w:color="auto" w:sz="4" w:space="0"/>
                    <w:right w:val="single" w:color="auto" w:sz="4" w:space="0"/>
                  </w:tcBorders>
                  <w:vAlign w:val="center"/>
                </w:tcPr>
                <w:p w14:paraId="22D86B1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每年一次</w:t>
                  </w:r>
                </w:p>
              </w:tc>
            </w:tr>
          </w:tbl>
          <w:p w14:paraId="4623E53E">
            <w:pPr>
              <w:adjustRightInd w:val="0"/>
              <w:snapToGrid w:val="0"/>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二、废水</w:t>
            </w:r>
          </w:p>
          <w:p w14:paraId="6A1E524A">
            <w:pPr>
              <w:spacing w:line="360" w:lineRule="auto"/>
              <w:ind w:firstLine="482" w:firstLineChars="200"/>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1、废水产生与排放情况</w:t>
            </w:r>
          </w:p>
          <w:p w14:paraId="31FA0E2C">
            <w:pPr>
              <w:widowControl/>
              <w:spacing w:line="360" w:lineRule="auto"/>
              <w:ind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项目废水主要为职工生活污水</w:t>
            </w:r>
            <w:r>
              <w:rPr>
                <w:rFonts w:hint="eastAsia" w:cs="Times New Roman"/>
                <w:color w:val="000000"/>
                <w:sz w:val="24"/>
                <w:highlight w:val="none"/>
                <w:lang w:eastAsia="zh-CN"/>
              </w:rPr>
              <w:t>（</w:t>
            </w:r>
            <w:r>
              <w:rPr>
                <w:rFonts w:hint="eastAsia" w:cs="Times New Roman"/>
                <w:color w:val="000000"/>
                <w:sz w:val="24"/>
                <w:highlight w:val="none"/>
                <w:lang w:val="en-US" w:eastAsia="zh-CN"/>
              </w:rPr>
              <w:t>60m</w:t>
            </w:r>
            <w:r>
              <w:rPr>
                <w:rFonts w:hint="eastAsia" w:cs="Times New Roman"/>
                <w:color w:val="000000"/>
                <w:sz w:val="24"/>
                <w:highlight w:val="none"/>
                <w:vertAlign w:val="superscript"/>
                <w:lang w:val="en-US" w:eastAsia="zh-CN"/>
              </w:rPr>
              <w:t>3</w:t>
            </w:r>
            <w:r>
              <w:rPr>
                <w:rFonts w:hint="eastAsia" w:cs="Times New Roman"/>
                <w:color w:val="000000"/>
                <w:sz w:val="24"/>
                <w:highlight w:val="none"/>
                <w:lang w:val="en-US" w:eastAsia="zh-CN"/>
              </w:rPr>
              <w:t>/a</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。生活污水进入厂区化粪池处理后</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由环卫部门定期清运。</w:t>
            </w:r>
          </w:p>
          <w:p w14:paraId="5C9C9DC7">
            <w:pPr>
              <w:widowControl/>
              <w:spacing w:line="360" w:lineRule="auto"/>
              <w:ind w:firstLine="480" w:firstLineChars="200"/>
              <w:jc w:val="left"/>
              <w:rPr>
                <w:rFonts w:hint="default" w:ascii="Times New Roman" w:hAnsi="Times New Roman" w:cs="Times New Roman"/>
                <w:color w:val="000000"/>
                <w:highlight w:val="none"/>
              </w:rPr>
            </w:pPr>
            <w:r>
              <w:rPr>
                <w:rFonts w:hint="default" w:ascii="Times New Roman" w:hAnsi="Times New Roman" w:cs="Times New Roman"/>
                <w:color w:val="000000"/>
                <w:sz w:val="24"/>
                <w:highlight w:val="none"/>
              </w:rPr>
              <w:t>综上，本项目废水对周围环境影响很小。</w:t>
            </w:r>
          </w:p>
          <w:p w14:paraId="2F20BB92">
            <w:pPr>
              <w:spacing w:line="360" w:lineRule="auto"/>
              <w:jc w:val="center"/>
              <w:rPr>
                <w:rFonts w:hint="default" w:ascii="Times New Roman" w:hAnsi="Times New Roman" w:eastAsia="宋体" w:cs="Times New Roman"/>
                <w:b/>
                <w:bCs/>
                <w:color w:val="000000"/>
                <w:sz w:val="24"/>
                <w:highlight w:val="none"/>
                <w:lang w:val="en-US" w:eastAsia="zh-CN"/>
              </w:rPr>
            </w:pPr>
            <w:r>
              <w:rPr>
                <w:rFonts w:hint="default" w:ascii="Times New Roman" w:hAnsi="Times New Roman" w:cs="Times New Roman"/>
                <w:b/>
                <w:bCs/>
                <w:color w:val="000000"/>
                <w:sz w:val="24"/>
                <w:highlight w:val="none"/>
              </w:rPr>
              <w:t>表4-</w:t>
            </w:r>
            <w:r>
              <w:rPr>
                <w:rFonts w:hint="eastAsia" w:ascii="Times New Roman" w:hAnsi="Times New Roman" w:eastAsia="宋体" w:cs="Times New Roman"/>
                <w:b/>
                <w:bCs/>
                <w:color w:val="000000"/>
                <w:sz w:val="24"/>
                <w:highlight w:val="none"/>
                <w:lang w:val="en-US" w:eastAsia="zh-CN"/>
              </w:rPr>
              <w:t>6</w:t>
            </w:r>
            <w:r>
              <w:rPr>
                <w:rFonts w:hint="eastAsia" w:cs="Times New Roman"/>
                <w:b/>
                <w:bCs/>
                <w:color w:val="000000"/>
                <w:sz w:val="24"/>
                <w:highlight w:val="none"/>
                <w:lang w:val="en-US" w:eastAsia="zh-CN"/>
              </w:rPr>
              <w:t xml:space="preserve"> </w:t>
            </w:r>
            <w:r>
              <w:rPr>
                <w:rFonts w:hint="default" w:ascii="Times New Roman" w:hAnsi="Times New Roman" w:cs="Times New Roman"/>
                <w:b/>
                <w:bCs/>
                <w:color w:val="000000"/>
                <w:sz w:val="24"/>
                <w:highlight w:val="none"/>
              </w:rPr>
              <w:t xml:space="preserve"> </w:t>
            </w:r>
            <w:r>
              <w:rPr>
                <w:rFonts w:hint="eastAsia" w:ascii="Times New Roman" w:hAnsi="Times New Roman" w:eastAsia="宋体" w:cs="Times New Roman"/>
                <w:b/>
                <w:bCs/>
                <w:color w:val="000000"/>
                <w:sz w:val="24"/>
                <w:highlight w:val="none"/>
                <w:lang w:val="en-US" w:eastAsia="zh-CN"/>
              </w:rPr>
              <w:t>生活污水产生</w:t>
            </w:r>
            <w:r>
              <w:rPr>
                <w:rFonts w:hint="eastAsia" w:eastAsia="宋体" w:cs="Times New Roman"/>
                <w:b/>
                <w:bCs/>
                <w:color w:val="000000"/>
                <w:sz w:val="24"/>
                <w:highlight w:val="none"/>
                <w:lang w:val="en-US" w:eastAsia="zh-CN"/>
              </w:rPr>
              <w:t>排放</w:t>
            </w:r>
            <w:r>
              <w:rPr>
                <w:rFonts w:hint="eastAsia" w:ascii="Times New Roman" w:hAnsi="Times New Roman" w:eastAsia="宋体" w:cs="Times New Roman"/>
                <w:b/>
                <w:bCs/>
                <w:color w:val="000000"/>
                <w:sz w:val="24"/>
                <w:highlight w:val="none"/>
                <w:lang w:val="en-US" w:eastAsia="zh-CN"/>
              </w:rPr>
              <w:t>情况</w:t>
            </w:r>
          </w:p>
          <w:tbl>
            <w:tblPr>
              <w:tblStyle w:val="47"/>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9"/>
              <w:gridCol w:w="975"/>
              <w:gridCol w:w="1920"/>
              <w:gridCol w:w="720"/>
              <w:gridCol w:w="915"/>
              <w:gridCol w:w="703"/>
              <w:gridCol w:w="1113"/>
              <w:gridCol w:w="1079"/>
              <w:gridCol w:w="981"/>
            </w:tblGrid>
            <w:tr w14:paraId="59CA2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restart"/>
                  <w:noWrap w:val="0"/>
                  <w:vAlign w:val="center"/>
                </w:tcPr>
                <w:p w14:paraId="5156AB03">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来源</w:t>
                  </w:r>
                </w:p>
              </w:tc>
              <w:tc>
                <w:tcPr>
                  <w:tcW w:w="975" w:type="dxa"/>
                  <w:vMerge w:val="restart"/>
                  <w:noWrap w:val="0"/>
                  <w:vAlign w:val="center"/>
                </w:tcPr>
                <w:p w14:paraId="4B7FEF4E">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污水排放量（</w:t>
                  </w:r>
                  <w:r>
                    <w:rPr>
                      <w:rFonts w:hint="eastAsia" w:ascii="Times New Roman" w:hAnsi="Times New Roman" w:cs="Times New Roman"/>
                      <w:b/>
                      <w:bCs/>
                      <w:color w:val="000000"/>
                      <w:sz w:val="21"/>
                      <w:szCs w:val="21"/>
                      <w:highlight w:val="none"/>
                      <w:lang w:val="en-US" w:eastAsia="zh-CN"/>
                    </w:rPr>
                    <w:t>m</w:t>
                  </w:r>
                  <w:r>
                    <w:rPr>
                      <w:rFonts w:hint="eastAsia" w:ascii="Times New Roman" w:hAnsi="Times New Roman" w:cs="Times New Roman"/>
                      <w:b/>
                      <w:bCs/>
                      <w:color w:val="000000"/>
                      <w:sz w:val="21"/>
                      <w:szCs w:val="21"/>
                      <w:highlight w:val="none"/>
                      <w:vertAlign w:val="superscript"/>
                      <w:lang w:val="en-US" w:eastAsia="zh-CN"/>
                    </w:rPr>
                    <w:t>3</w:t>
                  </w:r>
                  <w:r>
                    <w:rPr>
                      <w:rFonts w:hint="default" w:ascii="Times New Roman" w:hAnsi="Times New Roman" w:cs="Times New Roman"/>
                      <w:b/>
                      <w:bCs/>
                      <w:color w:val="000000"/>
                      <w:sz w:val="21"/>
                      <w:szCs w:val="21"/>
                      <w:highlight w:val="none"/>
                      <w:lang w:val="en-US" w:eastAsia="zh-CN"/>
                    </w:rPr>
                    <w:t>/a）</w:t>
                  </w:r>
                </w:p>
              </w:tc>
              <w:tc>
                <w:tcPr>
                  <w:tcW w:w="1920" w:type="dxa"/>
                  <w:vMerge w:val="restart"/>
                  <w:noWrap w:val="0"/>
                  <w:vAlign w:val="center"/>
                </w:tcPr>
                <w:p w14:paraId="711B6445">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污染物</w:t>
                  </w:r>
                </w:p>
              </w:tc>
              <w:tc>
                <w:tcPr>
                  <w:tcW w:w="1635" w:type="dxa"/>
                  <w:gridSpan w:val="2"/>
                  <w:noWrap w:val="0"/>
                  <w:vAlign w:val="center"/>
                </w:tcPr>
                <w:p w14:paraId="75E0D24E">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产生情况</w:t>
                  </w:r>
                </w:p>
              </w:tc>
              <w:tc>
                <w:tcPr>
                  <w:tcW w:w="703" w:type="dxa"/>
                  <w:vMerge w:val="restart"/>
                  <w:noWrap w:val="0"/>
                  <w:vAlign w:val="center"/>
                </w:tcPr>
                <w:p w14:paraId="0A23EA19">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治理措施</w:t>
                  </w:r>
                </w:p>
              </w:tc>
              <w:tc>
                <w:tcPr>
                  <w:tcW w:w="2192" w:type="dxa"/>
                  <w:gridSpan w:val="2"/>
                  <w:noWrap w:val="0"/>
                  <w:vAlign w:val="center"/>
                </w:tcPr>
                <w:p w14:paraId="66861135">
                  <w:pPr>
                    <w:adjustRightInd w:val="0"/>
                    <w:jc w:val="center"/>
                    <w:rPr>
                      <w:rFonts w:hint="default" w:ascii="Times New Roman" w:hAnsi="Times New Roman" w:cs="Times New Roman"/>
                      <w:b/>
                      <w:bCs/>
                      <w:color w:val="000000"/>
                      <w:sz w:val="21"/>
                      <w:szCs w:val="21"/>
                      <w:highlight w:val="none"/>
                      <w:lang w:val="en-US" w:eastAsia="zh-CN"/>
                    </w:rPr>
                  </w:pPr>
                  <w:r>
                    <w:rPr>
                      <w:rFonts w:hint="eastAsia" w:cs="Times New Roman"/>
                      <w:b/>
                      <w:bCs/>
                      <w:color w:val="000000"/>
                      <w:sz w:val="21"/>
                      <w:szCs w:val="21"/>
                      <w:highlight w:val="none"/>
                      <w:lang w:val="en-US" w:eastAsia="zh-CN"/>
                    </w:rPr>
                    <w:t>排放情况</w:t>
                  </w:r>
                </w:p>
              </w:tc>
              <w:tc>
                <w:tcPr>
                  <w:tcW w:w="981" w:type="dxa"/>
                  <w:vMerge w:val="restart"/>
                  <w:noWrap w:val="0"/>
                  <w:vAlign w:val="center"/>
                </w:tcPr>
                <w:p w14:paraId="040749D5">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排放方式与去向</w:t>
                  </w:r>
                </w:p>
              </w:tc>
            </w:tr>
            <w:tr w14:paraId="3283B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continue"/>
                  <w:noWrap w:val="0"/>
                  <w:vAlign w:val="center"/>
                </w:tcPr>
                <w:p w14:paraId="4987BEEF">
                  <w:pPr>
                    <w:adjustRightInd w:val="0"/>
                    <w:jc w:val="center"/>
                    <w:rPr>
                      <w:rFonts w:hint="default" w:ascii="Times New Roman" w:hAnsi="Times New Roman" w:cs="Times New Roman"/>
                      <w:b/>
                      <w:bCs/>
                      <w:color w:val="000000"/>
                      <w:sz w:val="21"/>
                      <w:szCs w:val="21"/>
                      <w:highlight w:val="none"/>
                      <w:lang w:val="en-US" w:eastAsia="zh-CN"/>
                    </w:rPr>
                  </w:pPr>
                </w:p>
              </w:tc>
              <w:tc>
                <w:tcPr>
                  <w:tcW w:w="975" w:type="dxa"/>
                  <w:vMerge w:val="continue"/>
                  <w:noWrap w:val="0"/>
                  <w:vAlign w:val="center"/>
                </w:tcPr>
                <w:p w14:paraId="02991527">
                  <w:pPr>
                    <w:adjustRightInd w:val="0"/>
                    <w:jc w:val="center"/>
                    <w:rPr>
                      <w:rFonts w:hint="default" w:ascii="Times New Roman" w:hAnsi="Times New Roman" w:cs="Times New Roman"/>
                      <w:b/>
                      <w:bCs/>
                      <w:color w:val="000000"/>
                      <w:sz w:val="21"/>
                      <w:szCs w:val="21"/>
                      <w:highlight w:val="none"/>
                      <w:lang w:val="en-US" w:eastAsia="zh-CN"/>
                    </w:rPr>
                  </w:pPr>
                </w:p>
              </w:tc>
              <w:tc>
                <w:tcPr>
                  <w:tcW w:w="1920" w:type="dxa"/>
                  <w:vMerge w:val="continue"/>
                  <w:noWrap w:val="0"/>
                  <w:vAlign w:val="center"/>
                </w:tcPr>
                <w:p w14:paraId="60C1DC26">
                  <w:pPr>
                    <w:adjustRightInd w:val="0"/>
                    <w:jc w:val="center"/>
                    <w:rPr>
                      <w:rFonts w:hint="default" w:ascii="Times New Roman" w:hAnsi="Times New Roman" w:cs="Times New Roman"/>
                      <w:b/>
                      <w:bCs/>
                      <w:color w:val="000000"/>
                      <w:sz w:val="21"/>
                      <w:szCs w:val="21"/>
                      <w:highlight w:val="none"/>
                      <w:lang w:val="en-US" w:eastAsia="zh-CN"/>
                    </w:rPr>
                  </w:pPr>
                </w:p>
              </w:tc>
              <w:tc>
                <w:tcPr>
                  <w:tcW w:w="720" w:type="dxa"/>
                  <w:noWrap w:val="0"/>
                  <w:vAlign w:val="center"/>
                </w:tcPr>
                <w:p w14:paraId="7210F09F">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浓度mg/L</w:t>
                  </w:r>
                </w:p>
              </w:tc>
              <w:tc>
                <w:tcPr>
                  <w:tcW w:w="915" w:type="dxa"/>
                  <w:noWrap w:val="0"/>
                  <w:vAlign w:val="center"/>
                </w:tcPr>
                <w:p w14:paraId="503B082A">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产生量（t/a）</w:t>
                  </w:r>
                </w:p>
              </w:tc>
              <w:tc>
                <w:tcPr>
                  <w:tcW w:w="703" w:type="dxa"/>
                  <w:vMerge w:val="continue"/>
                  <w:noWrap w:val="0"/>
                  <w:vAlign w:val="center"/>
                </w:tcPr>
                <w:p w14:paraId="733B0310">
                  <w:pPr>
                    <w:adjustRightInd w:val="0"/>
                    <w:jc w:val="center"/>
                    <w:rPr>
                      <w:rFonts w:hint="default" w:ascii="Times New Roman" w:hAnsi="Times New Roman" w:cs="Times New Roman"/>
                      <w:b/>
                      <w:bCs/>
                      <w:color w:val="000000"/>
                      <w:sz w:val="21"/>
                      <w:szCs w:val="21"/>
                      <w:highlight w:val="none"/>
                      <w:lang w:val="en-US" w:eastAsia="zh-CN"/>
                    </w:rPr>
                  </w:pPr>
                </w:p>
              </w:tc>
              <w:tc>
                <w:tcPr>
                  <w:tcW w:w="1113" w:type="dxa"/>
                  <w:noWrap w:val="0"/>
                  <w:vAlign w:val="center"/>
                </w:tcPr>
                <w:p w14:paraId="4CE78213">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浓度mg/L</w:t>
                  </w:r>
                </w:p>
              </w:tc>
              <w:tc>
                <w:tcPr>
                  <w:tcW w:w="1079" w:type="dxa"/>
                  <w:noWrap w:val="0"/>
                  <w:vAlign w:val="center"/>
                </w:tcPr>
                <w:p w14:paraId="4281EB30">
                  <w:pPr>
                    <w:adjustRightInd w:val="0"/>
                    <w:jc w:val="center"/>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排放量（t/a）</w:t>
                  </w:r>
                </w:p>
              </w:tc>
              <w:tc>
                <w:tcPr>
                  <w:tcW w:w="981" w:type="dxa"/>
                  <w:vMerge w:val="continue"/>
                  <w:noWrap w:val="0"/>
                  <w:vAlign w:val="center"/>
                </w:tcPr>
                <w:p w14:paraId="193C2275">
                  <w:pPr>
                    <w:adjustRightInd w:val="0"/>
                    <w:jc w:val="center"/>
                    <w:rPr>
                      <w:rFonts w:hint="default" w:ascii="Times New Roman" w:hAnsi="Times New Roman" w:cs="Times New Roman"/>
                      <w:color w:val="000000"/>
                      <w:sz w:val="21"/>
                      <w:szCs w:val="21"/>
                      <w:highlight w:val="none"/>
                      <w:lang w:val="en-US" w:eastAsia="zh-CN"/>
                    </w:rPr>
                  </w:pPr>
                </w:p>
              </w:tc>
            </w:tr>
            <w:tr w14:paraId="788A0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restart"/>
                  <w:noWrap w:val="0"/>
                  <w:vAlign w:val="center"/>
                </w:tcPr>
                <w:p w14:paraId="1F5CBFD5">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生活污水</w:t>
                  </w:r>
                </w:p>
              </w:tc>
              <w:tc>
                <w:tcPr>
                  <w:tcW w:w="975" w:type="dxa"/>
                  <w:vMerge w:val="restart"/>
                  <w:noWrap w:val="0"/>
                  <w:vAlign w:val="center"/>
                </w:tcPr>
                <w:p w14:paraId="31350D42">
                  <w:pPr>
                    <w:adjustRightInd w:val="0"/>
                    <w:jc w:val="center"/>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60</w:t>
                  </w:r>
                </w:p>
              </w:tc>
              <w:tc>
                <w:tcPr>
                  <w:tcW w:w="1920" w:type="dxa"/>
                  <w:noWrap w:val="0"/>
                  <w:vAlign w:val="center"/>
                </w:tcPr>
                <w:p w14:paraId="479B590C">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CODcr</w:t>
                  </w:r>
                </w:p>
              </w:tc>
              <w:tc>
                <w:tcPr>
                  <w:tcW w:w="720" w:type="dxa"/>
                  <w:noWrap w:val="0"/>
                  <w:vAlign w:val="center"/>
                </w:tcPr>
                <w:p w14:paraId="7BBCBB15">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325</w:t>
                  </w:r>
                </w:p>
              </w:tc>
              <w:tc>
                <w:tcPr>
                  <w:tcW w:w="915" w:type="dxa"/>
                  <w:noWrap w:val="0"/>
                  <w:vAlign w:val="center"/>
                </w:tcPr>
                <w:p w14:paraId="1EA0169E">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0.02</w:t>
                  </w:r>
                </w:p>
              </w:tc>
              <w:tc>
                <w:tcPr>
                  <w:tcW w:w="703" w:type="dxa"/>
                  <w:vMerge w:val="restart"/>
                  <w:noWrap w:val="0"/>
                  <w:vAlign w:val="center"/>
                </w:tcPr>
                <w:p w14:paraId="2D993672">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化粪池</w:t>
                  </w:r>
                </w:p>
              </w:tc>
              <w:tc>
                <w:tcPr>
                  <w:tcW w:w="1113" w:type="dxa"/>
                  <w:shd w:val="clear" w:color="auto" w:fill="auto"/>
                  <w:noWrap w:val="0"/>
                  <w:vAlign w:val="center"/>
                </w:tcPr>
                <w:p w14:paraId="14C6D6FF">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325</w:t>
                  </w:r>
                </w:p>
              </w:tc>
              <w:tc>
                <w:tcPr>
                  <w:tcW w:w="1079" w:type="dxa"/>
                  <w:shd w:val="clear" w:color="auto" w:fill="auto"/>
                  <w:noWrap w:val="0"/>
                  <w:vAlign w:val="center"/>
                </w:tcPr>
                <w:p w14:paraId="5EC8DBDC">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0.02</w:t>
                  </w:r>
                </w:p>
              </w:tc>
              <w:tc>
                <w:tcPr>
                  <w:tcW w:w="981" w:type="dxa"/>
                  <w:vMerge w:val="restart"/>
                  <w:noWrap w:val="0"/>
                  <w:vAlign w:val="center"/>
                </w:tcPr>
                <w:p w14:paraId="32764E8E">
                  <w:pPr>
                    <w:adjustRightInd w:val="0"/>
                    <w:jc w:val="center"/>
                    <w:rPr>
                      <w:rFonts w:hint="eastAsia"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环卫部门定期清运</w:t>
                  </w:r>
                </w:p>
              </w:tc>
            </w:tr>
            <w:tr w14:paraId="77197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continue"/>
                  <w:noWrap w:val="0"/>
                  <w:vAlign w:val="center"/>
                </w:tcPr>
                <w:p w14:paraId="7DACA9B5">
                  <w:pPr>
                    <w:adjustRightInd w:val="0"/>
                    <w:jc w:val="center"/>
                    <w:rPr>
                      <w:rFonts w:hint="default" w:ascii="Times New Roman" w:hAnsi="Times New Roman" w:cs="Times New Roman"/>
                      <w:color w:val="000000"/>
                      <w:sz w:val="21"/>
                      <w:szCs w:val="21"/>
                      <w:highlight w:val="none"/>
                      <w:lang w:val="en-US" w:eastAsia="zh-CN"/>
                    </w:rPr>
                  </w:pPr>
                </w:p>
              </w:tc>
              <w:tc>
                <w:tcPr>
                  <w:tcW w:w="975" w:type="dxa"/>
                  <w:vMerge w:val="continue"/>
                  <w:noWrap w:val="0"/>
                  <w:vAlign w:val="center"/>
                </w:tcPr>
                <w:p w14:paraId="2BFA3B02">
                  <w:pPr>
                    <w:adjustRightInd w:val="0"/>
                    <w:jc w:val="center"/>
                    <w:rPr>
                      <w:rFonts w:hint="default" w:ascii="Times New Roman" w:hAnsi="Times New Roman" w:cs="Times New Roman"/>
                      <w:color w:val="000000"/>
                      <w:sz w:val="21"/>
                      <w:szCs w:val="21"/>
                      <w:highlight w:val="none"/>
                      <w:lang w:val="en-US" w:eastAsia="zh-CN"/>
                    </w:rPr>
                  </w:pPr>
                </w:p>
              </w:tc>
              <w:tc>
                <w:tcPr>
                  <w:tcW w:w="1920" w:type="dxa"/>
                  <w:noWrap w:val="0"/>
                  <w:vAlign w:val="center"/>
                </w:tcPr>
                <w:p w14:paraId="3F98257F">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BOD</w:t>
                  </w:r>
                </w:p>
              </w:tc>
              <w:tc>
                <w:tcPr>
                  <w:tcW w:w="720" w:type="dxa"/>
                  <w:noWrap w:val="0"/>
                  <w:vAlign w:val="center"/>
                </w:tcPr>
                <w:p w14:paraId="0E4D4A9F">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128</w:t>
                  </w:r>
                </w:p>
              </w:tc>
              <w:tc>
                <w:tcPr>
                  <w:tcW w:w="915" w:type="dxa"/>
                  <w:noWrap w:val="0"/>
                  <w:vAlign w:val="center"/>
                </w:tcPr>
                <w:p w14:paraId="7E5AD40B">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0.008</w:t>
                  </w:r>
                </w:p>
              </w:tc>
              <w:tc>
                <w:tcPr>
                  <w:tcW w:w="703" w:type="dxa"/>
                  <w:vMerge w:val="continue"/>
                  <w:noWrap w:val="0"/>
                  <w:vAlign w:val="center"/>
                </w:tcPr>
                <w:p w14:paraId="318A5EC0">
                  <w:pPr>
                    <w:adjustRightInd w:val="0"/>
                    <w:jc w:val="center"/>
                    <w:rPr>
                      <w:rFonts w:hint="default" w:ascii="Times New Roman" w:hAnsi="Times New Roman" w:eastAsia="宋体" w:cs="Times New Roman"/>
                      <w:color w:val="000000"/>
                      <w:sz w:val="21"/>
                      <w:szCs w:val="21"/>
                      <w:highlight w:val="none"/>
                      <w:lang w:val="en-US" w:eastAsia="zh-CN"/>
                    </w:rPr>
                  </w:pPr>
                </w:p>
              </w:tc>
              <w:tc>
                <w:tcPr>
                  <w:tcW w:w="1113" w:type="dxa"/>
                  <w:shd w:val="clear" w:color="auto" w:fill="auto"/>
                  <w:noWrap w:val="0"/>
                  <w:vAlign w:val="center"/>
                </w:tcPr>
                <w:p w14:paraId="2DF60147">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128</w:t>
                  </w:r>
                </w:p>
              </w:tc>
              <w:tc>
                <w:tcPr>
                  <w:tcW w:w="1079" w:type="dxa"/>
                  <w:shd w:val="clear" w:color="auto" w:fill="auto"/>
                  <w:noWrap w:val="0"/>
                  <w:vAlign w:val="center"/>
                </w:tcPr>
                <w:p w14:paraId="0CE90951">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0.008</w:t>
                  </w:r>
                </w:p>
              </w:tc>
              <w:tc>
                <w:tcPr>
                  <w:tcW w:w="981" w:type="dxa"/>
                  <w:vMerge w:val="continue"/>
                  <w:noWrap w:val="0"/>
                  <w:vAlign w:val="center"/>
                </w:tcPr>
                <w:p w14:paraId="52249BCF">
                  <w:pPr>
                    <w:adjustRightInd w:val="0"/>
                    <w:jc w:val="center"/>
                    <w:rPr>
                      <w:rFonts w:hint="default" w:ascii="Times New Roman" w:hAnsi="Times New Roman" w:cs="Times New Roman"/>
                      <w:color w:val="000000"/>
                      <w:sz w:val="21"/>
                      <w:szCs w:val="21"/>
                      <w:highlight w:val="none"/>
                      <w:lang w:val="en-US" w:eastAsia="zh-CN"/>
                    </w:rPr>
                  </w:pPr>
                </w:p>
              </w:tc>
            </w:tr>
            <w:tr w14:paraId="00477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continue"/>
                  <w:noWrap w:val="0"/>
                  <w:vAlign w:val="center"/>
                </w:tcPr>
                <w:p w14:paraId="196E768D">
                  <w:pPr>
                    <w:adjustRightInd w:val="0"/>
                    <w:jc w:val="center"/>
                    <w:rPr>
                      <w:rFonts w:hint="default" w:ascii="Times New Roman" w:hAnsi="Times New Roman" w:cs="Times New Roman"/>
                      <w:color w:val="000000"/>
                      <w:sz w:val="21"/>
                      <w:szCs w:val="21"/>
                      <w:highlight w:val="none"/>
                      <w:lang w:val="en-US" w:eastAsia="zh-CN"/>
                    </w:rPr>
                  </w:pPr>
                </w:p>
              </w:tc>
              <w:tc>
                <w:tcPr>
                  <w:tcW w:w="975" w:type="dxa"/>
                  <w:vMerge w:val="continue"/>
                  <w:noWrap w:val="0"/>
                  <w:vAlign w:val="center"/>
                </w:tcPr>
                <w:p w14:paraId="0510AFC6">
                  <w:pPr>
                    <w:adjustRightInd w:val="0"/>
                    <w:jc w:val="center"/>
                    <w:rPr>
                      <w:rFonts w:hint="default" w:ascii="Times New Roman" w:hAnsi="Times New Roman" w:cs="Times New Roman"/>
                      <w:color w:val="000000"/>
                      <w:sz w:val="21"/>
                      <w:szCs w:val="21"/>
                      <w:highlight w:val="none"/>
                      <w:lang w:val="en-US" w:eastAsia="zh-CN"/>
                    </w:rPr>
                  </w:pPr>
                </w:p>
              </w:tc>
              <w:tc>
                <w:tcPr>
                  <w:tcW w:w="1920" w:type="dxa"/>
                  <w:noWrap w:val="0"/>
                  <w:vAlign w:val="center"/>
                </w:tcPr>
                <w:p w14:paraId="56AC45EE">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SS</w:t>
                  </w:r>
                </w:p>
              </w:tc>
              <w:tc>
                <w:tcPr>
                  <w:tcW w:w="720" w:type="dxa"/>
                  <w:noWrap w:val="0"/>
                  <w:vAlign w:val="center"/>
                </w:tcPr>
                <w:p w14:paraId="5B4D3F49">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200</w:t>
                  </w:r>
                </w:p>
              </w:tc>
              <w:tc>
                <w:tcPr>
                  <w:tcW w:w="915" w:type="dxa"/>
                  <w:noWrap w:val="0"/>
                  <w:vAlign w:val="center"/>
                </w:tcPr>
                <w:p w14:paraId="7D3A2DF3">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0.012</w:t>
                  </w:r>
                </w:p>
              </w:tc>
              <w:tc>
                <w:tcPr>
                  <w:tcW w:w="703" w:type="dxa"/>
                  <w:vMerge w:val="continue"/>
                  <w:noWrap w:val="0"/>
                  <w:vAlign w:val="center"/>
                </w:tcPr>
                <w:p w14:paraId="35863063">
                  <w:pPr>
                    <w:adjustRightInd w:val="0"/>
                    <w:jc w:val="center"/>
                    <w:rPr>
                      <w:rFonts w:hint="default" w:ascii="Times New Roman" w:hAnsi="Times New Roman" w:eastAsia="宋体" w:cs="Times New Roman"/>
                      <w:color w:val="000000"/>
                      <w:sz w:val="21"/>
                      <w:szCs w:val="21"/>
                      <w:highlight w:val="none"/>
                      <w:lang w:val="en-US" w:eastAsia="zh-CN"/>
                    </w:rPr>
                  </w:pPr>
                </w:p>
              </w:tc>
              <w:tc>
                <w:tcPr>
                  <w:tcW w:w="1113" w:type="dxa"/>
                  <w:shd w:val="clear" w:color="auto" w:fill="auto"/>
                  <w:noWrap w:val="0"/>
                  <w:vAlign w:val="center"/>
                </w:tcPr>
                <w:p w14:paraId="2E924820">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200</w:t>
                  </w:r>
                </w:p>
              </w:tc>
              <w:tc>
                <w:tcPr>
                  <w:tcW w:w="1079" w:type="dxa"/>
                  <w:shd w:val="clear" w:color="auto" w:fill="auto"/>
                  <w:noWrap w:val="0"/>
                  <w:vAlign w:val="center"/>
                </w:tcPr>
                <w:p w14:paraId="29EBC1F7">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0.012</w:t>
                  </w:r>
                </w:p>
              </w:tc>
              <w:tc>
                <w:tcPr>
                  <w:tcW w:w="981" w:type="dxa"/>
                  <w:vMerge w:val="continue"/>
                  <w:noWrap w:val="0"/>
                  <w:vAlign w:val="center"/>
                </w:tcPr>
                <w:p w14:paraId="1CE5205E">
                  <w:pPr>
                    <w:adjustRightInd w:val="0"/>
                    <w:jc w:val="center"/>
                    <w:rPr>
                      <w:rFonts w:hint="default" w:ascii="Times New Roman" w:hAnsi="Times New Roman" w:cs="Times New Roman"/>
                      <w:color w:val="000000"/>
                      <w:sz w:val="21"/>
                      <w:szCs w:val="21"/>
                      <w:highlight w:val="none"/>
                      <w:lang w:val="en-US" w:eastAsia="zh-CN"/>
                    </w:rPr>
                  </w:pPr>
                </w:p>
              </w:tc>
            </w:tr>
            <w:tr w14:paraId="421FC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continue"/>
                  <w:noWrap w:val="0"/>
                  <w:vAlign w:val="center"/>
                </w:tcPr>
                <w:p w14:paraId="3086B933">
                  <w:pPr>
                    <w:adjustRightInd w:val="0"/>
                    <w:jc w:val="center"/>
                    <w:rPr>
                      <w:rFonts w:hint="default" w:ascii="Times New Roman" w:hAnsi="Times New Roman" w:cs="Times New Roman"/>
                      <w:color w:val="000000"/>
                      <w:sz w:val="21"/>
                      <w:szCs w:val="21"/>
                      <w:highlight w:val="none"/>
                      <w:lang w:val="en-US" w:eastAsia="zh-CN"/>
                    </w:rPr>
                  </w:pPr>
                </w:p>
              </w:tc>
              <w:tc>
                <w:tcPr>
                  <w:tcW w:w="975" w:type="dxa"/>
                  <w:vMerge w:val="continue"/>
                  <w:noWrap w:val="0"/>
                  <w:vAlign w:val="center"/>
                </w:tcPr>
                <w:p w14:paraId="10EF6D70">
                  <w:pPr>
                    <w:adjustRightInd w:val="0"/>
                    <w:jc w:val="center"/>
                    <w:rPr>
                      <w:rFonts w:hint="default" w:ascii="Times New Roman" w:hAnsi="Times New Roman" w:cs="Times New Roman"/>
                      <w:color w:val="000000"/>
                      <w:sz w:val="21"/>
                      <w:szCs w:val="21"/>
                      <w:highlight w:val="none"/>
                      <w:lang w:val="en-US" w:eastAsia="zh-CN"/>
                    </w:rPr>
                  </w:pPr>
                </w:p>
              </w:tc>
              <w:tc>
                <w:tcPr>
                  <w:tcW w:w="1920" w:type="dxa"/>
                  <w:noWrap w:val="0"/>
                  <w:vAlign w:val="center"/>
                </w:tcPr>
                <w:p w14:paraId="087F1C4F">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NH</w:t>
                  </w:r>
                  <w:r>
                    <w:rPr>
                      <w:rFonts w:hint="default" w:ascii="Times New Roman" w:hAnsi="Times New Roman" w:cs="Times New Roman"/>
                      <w:color w:val="000000"/>
                      <w:sz w:val="21"/>
                      <w:szCs w:val="21"/>
                      <w:highlight w:val="none"/>
                      <w:vertAlign w:val="subscript"/>
                      <w:lang w:val="en-US" w:eastAsia="zh-CN"/>
                    </w:rPr>
                    <w:t>3</w:t>
                  </w:r>
                  <w:r>
                    <w:rPr>
                      <w:rFonts w:hint="default" w:ascii="Times New Roman" w:hAnsi="Times New Roman" w:cs="Times New Roman"/>
                      <w:color w:val="000000"/>
                      <w:sz w:val="21"/>
                      <w:szCs w:val="21"/>
                      <w:highlight w:val="none"/>
                      <w:lang w:val="en-US" w:eastAsia="zh-CN"/>
                    </w:rPr>
                    <w:t>-N</w:t>
                  </w:r>
                </w:p>
              </w:tc>
              <w:tc>
                <w:tcPr>
                  <w:tcW w:w="720" w:type="dxa"/>
                  <w:noWrap w:val="0"/>
                  <w:vAlign w:val="center"/>
                </w:tcPr>
                <w:p w14:paraId="367B9DCD">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37.7</w:t>
                  </w:r>
                </w:p>
              </w:tc>
              <w:tc>
                <w:tcPr>
                  <w:tcW w:w="915" w:type="dxa"/>
                  <w:noWrap w:val="0"/>
                  <w:vAlign w:val="center"/>
                </w:tcPr>
                <w:p w14:paraId="71BC3661">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0.002</w:t>
                  </w:r>
                </w:p>
              </w:tc>
              <w:tc>
                <w:tcPr>
                  <w:tcW w:w="703" w:type="dxa"/>
                  <w:vMerge w:val="continue"/>
                  <w:noWrap w:val="0"/>
                  <w:vAlign w:val="center"/>
                </w:tcPr>
                <w:p w14:paraId="40936D84">
                  <w:pPr>
                    <w:adjustRightInd w:val="0"/>
                    <w:jc w:val="center"/>
                    <w:rPr>
                      <w:rFonts w:hint="default" w:ascii="Times New Roman" w:hAnsi="Times New Roman" w:eastAsia="宋体" w:cs="Times New Roman"/>
                      <w:color w:val="000000"/>
                      <w:sz w:val="21"/>
                      <w:szCs w:val="21"/>
                      <w:highlight w:val="none"/>
                      <w:lang w:val="en-US" w:eastAsia="zh-CN"/>
                    </w:rPr>
                  </w:pPr>
                </w:p>
              </w:tc>
              <w:tc>
                <w:tcPr>
                  <w:tcW w:w="1113" w:type="dxa"/>
                  <w:shd w:val="clear" w:color="auto" w:fill="auto"/>
                  <w:noWrap w:val="0"/>
                  <w:vAlign w:val="center"/>
                </w:tcPr>
                <w:p w14:paraId="07879395">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37.7</w:t>
                  </w:r>
                </w:p>
              </w:tc>
              <w:tc>
                <w:tcPr>
                  <w:tcW w:w="1079" w:type="dxa"/>
                  <w:shd w:val="clear" w:color="auto" w:fill="auto"/>
                  <w:noWrap w:val="0"/>
                  <w:vAlign w:val="center"/>
                </w:tcPr>
                <w:p w14:paraId="1AD2ABC3">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0.002</w:t>
                  </w:r>
                </w:p>
              </w:tc>
              <w:tc>
                <w:tcPr>
                  <w:tcW w:w="981" w:type="dxa"/>
                  <w:vMerge w:val="continue"/>
                  <w:noWrap w:val="0"/>
                  <w:vAlign w:val="center"/>
                </w:tcPr>
                <w:p w14:paraId="1E82321A">
                  <w:pPr>
                    <w:adjustRightInd w:val="0"/>
                    <w:jc w:val="center"/>
                    <w:rPr>
                      <w:rFonts w:hint="default" w:ascii="Times New Roman" w:hAnsi="Times New Roman" w:cs="Times New Roman"/>
                      <w:color w:val="000000"/>
                      <w:sz w:val="21"/>
                      <w:szCs w:val="21"/>
                      <w:highlight w:val="none"/>
                      <w:lang w:val="en-US" w:eastAsia="zh-CN"/>
                    </w:rPr>
                  </w:pPr>
                </w:p>
              </w:tc>
            </w:tr>
            <w:tr w14:paraId="64304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continue"/>
                  <w:noWrap w:val="0"/>
                  <w:vAlign w:val="center"/>
                </w:tcPr>
                <w:p w14:paraId="70222DD2">
                  <w:pPr>
                    <w:adjustRightInd w:val="0"/>
                    <w:jc w:val="center"/>
                    <w:rPr>
                      <w:rFonts w:hint="default" w:ascii="Times New Roman" w:hAnsi="Times New Roman" w:cs="Times New Roman"/>
                      <w:color w:val="000000"/>
                      <w:sz w:val="21"/>
                      <w:szCs w:val="21"/>
                      <w:highlight w:val="none"/>
                      <w:lang w:val="en-US" w:eastAsia="zh-CN"/>
                    </w:rPr>
                  </w:pPr>
                </w:p>
              </w:tc>
              <w:tc>
                <w:tcPr>
                  <w:tcW w:w="975" w:type="dxa"/>
                  <w:vMerge w:val="continue"/>
                  <w:noWrap w:val="0"/>
                  <w:vAlign w:val="center"/>
                </w:tcPr>
                <w:p w14:paraId="7F91BDA7">
                  <w:pPr>
                    <w:adjustRightInd w:val="0"/>
                    <w:jc w:val="center"/>
                    <w:rPr>
                      <w:rFonts w:hint="default" w:ascii="Times New Roman" w:hAnsi="Times New Roman" w:cs="Times New Roman"/>
                      <w:color w:val="000000"/>
                      <w:sz w:val="21"/>
                      <w:szCs w:val="21"/>
                      <w:highlight w:val="none"/>
                      <w:lang w:val="en-US" w:eastAsia="zh-CN"/>
                    </w:rPr>
                  </w:pPr>
                </w:p>
              </w:tc>
              <w:tc>
                <w:tcPr>
                  <w:tcW w:w="1920" w:type="dxa"/>
                  <w:noWrap w:val="0"/>
                  <w:vAlign w:val="center"/>
                </w:tcPr>
                <w:p w14:paraId="68D894D6">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总磷（以磷酸盐计）</w:t>
                  </w:r>
                </w:p>
              </w:tc>
              <w:tc>
                <w:tcPr>
                  <w:tcW w:w="720" w:type="dxa"/>
                  <w:noWrap w:val="0"/>
                  <w:vAlign w:val="center"/>
                </w:tcPr>
                <w:p w14:paraId="1A37A0E0">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4.28</w:t>
                  </w:r>
                </w:p>
              </w:tc>
              <w:tc>
                <w:tcPr>
                  <w:tcW w:w="915" w:type="dxa"/>
                  <w:noWrap w:val="0"/>
                  <w:vAlign w:val="center"/>
                </w:tcPr>
                <w:p w14:paraId="0F211465">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0.0003</w:t>
                  </w:r>
                </w:p>
              </w:tc>
              <w:tc>
                <w:tcPr>
                  <w:tcW w:w="703" w:type="dxa"/>
                  <w:vMerge w:val="continue"/>
                  <w:noWrap w:val="0"/>
                  <w:vAlign w:val="center"/>
                </w:tcPr>
                <w:p w14:paraId="24C79DCF">
                  <w:pPr>
                    <w:adjustRightInd w:val="0"/>
                    <w:jc w:val="center"/>
                    <w:rPr>
                      <w:rFonts w:hint="default" w:ascii="Times New Roman" w:hAnsi="Times New Roman" w:eastAsia="宋体" w:cs="Times New Roman"/>
                      <w:color w:val="000000"/>
                      <w:sz w:val="21"/>
                      <w:szCs w:val="21"/>
                      <w:highlight w:val="none"/>
                      <w:lang w:val="en-US" w:eastAsia="zh-CN"/>
                    </w:rPr>
                  </w:pPr>
                </w:p>
              </w:tc>
              <w:tc>
                <w:tcPr>
                  <w:tcW w:w="1113" w:type="dxa"/>
                  <w:shd w:val="clear" w:color="auto" w:fill="auto"/>
                  <w:noWrap w:val="0"/>
                  <w:vAlign w:val="center"/>
                </w:tcPr>
                <w:p w14:paraId="38A6AE1C">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4.28</w:t>
                  </w:r>
                </w:p>
              </w:tc>
              <w:tc>
                <w:tcPr>
                  <w:tcW w:w="1079" w:type="dxa"/>
                  <w:shd w:val="clear" w:color="auto" w:fill="auto"/>
                  <w:noWrap w:val="0"/>
                  <w:vAlign w:val="center"/>
                </w:tcPr>
                <w:p w14:paraId="0A0830CE">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0.0003</w:t>
                  </w:r>
                </w:p>
              </w:tc>
              <w:tc>
                <w:tcPr>
                  <w:tcW w:w="981" w:type="dxa"/>
                  <w:vMerge w:val="continue"/>
                  <w:noWrap w:val="0"/>
                  <w:vAlign w:val="center"/>
                </w:tcPr>
                <w:p w14:paraId="51136E0C">
                  <w:pPr>
                    <w:adjustRightInd w:val="0"/>
                    <w:jc w:val="center"/>
                    <w:rPr>
                      <w:rFonts w:hint="default" w:ascii="Times New Roman" w:hAnsi="Times New Roman" w:cs="Times New Roman"/>
                      <w:color w:val="000000"/>
                      <w:sz w:val="21"/>
                      <w:szCs w:val="21"/>
                      <w:highlight w:val="none"/>
                      <w:lang w:val="en-US" w:eastAsia="zh-CN"/>
                    </w:rPr>
                  </w:pPr>
                </w:p>
              </w:tc>
            </w:tr>
            <w:tr w14:paraId="7B981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dxa"/>
                  <w:vMerge w:val="continue"/>
                  <w:noWrap w:val="0"/>
                  <w:vAlign w:val="center"/>
                </w:tcPr>
                <w:p w14:paraId="00EAC65E">
                  <w:pPr>
                    <w:adjustRightInd w:val="0"/>
                    <w:jc w:val="center"/>
                    <w:rPr>
                      <w:rFonts w:hint="default" w:ascii="Times New Roman" w:hAnsi="Times New Roman" w:cs="Times New Roman"/>
                      <w:color w:val="000000"/>
                      <w:sz w:val="21"/>
                      <w:szCs w:val="21"/>
                      <w:highlight w:val="none"/>
                      <w:lang w:val="en-US" w:eastAsia="zh-CN"/>
                    </w:rPr>
                  </w:pPr>
                </w:p>
              </w:tc>
              <w:tc>
                <w:tcPr>
                  <w:tcW w:w="975" w:type="dxa"/>
                  <w:vMerge w:val="continue"/>
                  <w:noWrap w:val="0"/>
                  <w:vAlign w:val="center"/>
                </w:tcPr>
                <w:p w14:paraId="28932216">
                  <w:pPr>
                    <w:adjustRightInd w:val="0"/>
                    <w:jc w:val="center"/>
                    <w:rPr>
                      <w:rFonts w:hint="default" w:ascii="Times New Roman" w:hAnsi="Times New Roman" w:cs="Times New Roman"/>
                      <w:color w:val="000000"/>
                      <w:sz w:val="21"/>
                      <w:szCs w:val="21"/>
                      <w:highlight w:val="none"/>
                      <w:lang w:val="en-US" w:eastAsia="zh-CN"/>
                    </w:rPr>
                  </w:pPr>
                </w:p>
              </w:tc>
              <w:tc>
                <w:tcPr>
                  <w:tcW w:w="1920" w:type="dxa"/>
                  <w:noWrap w:val="0"/>
                  <w:vAlign w:val="center"/>
                </w:tcPr>
                <w:p w14:paraId="183ED561">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动植物油</w:t>
                  </w:r>
                </w:p>
              </w:tc>
              <w:tc>
                <w:tcPr>
                  <w:tcW w:w="720" w:type="dxa"/>
                  <w:noWrap w:val="0"/>
                  <w:vAlign w:val="center"/>
                </w:tcPr>
                <w:p w14:paraId="4B105C36">
                  <w:pPr>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4.38</w:t>
                  </w:r>
                </w:p>
              </w:tc>
              <w:tc>
                <w:tcPr>
                  <w:tcW w:w="915" w:type="dxa"/>
                  <w:noWrap w:val="0"/>
                  <w:vAlign w:val="center"/>
                </w:tcPr>
                <w:p w14:paraId="37642DEC">
                  <w:pPr>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0.0003</w:t>
                  </w:r>
                </w:p>
              </w:tc>
              <w:tc>
                <w:tcPr>
                  <w:tcW w:w="703" w:type="dxa"/>
                  <w:vMerge w:val="continue"/>
                  <w:noWrap w:val="0"/>
                  <w:vAlign w:val="center"/>
                </w:tcPr>
                <w:p w14:paraId="1ADE007D">
                  <w:pPr>
                    <w:adjustRightInd w:val="0"/>
                    <w:jc w:val="center"/>
                    <w:rPr>
                      <w:rFonts w:hint="default" w:ascii="Times New Roman" w:hAnsi="Times New Roman" w:eastAsia="宋体" w:cs="Times New Roman"/>
                      <w:color w:val="000000"/>
                      <w:sz w:val="21"/>
                      <w:szCs w:val="21"/>
                      <w:highlight w:val="none"/>
                      <w:lang w:val="en-US" w:eastAsia="zh-CN"/>
                    </w:rPr>
                  </w:pPr>
                </w:p>
              </w:tc>
              <w:tc>
                <w:tcPr>
                  <w:tcW w:w="1113" w:type="dxa"/>
                  <w:shd w:val="clear" w:color="auto" w:fill="auto"/>
                  <w:noWrap w:val="0"/>
                  <w:vAlign w:val="center"/>
                </w:tcPr>
                <w:p w14:paraId="1CA9EC1B">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4.38</w:t>
                  </w:r>
                </w:p>
              </w:tc>
              <w:tc>
                <w:tcPr>
                  <w:tcW w:w="1079" w:type="dxa"/>
                  <w:shd w:val="clear" w:color="auto" w:fill="auto"/>
                  <w:noWrap w:val="0"/>
                  <w:vAlign w:val="center"/>
                </w:tcPr>
                <w:p w14:paraId="07427EE8">
                  <w:pPr>
                    <w:adjustRightIn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0.0003</w:t>
                  </w:r>
                </w:p>
              </w:tc>
              <w:tc>
                <w:tcPr>
                  <w:tcW w:w="981" w:type="dxa"/>
                  <w:vMerge w:val="continue"/>
                  <w:noWrap w:val="0"/>
                  <w:vAlign w:val="center"/>
                </w:tcPr>
                <w:p w14:paraId="20100C99">
                  <w:pPr>
                    <w:adjustRightInd w:val="0"/>
                    <w:jc w:val="center"/>
                    <w:rPr>
                      <w:rFonts w:hint="default" w:ascii="Times New Roman" w:hAnsi="Times New Roman" w:cs="Times New Roman"/>
                      <w:color w:val="000000"/>
                      <w:sz w:val="21"/>
                      <w:szCs w:val="21"/>
                      <w:highlight w:val="none"/>
                      <w:lang w:val="en-US" w:eastAsia="zh-CN"/>
                    </w:rPr>
                  </w:pPr>
                </w:p>
              </w:tc>
            </w:tr>
          </w:tbl>
          <w:p w14:paraId="7F5DCA09">
            <w:pPr>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三、噪声</w:t>
            </w:r>
          </w:p>
          <w:p w14:paraId="4C1CA6F1">
            <w:pPr>
              <w:widowControl/>
              <w:spacing w:line="360" w:lineRule="auto"/>
              <w:ind w:firstLine="482" w:firstLineChars="200"/>
              <w:jc w:val="left"/>
              <w:rPr>
                <w:rFonts w:hint="default" w:ascii="Times New Roman" w:hAnsi="Times New Roman" w:cs="Times New Roman"/>
                <w:color w:val="000000"/>
                <w:sz w:val="24"/>
                <w:highlight w:val="none"/>
              </w:rPr>
            </w:pPr>
            <w:r>
              <w:rPr>
                <w:rFonts w:hint="default" w:ascii="Times New Roman" w:hAnsi="Times New Roman" w:cs="Times New Roman"/>
                <w:b/>
                <w:bCs/>
                <w:color w:val="000000"/>
                <w:kern w:val="0"/>
                <w:sz w:val="24"/>
                <w:highlight w:val="none"/>
                <w:lang w:bidi="ar"/>
              </w:rPr>
              <w:t>1、噪声源</w:t>
            </w:r>
          </w:p>
          <w:p w14:paraId="03B89DB6">
            <w:pPr>
              <w:widowControl/>
              <w:spacing w:line="360" w:lineRule="auto"/>
              <w:ind w:firstLine="480" w:firstLineChars="200"/>
              <w:jc w:val="left"/>
              <w:rPr>
                <w:rFonts w:hint="default" w:ascii="Times New Roman" w:hAnsi="Times New Roman" w:cs="Times New Roman"/>
                <w:color w:val="000000"/>
                <w:kern w:val="0"/>
                <w:sz w:val="24"/>
                <w:highlight w:val="none"/>
                <w:lang w:bidi="ar"/>
              </w:rPr>
            </w:pPr>
            <w:r>
              <w:rPr>
                <w:rFonts w:hint="default" w:ascii="Times New Roman" w:hAnsi="Times New Roman" w:cs="Times New Roman"/>
                <w:color w:val="000000"/>
                <w:kern w:val="0"/>
                <w:sz w:val="24"/>
                <w:highlight w:val="none"/>
                <w:lang w:bidi="ar"/>
              </w:rPr>
              <w:t>项目噪声源主要为机械运转、各种风机、泵类等，设备噪声值约为65-85dB（A）之间。经设备基础减震后，加之厂房隔声、距离衰减等降噪措施，可实现厂界昼间噪声≤60dB（A），夜间≤50dB（A）。</w:t>
            </w:r>
          </w:p>
          <w:p w14:paraId="5C86FF4C">
            <w:pPr>
              <w:widowControl/>
              <w:spacing w:line="360" w:lineRule="auto"/>
              <w:ind w:firstLine="480" w:firstLineChars="200"/>
              <w:jc w:val="left"/>
              <w:rPr>
                <w:rFonts w:hint="default" w:ascii="Times New Roman" w:hAnsi="Times New Roman" w:cs="Times New Roman"/>
                <w:color w:val="000000"/>
                <w:kern w:val="0"/>
                <w:sz w:val="24"/>
                <w:highlight w:val="none"/>
                <w:lang w:bidi="ar"/>
              </w:rPr>
            </w:pPr>
            <w:r>
              <w:rPr>
                <w:rFonts w:hint="default" w:ascii="Times New Roman" w:hAnsi="Times New Roman" w:cs="Times New Roman"/>
                <w:color w:val="000000"/>
                <w:kern w:val="0"/>
                <w:sz w:val="24"/>
                <w:highlight w:val="none"/>
                <w:lang w:bidi="ar"/>
              </w:rPr>
              <w:t>设备噪声治理措施及效果见下表：</w:t>
            </w:r>
          </w:p>
          <w:p w14:paraId="41FCEF93">
            <w:pPr>
              <w:spacing w:line="360" w:lineRule="auto"/>
              <w:jc w:val="center"/>
              <w:rPr>
                <w:rFonts w:hint="eastAsia" w:ascii="Times New Roman" w:hAnsi="Times New Roman" w:eastAsia="宋体" w:cs="Times New Roman"/>
                <w:b/>
                <w:bCs/>
                <w:color w:val="000000"/>
                <w:sz w:val="24"/>
                <w:highlight w:val="none"/>
                <w:lang w:eastAsia="zh-CN"/>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5</w:t>
            </w:r>
            <w:r>
              <w:rPr>
                <w:rFonts w:hint="default" w:ascii="Times New Roman" w:hAnsi="Times New Roman" w:cs="Times New Roman"/>
                <w:b/>
                <w:bCs/>
                <w:color w:val="000000"/>
                <w:sz w:val="24"/>
                <w:highlight w:val="none"/>
              </w:rPr>
              <w:t xml:space="preserve">  工业企业</w:t>
            </w:r>
            <w:r>
              <w:rPr>
                <w:rFonts w:hint="eastAsia" w:cs="Times New Roman"/>
                <w:b/>
                <w:bCs/>
                <w:color w:val="000000"/>
                <w:sz w:val="24"/>
                <w:highlight w:val="none"/>
                <w:lang w:eastAsia="zh-CN"/>
              </w:rPr>
              <w:t>噪声</w:t>
            </w:r>
            <w:r>
              <w:rPr>
                <w:rFonts w:hint="eastAsia" w:cs="Times New Roman"/>
                <w:b/>
                <w:bCs/>
                <w:color w:val="000000"/>
                <w:sz w:val="24"/>
                <w:highlight w:val="none"/>
                <w:lang w:val="en-US" w:eastAsia="zh-CN"/>
              </w:rPr>
              <w:t>源强</w:t>
            </w:r>
            <w:r>
              <w:rPr>
                <w:rFonts w:hint="default" w:ascii="Times New Roman" w:hAnsi="Times New Roman" w:cs="Times New Roman"/>
                <w:b/>
                <w:bCs/>
                <w:color w:val="000000"/>
                <w:sz w:val="24"/>
                <w:highlight w:val="none"/>
              </w:rPr>
              <w:t>调查清单</w:t>
            </w: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室内声源</w:t>
            </w:r>
            <w:r>
              <w:rPr>
                <w:rFonts w:hint="eastAsia" w:cs="Times New Roman"/>
                <w:b/>
                <w:bCs/>
                <w:color w:val="000000"/>
                <w:sz w:val="24"/>
                <w:highlight w:val="none"/>
                <w:lang w:eastAsia="zh-CN"/>
              </w:rPr>
              <w:t>）</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0"/>
              <w:gridCol w:w="519"/>
              <w:gridCol w:w="706"/>
              <w:gridCol w:w="706"/>
              <w:gridCol w:w="690"/>
              <w:gridCol w:w="705"/>
              <w:gridCol w:w="510"/>
              <w:gridCol w:w="540"/>
              <w:gridCol w:w="540"/>
              <w:gridCol w:w="420"/>
              <w:gridCol w:w="564"/>
              <w:gridCol w:w="564"/>
              <w:gridCol w:w="564"/>
              <w:gridCol w:w="564"/>
              <w:gridCol w:w="564"/>
              <w:gridCol w:w="564"/>
            </w:tblGrid>
            <w:tr w14:paraId="6EFF7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1" w:hRule="atLeast"/>
                <w:jc w:val="center"/>
              </w:trPr>
              <w:tc>
                <w:tcPr>
                  <w:tcW w:w="490" w:type="dxa"/>
                  <w:vMerge w:val="restart"/>
                  <w:vAlign w:val="center"/>
                </w:tcPr>
                <w:p w14:paraId="25D52518">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序号</w:t>
                  </w:r>
                </w:p>
              </w:tc>
              <w:tc>
                <w:tcPr>
                  <w:tcW w:w="519" w:type="dxa"/>
                  <w:vMerge w:val="restart"/>
                  <w:vAlign w:val="center"/>
                </w:tcPr>
                <w:p w14:paraId="65E51D31">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建筑物名称</w:t>
                  </w:r>
                </w:p>
              </w:tc>
              <w:tc>
                <w:tcPr>
                  <w:tcW w:w="706" w:type="dxa"/>
                  <w:vMerge w:val="restart"/>
                  <w:shd w:val="clear" w:color="auto" w:fill="auto"/>
                  <w:vAlign w:val="center"/>
                </w:tcPr>
                <w:p w14:paraId="48D4614D">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声源名称</w:t>
                  </w:r>
                </w:p>
              </w:tc>
              <w:tc>
                <w:tcPr>
                  <w:tcW w:w="706" w:type="dxa"/>
                  <w:vMerge w:val="restart"/>
                  <w:shd w:val="clear" w:color="auto" w:fill="auto"/>
                  <w:vAlign w:val="center"/>
                </w:tcPr>
                <w:p w14:paraId="1F9F241F">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型号</w:t>
                  </w:r>
                </w:p>
              </w:tc>
              <w:tc>
                <w:tcPr>
                  <w:tcW w:w="690" w:type="dxa"/>
                  <w:vMerge w:val="restart"/>
                  <w:vAlign w:val="center"/>
                </w:tcPr>
                <w:p w14:paraId="5BD2C5E2">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声源</w:t>
                  </w:r>
                </w:p>
                <w:p w14:paraId="3F95DFFF">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数量</w:t>
                  </w:r>
                </w:p>
                <w:p w14:paraId="7E9F97F6">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（台/套）</w:t>
                  </w:r>
                </w:p>
              </w:tc>
              <w:tc>
                <w:tcPr>
                  <w:tcW w:w="705" w:type="dxa"/>
                  <w:vMerge w:val="restart"/>
                  <w:shd w:val="clear" w:color="auto" w:fill="auto"/>
                  <w:vAlign w:val="center"/>
                </w:tcPr>
                <w:p w14:paraId="21FFDBFB">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声源源强</w:t>
                  </w:r>
                </w:p>
              </w:tc>
              <w:tc>
                <w:tcPr>
                  <w:tcW w:w="510" w:type="dxa"/>
                  <w:vMerge w:val="restart"/>
                  <w:shd w:val="clear" w:color="auto" w:fill="auto"/>
                  <w:vAlign w:val="center"/>
                </w:tcPr>
                <w:p w14:paraId="0018F899">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声源控制措施</w:t>
                  </w:r>
                </w:p>
              </w:tc>
              <w:tc>
                <w:tcPr>
                  <w:tcW w:w="1500" w:type="dxa"/>
                  <w:gridSpan w:val="3"/>
                  <w:vMerge w:val="restart"/>
                  <w:vAlign w:val="center"/>
                </w:tcPr>
                <w:p w14:paraId="68100F6B">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空间相对位置/m</w:t>
                  </w:r>
                </w:p>
              </w:tc>
              <w:tc>
                <w:tcPr>
                  <w:tcW w:w="564" w:type="dxa"/>
                  <w:vMerge w:val="restart"/>
                  <w:shd w:val="clear" w:color="auto" w:fill="auto"/>
                  <w:vAlign w:val="center"/>
                </w:tcPr>
                <w:p w14:paraId="21491287">
                  <w:pPr>
                    <w:overflowPunct w:val="0"/>
                    <w:jc w:val="center"/>
                    <w:rPr>
                      <w:rFonts w:hint="default" w:ascii="Times New Roman" w:hAnsi="Times New Roman" w:cs="Times New Roman"/>
                      <w:sz w:val="18"/>
                      <w:szCs w:val="18"/>
                      <w:highlight w:val="none"/>
                      <w:lang w:val="en-US" w:eastAsia="zh-CN" w:bidi="zh-CN"/>
                    </w:rPr>
                  </w:pPr>
                  <w:r>
                    <w:rPr>
                      <w:rFonts w:hint="default" w:ascii="Times New Roman" w:hAnsi="Times New Roman" w:cs="Times New Roman"/>
                      <w:sz w:val="18"/>
                      <w:szCs w:val="18"/>
                      <w:highlight w:val="none"/>
                      <w:lang w:bidi="zh-CN"/>
                    </w:rPr>
                    <w:t>距室内边界距离/m</w:t>
                  </w:r>
                </w:p>
              </w:tc>
              <w:tc>
                <w:tcPr>
                  <w:tcW w:w="564" w:type="dxa"/>
                  <w:vMerge w:val="restart"/>
                  <w:shd w:val="clear" w:color="auto" w:fill="auto"/>
                  <w:vAlign w:val="center"/>
                </w:tcPr>
                <w:p w14:paraId="6FB83E5C">
                  <w:pPr>
                    <w:overflowPunct w:val="0"/>
                    <w:jc w:val="center"/>
                    <w:rPr>
                      <w:rFonts w:hint="default" w:ascii="Times New Roman" w:hAnsi="Times New Roman" w:cs="Times New Roman"/>
                      <w:sz w:val="18"/>
                      <w:szCs w:val="18"/>
                      <w:highlight w:val="none"/>
                      <w:lang w:val="en-US" w:eastAsia="zh-CN" w:bidi="zh-CN"/>
                    </w:rPr>
                  </w:pPr>
                  <w:r>
                    <w:rPr>
                      <w:rFonts w:hint="default" w:ascii="Times New Roman" w:hAnsi="Times New Roman" w:cs="Times New Roman"/>
                      <w:sz w:val="18"/>
                      <w:szCs w:val="18"/>
                      <w:highlight w:val="none"/>
                      <w:lang w:bidi="zh-CN"/>
                    </w:rPr>
                    <w:t>室内边界声级/dB(A)</w:t>
                  </w:r>
                </w:p>
              </w:tc>
              <w:tc>
                <w:tcPr>
                  <w:tcW w:w="564" w:type="dxa"/>
                  <w:vMerge w:val="restart"/>
                  <w:shd w:val="clear" w:color="auto" w:fill="auto"/>
                  <w:vAlign w:val="center"/>
                </w:tcPr>
                <w:p w14:paraId="13589CF8">
                  <w:pPr>
                    <w:overflowPunct w:val="0"/>
                    <w:jc w:val="center"/>
                    <w:rPr>
                      <w:rFonts w:hint="default" w:ascii="Times New Roman" w:hAnsi="Times New Roman" w:cs="Times New Roman"/>
                      <w:sz w:val="18"/>
                      <w:szCs w:val="18"/>
                      <w:highlight w:val="none"/>
                      <w:lang w:val="en-US" w:eastAsia="zh-CN" w:bidi="zh-CN"/>
                    </w:rPr>
                  </w:pPr>
                  <w:r>
                    <w:rPr>
                      <w:rFonts w:hint="default" w:ascii="Times New Roman" w:hAnsi="Times New Roman" w:cs="Times New Roman"/>
                      <w:sz w:val="18"/>
                      <w:szCs w:val="18"/>
                      <w:highlight w:val="none"/>
                      <w:lang w:bidi="zh-CN"/>
                    </w:rPr>
                    <w:t>运行时段</w:t>
                  </w:r>
                </w:p>
              </w:tc>
              <w:tc>
                <w:tcPr>
                  <w:tcW w:w="564" w:type="dxa"/>
                  <w:vMerge w:val="restart"/>
                  <w:shd w:val="clear" w:color="auto" w:fill="auto"/>
                  <w:vAlign w:val="center"/>
                </w:tcPr>
                <w:p w14:paraId="6A0E99E0">
                  <w:pPr>
                    <w:overflowPunct w:val="0"/>
                    <w:jc w:val="center"/>
                    <w:rPr>
                      <w:rFonts w:hint="default" w:ascii="Times New Roman" w:hAnsi="Times New Roman" w:cs="Times New Roman"/>
                      <w:sz w:val="18"/>
                      <w:szCs w:val="18"/>
                      <w:highlight w:val="none"/>
                      <w:lang w:val="en-US" w:eastAsia="zh-CN" w:bidi="zh-CN"/>
                    </w:rPr>
                  </w:pPr>
                  <w:r>
                    <w:rPr>
                      <w:rFonts w:hint="default" w:ascii="Times New Roman" w:hAnsi="Times New Roman" w:cs="Times New Roman"/>
                      <w:sz w:val="18"/>
                      <w:szCs w:val="18"/>
                      <w:highlight w:val="none"/>
                      <w:lang w:bidi="zh-CN"/>
                    </w:rPr>
                    <w:t>建筑物插入损失/dB(A)</w:t>
                  </w:r>
                </w:p>
              </w:tc>
              <w:tc>
                <w:tcPr>
                  <w:tcW w:w="1128" w:type="dxa"/>
                  <w:gridSpan w:val="2"/>
                  <w:vAlign w:val="center"/>
                </w:tcPr>
                <w:p w14:paraId="27A0228B">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建筑物外噪声</w:t>
                  </w:r>
                </w:p>
              </w:tc>
            </w:tr>
            <w:tr w14:paraId="0888B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1" w:hRule="atLeast"/>
                <w:jc w:val="center"/>
              </w:trPr>
              <w:tc>
                <w:tcPr>
                  <w:tcW w:w="490" w:type="dxa"/>
                  <w:vMerge w:val="continue"/>
                  <w:vAlign w:val="center"/>
                </w:tcPr>
                <w:p w14:paraId="69D53C84">
                  <w:pPr>
                    <w:overflowPunct w:val="0"/>
                    <w:jc w:val="center"/>
                    <w:rPr>
                      <w:highlight w:val="none"/>
                    </w:rPr>
                  </w:pPr>
                </w:p>
              </w:tc>
              <w:tc>
                <w:tcPr>
                  <w:tcW w:w="519" w:type="dxa"/>
                  <w:vMerge w:val="continue"/>
                  <w:vAlign w:val="center"/>
                </w:tcPr>
                <w:p w14:paraId="2B5238CB">
                  <w:pPr>
                    <w:overflowPunct w:val="0"/>
                    <w:jc w:val="center"/>
                    <w:rPr>
                      <w:highlight w:val="none"/>
                    </w:rPr>
                  </w:pPr>
                </w:p>
              </w:tc>
              <w:tc>
                <w:tcPr>
                  <w:tcW w:w="706" w:type="dxa"/>
                  <w:vMerge w:val="continue"/>
                  <w:shd w:val="clear" w:color="auto" w:fill="auto"/>
                  <w:vAlign w:val="center"/>
                </w:tcPr>
                <w:p w14:paraId="79938260">
                  <w:pPr>
                    <w:overflowPunct w:val="0"/>
                    <w:jc w:val="center"/>
                    <w:rPr>
                      <w:highlight w:val="none"/>
                    </w:rPr>
                  </w:pPr>
                </w:p>
              </w:tc>
              <w:tc>
                <w:tcPr>
                  <w:tcW w:w="706" w:type="dxa"/>
                  <w:vMerge w:val="continue"/>
                  <w:shd w:val="clear" w:color="auto" w:fill="auto"/>
                  <w:vAlign w:val="center"/>
                </w:tcPr>
                <w:p w14:paraId="489CF286">
                  <w:pPr>
                    <w:overflowPunct w:val="0"/>
                    <w:jc w:val="center"/>
                    <w:rPr>
                      <w:highlight w:val="none"/>
                    </w:rPr>
                  </w:pPr>
                </w:p>
              </w:tc>
              <w:tc>
                <w:tcPr>
                  <w:tcW w:w="690" w:type="dxa"/>
                  <w:vMerge w:val="continue"/>
                  <w:vAlign w:val="center"/>
                </w:tcPr>
                <w:p w14:paraId="4DCC7E0E">
                  <w:pPr>
                    <w:overflowPunct w:val="0"/>
                    <w:jc w:val="center"/>
                    <w:rPr>
                      <w:highlight w:val="none"/>
                    </w:rPr>
                  </w:pPr>
                </w:p>
              </w:tc>
              <w:tc>
                <w:tcPr>
                  <w:tcW w:w="705" w:type="dxa"/>
                  <w:vMerge w:val="continue"/>
                  <w:shd w:val="clear" w:color="auto" w:fill="auto"/>
                  <w:vAlign w:val="center"/>
                </w:tcPr>
                <w:p w14:paraId="218186FF">
                  <w:pPr>
                    <w:overflowPunct w:val="0"/>
                    <w:jc w:val="center"/>
                    <w:rPr>
                      <w:highlight w:val="none"/>
                    </w:rPr>
                  </w:pPr>
                </w:p>
              </w:tc>
              <w:tc>
                <w:tcPr>
                  <w:tcW w:w="510" w:type="dxa"/>
                  <w:vMerge w:val="continue"/>
                  <w:shd w:val="clear" w:color="auto" w:fill="auto"/>
                  <w:vAlign w:val="center"/>
                </w:tcPr>
                <w:p w14:paraId="1A8FC594">
                  <w:pPr>
                    <w:overflowPunct w:val="0"/>
                    <w:jc w:val="center"/>
                    <w:rPr>
                      <w:highlight w:val="none"/>
                    </w:rPr>
                  </w:pPr>
                </w:p>
              </w:tc>
              <w:tc>
                <w:tcPr>
                  <w:tcW w:w="1500" w:type="dxa"/>
                  <w:gridSpan w:val="3"/>
                  <w:vMerge w:val="continue"/>
                  <w:vAlign w:val="center"/>
                </w:tcPr>
                <w:p w14:paraId="27E60E16">
                  <w:pPr>
                    <w:overflowPunct w:val="0"/>
                    <w:jc w:val="center"/>
                    <w:rPr>
                      <w:highlight w:val="none"/>
                    </w:rPr>
                  </w:pPr>
                </w:p>
              </w:tc>
              <w:tc>
                <w:tcPr>
                  <w:tcW w:w="564" w:type="dxa"/>
                  <w:vMerge w:val="continue"/>
                  <w:shd w:val="clear" w:color="auto" w:fill="auto"/>
                  <w:vAlign w:val="center"/>
                </w:tcPr>
                <w:p w14:paraId="76B2701C">
                  <w:pPr>
                    <w:overflowPunct w:val="0"/>
                    <w:jc w:val="center"/>
                    <w:rPr>
                      <w:rFonts w:hint="default" w:ascii="Times New Roman" w:hAnsi="Times New Roman" w:cs="Times New Roman"/>
                      <w:sz w:val="18"/>
                      <w:szCs w:val="18"/>
                      <w:highlight w:val="none"/>
                      <w:lang w:bidi="zh-CN"/>
                    </w:rPr>
                  </w:pPr>
                </w:p>
              </w:tc>
              <w:tc>
                <w:tcPr>
                  <w:tcW w:w="564" w:type="dxa"/>
                  <w:vMerge w:val="continue"/>
                  <w:shd w:val="clear" w:color="auto" w:fill="auto"/>
                  <w:vAlign w:val="center"/>
                </w:tcPr>
                <w:p w14:paraId="7F85536E">
                  <w:pPr>
                    <w:overflowPunct w:val="0"/>
                    <w:jc w:val="center"/>
                    <w:rPr>
                      <w:rFonts w:hint="default" w:ascii="Times New Roman" w:hAnsi="Times New Roman" w:cs="Times New Roman"/>
                      <w:sz w:val="18"/>
                      <w:szCs w:val="18"/>
                      <w:highlight w:val="none"/>
                      <w:lang w:bidi="zh-CN"/>
                    </w:rPr>
                  </w:pPr>
                </w:p>
              </w:tc>
              <w:tc>
                <w:tcPr>
                  <w:tcW w:w="564" w:type="dxa"/>
                  <w:vMerge w:val="continue"/>
                  <w:shd w:val="clear" w:color="auto" w:fill="auto"/>
                  <w:vAlign w:val="center"/>
                </w:tcPr>
                <w:p w14:paraId="72525FDA">
                  <w:pPr>
                    <w:overflowPunct w:val="0"/>
                    <w:jc w:val="center"/>
                    <w:rPr>
                      <w:rFonts w:hint="default" w:ascii="Times New Roman" w:hAnsi="Times New Roman" w:cs="Times New Roman"/>
                      <w:sz w:val="18"/>
                      <w:szCs w:val="18"/>
                      <w:highlight w:val="none"/>
                      <w:lang w:bidi="zh-CN"/>
                    </w:rPr>
                  </w:pPr>
                </w:p>
              </w:tc>
              <w:tc>
                <w:tcPr>
                  <w:tcW w:w="564" w:type="dxa"/>
                  <w:vMerge w:val="continue"/>
                  <w:shd w:val="clear" w:color="auto" w:fill="auto"/>
                  <w:vAlign w:val="center"/>
                </w:tcPr>
                <w:p w14:paraId="4724C80E">
                  <w:pPr>
                    <w:overflowPunct w:val="0"/>
                    <w:jc w:val="center"/>
                    <w:rPr>
                      <w:rFonts w:hint="default" w:ascii="Times New Roman" w:hAnsi="Times New Roman" w:cs="Times New Roman"/>
                      <w:sz w:val="18"/>
                      <w:szCs w:val="18"/>
                      <w:highlight w:val="none"/>
                      <w:lang w:bidi="zh-CN"/>
                    </w:rPr>
                  </w:pPr>
                </w:p>
              </w:tc>
              <w:tc>
                <w:tcPr>
                  <w:tcW w:w="564" w:type="dxa"/>
                  <w:vMerge w:val="restart"/>
                  <w:vAlign w:val="center"/>
                </w:tcPr>
                <w:p w14:paraId="14F81A2C">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声压级dB(A)</w:t>
                  </w:r>
                </w:p>
              </w:tc>
              <w:tc>
                <w:tcPr>
                  <w:tcW w:w="564" w:type="dxa"/>
                  <w:vMerge w:val="restart"/>
                  <w:vAlign w:val="center"/>
                </w:tcPr>
                <w:p w14:paraId="2D9EF62C">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建筑物外距离</w:t>
                  </w:r>
                </w:p>
              </w:tc>
            </w:tr>
            <w:tr w14:paraId="4C537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vMerge w:val="continue"/>
                  <w:vAlign w:val="center"/>
                </w:tcPr>
                <w:p w14:paraId="59AF3811">
                  <w:pPr>
                    <w:overflowPunct w:val="0"/>
                    <w:jc w:val="center"/>
                    <w:rPr>
                      <w:rFonts w:hint="default" w:ascii="Times New Roman" w:hAnsi="Times New Roman" w:cs="Times New Roman"/>
                      <w:sz w:val="18"/>
                      <w:szCs w:val="18"/>
                      <w:highlight w:val="none"/>
                      <w:lang w:bidi="zh-CN"/>
                    </w:rPr>
                  </w:pPr>
                </w:p>
              </w:tc>
              <w:tc>
                <w:tcPr>
                  <w:tcW w:w="519" w:type="dxa"/>
                  <w:vMerge w:val="continue"/>
                  <w:vAlign w:val="center"/>
                </w:tcPr>
                <w:p w14:paraId="26524B64">
                  <w:pPr>
                    <w:overflowPunct w:val="0"/>
                    <w:jc w:val="center"/>
                    <w:rPr>
                      <w:rFonts w:hint="default" w:ascii="Times New Roman" w:hAnsi="Times New Roman" w:cs="Times New Roman"/>
                      <w:sz w:val="18"/>
                      <w:szCs w:val="18"/>
                      <w:highlight w:val="none"/>
                      <w:lang w:bidi="zh-CN"/>
                    </w:rPr>
                  </w:pPr>
                </w:p>
              </w:tc>
              <w:tc>
                <w:tcPr>
                  <w:tcW w:w="706" w:type="dxa"/>
                  <w:vMerge w:val="continue"/>
                  <w:shd w:val="clear" w:color="auto" w:fill="auto"/>
                  <w:vAlign w:val="center"/>
                </w:tcPr>
                <w:p w14:paraId="18179C48">
                  <w:pPr>
                    <w:overflowPunct w:val="0"/>
                    <w:jc w:val="center"/>
                    <w:rPr>
                      <w:rFonts w:hint="default" w:ascii="Times New Roman" w:hAnsi="Times New Roman" w:eastAsia="宋体" w:cs="Times New Roman"/>
                      <w:kern w:val="2"/>
                      <w:sz w:val="18"/>
                      <w:szCs w:val="18"/>
                      <w:highlight w:val="none"/>
                      <w:lang w:val="en-US" w:eastAsia="zh-CN" w:bidi="zh-CN"/>
                    </w:rPr>
                  </w:pPr>
                </w:p>
              </w:tc>
              <w:tc>
                <w:tcPr>
                  <w:tcW w:w="706" w:type="dxa"/>
                  <w:vMerge w:val="continue"/>
                  <w:shd w:val="clear" w:color="auto" w:fill="auto"/>
                  <w:vAlign w:val="center"/>
                </w:tcPr>
                <w:p w14:paraId="55ED3D05">
                  <w:pPr>
                    <w:overflowPunct w:val="0"/>
                    <w:jc w:val="center"/>
                    <w:rPr>
                      <w:rFonts w:hint="default" w:ascii="Times New Roman" w:hAnsi="Times New Roman" w:eastAsia="宋体" w:cs="Times New Roman"/>
                      <w:kern w:val="2"/>
                      <w:sz w:val="18"/>
                      <w:szCs w:val="18"/>
                      <w:highlight w:val="none"/>
                      <w:lang w:val="en-US" w:eastAsia="zh-CN" w:bidi="zh-CN"/>
                    </w:rPr>
                  </w:pPr>
                </w:p>
              </w:tc>
              <w:tc>
                <w:tcPr>
                  <w:tcW w:w="690" w:type="dxa"/>
                  <w:vMerge w:val="continue"/>
                  <w:vAlign w:val="center"/>
                </w:tcPr>
                <w:p w14:paraId="5C4ED376">
                  <w:pPr>
                    <w:overflowPunct w:val="0"/>
                    <w:jc w:val="center"/>
                    <w:rPr>
                      <w:rFonts w:hint="default" w:ascii="Times New Roman" w:hAnsi="Times New Roman" w:cs="Times New Roman"/>
                      <w:sz w:val="18"/>
                      <w:szCs w:val="18"/>
                      <w:highlight w:val="none"/>
                      <w:lang w:bidi="zh-CN"/>
                    </w:rPr>
                  </w:pPr>
                </w:p>
              </w:tc>
              <w:tc>
                <w:tcPr>
                  <w:tcW w:w="705" w:type="dxa"/>
                  <w:shd w:val="clear" w:color="auto" w:fill="auto"/>
                  <w:vAlign w:val="center"/>
                </w:tcPr>
                <w:p w14:paraId="4925A76C">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声功率级/dB（A）</w:t>
                  </w:r>
                </w:p>
              </w:tc>
              <w:tc>
                <w:tcPr>
                  <w:tcW w:w="510" w:type="dxa"/>
                  <w:vMerge w:val="continue"/>
                  <w:shd w:val="clear" w:color="auto" w:fill="auto"/>
                  <w:vAlign w:val="center"/>
                </w:tcPr>
                <w:p w14:paraId="79FC5658">
                  <w:pPr>
                    <w:overflowPunct w:val="0"/>
                    <w:jc w:val="center"/>
                    <w:rPr>
                      <w:rFonts w:hint="default" w:ascii="Times New Roman" w:hAnsi="Times New Roman" w:eastAsia="宋体" w:cs="Times New Roman"/>
                      <w:kern w:val="2"/>
                      <w:sz w:val="18"/>
                      <w:szCs w:val="18"/>
                      <w:highlight w:val="none"/>
                      <w:lang w:val="en-US" w:eastAsia="zh-CN" w:bidi="zh-CN"/>
                    </w:rPr>
                  </w:pPr>
                </w:p>
              </w:tc>
              <w:tc>
                <w:tcPr>
                  <w:tcW w:w="540" w:type="dxa"/>
                  <w:vAlign w:val="center"/>
                </w:tcPr>
                <w:p w14:paraId="55D809E6">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X</w:t>
                  </w:r>
                </w:p>
              </w:tc>
              <w:tc>
                <w:tcPr>
                  <w:tcW w:w="540" w:type="dxa"/>
                  <w:vAlign w:val="center"/>
                </w:tcPr>
                <w:p w14:paraId="1C1D4739">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Y</w:t>
                  </w:r>
                </w:p>
              </w:tc>
              <w:tc>
                <w:tcPr>
                  <w:tcW w:w="420" w:type="dxa"/>
                  <w:vAlign w:val="center"/>
                </w:tcPr>
                <w:p w14:paraId="08C2EA29">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Z</w:t>
                  </w:r>
                </w:p>
              </w:tc>
              <w:tc>
                <w:tcPr>
                  <w:tcW w:w="564" w:type="dxa"/>
                  <w:vMerge w:val="continue"/>
                  <w:vAlign w:val="center"/>
                </w:tcPr>
                <w:p w14:paraId="02331DE1">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200DC6E6">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508782EB">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526BE2A4">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0E504AA2">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4E326F06">
                  <w:pPr>
                    <w:overflowPunct w:val="0"/>
                    <w:jc w:val="center"/>
                    <w:rPr>
                      <w:rFonts w:hint="default" w:ascii="Times New Roman" w:hAnsi="Times New Roman" w:cs="Times New Roman"/>
                      <w:sz w:val="18"/>
                      <w:szCs w:val="18"/>
                      <w:highlight w:val="none"/>
                      <w:lang w:bidi="zh-CN"/>
                    </w:rPr>
                  </w:pPr>
                </w:p>
              </w:tc>
            </w:tr>
            <w:tr w14:paraId="68F8A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149B3C44">
                  <w:pPr>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w:t>
                  </w:r>
                </w:p>
              </w:tc>
              <w:tc>
                <w:tcPr>
                  <w:tcW w:w="519" w:type="dxa"/>
                  <w:vMerge w:val="restart"/>
                  <w:shd w:val="clear" w:color="auto" w:fill="auto"/>
                  <w:vAlign w:val="center"/>
                </w:tcPr>
                <w:p w14:paraId="5E9D1551">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生产车间</w:t>
                  </w:r>
                </w:p>
              </w:tc>
              <w:tc>
                <w:tcPr>
                  <w:tcW w:w="706" w:type="dxa"/>
                  <w:shd w:val="clear" w:color="auto" w:fill="auto"/>
                  <w:vAlign w:val="center"/>
                </w:tcPr>
                <w:p w14:paraId="5CB8835D">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塑料中空吹塑机</w:t>
                  </w:r>
                </w:p>
              </w:tc>
              <w:tc>
                <w:tcPr>
                  <w:tcW w:w="706" w:type="dxa"/>
                  <w:shd w:val="clear" w:color="auto" w:fill="auto"/>
                  <w:vAlign w:val="center"/>
                </w:tcPr>
                <w:p w14:paraId="6C13C6DD">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HDZK-50L</w:t>
                  </w:r>
                </w:p>
              </w:tc>
              <w:tc>
                <w:tcPr>
                  <w:tcW w:w="690" w:type="dxa"/>
                  <w:shd w:val="clear" w:color="auto" w:fill="auto"/>
                  <w:vAlign w:val="center"/>
                </w:tcPr>
                <w:p w14:paraId="15F3AABF">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1</w:t>
                  </w:r>
                </w:p>
              </w:tc>
              <w:tc>
                <w:tcPr>
                  <w:tcW w:w="705" w:type="dxa"/>
                  <w:shd w:val="clear" w:color="auto" w:fill="auto"/>
                  <w:vAlign w:val="center"/>
                </w:tcPr>
                <w:p w14:paraId="190BCA8D">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65</w:t>
                  </w:r>
                </w:p>
              </w:tc>
              <w:tc>
                <w:tcPr>
                  <w:tcW w:w="510" w:type="dxa"/>
                  <w:vMerge w:val="restart"/>
                  <w:shd w:val="clear" w:color="auto" w:fill="auto"/>
                  <w:vAlign w:val="center"/>
                </w:tcPr>
                <w:p w14:paraId="35AD05A5">
                  <w:pPr>
                    <w:overflowPunct w:val="0"/>
                    <w:jc w:val="center"/>
                    <w:rPr>
                      <w:rFonts w:hint="eastAsia"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基础减振、消声</w:t>
                  </w:r>
                </w:p>
              </w:tc>
              <w:tc>
                <w:tcPr>
                  <w:tcW w:w="540" w:type="dxa"/>
                  <w:shd w:val="clear" w:color="auto" w:fill="auto"/>
                  <w:vAlign w:val="center"/>
                </w:tcPr>
                <w:p w14:paraId="21E47D73">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38</w:t>
                  </w:r>
                </w:p>
              </w:tc>
              <w:tc>
                <w:tcPr>
                  <w:tcW w:w="540" w:type="dxa"/>
                  <w:shd w:val="clear" w:color="auto" w:fill="auto"/>
                  <w:vAlign w:val="center"/>
                </w:tcPr>
                <w:p w14:paraId="6CE7DBB2">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35</w:t>
                  </w:r>
                </w:p>
              </w:tc>
              <w:tc>
                <w:tcPr>
                  <w:tcW w:w="420" w:type="dxa"/>
                  <w:shd w:val="clear" w:color="auto" w:fill="auto"/>
                  <w:vAlign w:val="center"/>
                </w:tcPr>
                <w:p w14:paraId="5ACBBDD4">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2303B391">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10</w:t>
                  </w:r>
                </w:p>
              </w:tc>
              <w:tc>
                <w:tcPr>
                  <w:tcW w:w="564" w:type="dxa"/>
                  <w:shd w:val="clear" w:color="auto" w:fill="auto"/>
                  <w:vAlign w:val="center"/>
                </w:tcPr>
                <w:p w14:paraId="30C7CC37">
                  <w:pPr>
                    <w:overflowPunct w:val="0"/>
                    <w:jc w:val="center"/>
                    <w:rPr>
                      <w:rFonts w:hint="default" w:cs="Times New Roman"/>
                      <w:sz w:val="18"/>
                      <w:szCs w:val="18"/>
                      <w:highlight w:val="none"/>
                      <w:lang w:val="en-US" w:bidi="zh-CN"/>
                    </w:rPr>
                  </w:pPr>
                  <w:r>
                    <w:rPr>
                      <w:rFonts w:hint="eastAsia" w:cs="Times New Roman"/>
                      <w:sz w:val="18"/>
                      <w:szCs w:val="18"/>
                      <w:highlight w:val="none"/>
                      <w:lang w:val="en-US" w:eastAsia="zh-CN" w:bidi="zh-CN"/>
                    </w:rPr>
                    <w:t xml:space="preserve">45 </w:t>
                  </w:r>
                </w:p>
              </w:tc>
              <w:tc>
                <w:tcPr>
                  <w:tcW w:w="564" w:type="dxa"/>
                  <w:shd w:val="clear" w:color="auto" w:fill="auto"/>
                  <w:vAlign w:val="center"/>
                </w:tcPr>
                <w:p w14:paraId="398A60BD">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38492565">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20</w:t>
                  </w:r>
                </w:p>
              </w:tc>
              <w:tc>
                <w:tcPr>
                  <w:tcW w:w="564" w:type="dxa"/>
                  <w:shd w:val="clear" w:color="auto" w:fill="auto"/>
                  <w:vAlign w:val="center"/>
                </w:tcPr>
                <w:p w14:paraId="063B94E1">
                  <w:pPr>
                    <w:overflowPunct w:val="0"/>
                    <w:jc w:val="center"/>
                    <w:rPr>
                      <w:rFonts w:hint="default" w:ascii="Times New Roman" w:hAnsi="Times New Roman" w:cs="Times New Roman"/>
                      <w:sz w:val="18"/>
                      <w:szCs w:val="18"/>
                      <w:highlight w:val="none"/>
                      <w:lang w:val="en-US"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09EA7659">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w:t>
                  </w:r>
                </w:p>
              </w:tc>
            </w:tr>
            <w:tr w14:paraId="5E3EC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1131E93E">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2</w:t>
                  </w:r>
                </w:p>
              </w:tc>
              <w:tc>
                <w:tcPr>
                  <w:tcW w:w="519" w:type="dxa"/>
                  <w:vMerge w:val="continue"/>
                  <w:shd w:val="clear" w:color="auto" w:fill="auto"/>
                  <w:vAlign w:val="center"/>
                </w:tcPr>
                <w:p w14:paraId="4D25854B">
                  <w:pPr>
                    <w:jc w:val="center"/>
                    <w:rPr>
                      <w:rFonts w:hint="eastAsia" w:cs="Times New Roman"/>
                      <w:sz w:val="18"/>
                      <w:szCs w:val="18"/>
                      <w:highlight w:val="none"/>
                      <w:lang w:val="en-US" w:eastAsia="zh-CN"/>
                    </w:rPr>
                  </w:pPr>
                </w:p>
              </w:tc>
              <w:tc>
                <w:tcPr>
                  <w:tcW w:w="706" w:type="dxa"/>
                  <w:shd w:val="clear" w:color="auto" w:fill="auto"/>
                  <w:vAlign w:val="center"/>
                </w:tcPr>
                <w:p w14:paraId="122019D4">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塑料中空吹塑机</w:t>
                  </w:r>
                </w:p>
              </w:tc>
              <w:tc>
                <w:tcPr>
                  <w:tcW w:w="706" w:type="dxa"/>
                  <w:shd w:val="clear" w:color="auto" w:fill="auto"/>
                  <w:vAlign w:val="center"/>
                </w:tcPr>
                <w:p w14:paraId="3481DB16">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HDZK-50L</w:t>
                  </w:r>
                </w:p>
              </w:tc>
              <w:tc>
                <w:tcPr>
                  <w:tcW w:w="690" w:type="dxa"/>
                  <w:shd w:val="clear" w:color="auto" w:fill="auto"/>
                  <w:vAlign w:val="center"/>
                </w:tcPr>
                <w:p w14:paraId="7B1889FC">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1</w:t>
                  </w:r>
                </w:p>
              </w:tc>
              <w:tc>
                <w:tcPr>
                  <w:tcW w:w="705" w:type="dxa"/>
                  <w:shd w:val="clear" w:color="auto" w:fill="auto"/>
                  <w:vAlign w:val="center"/>
                </w:tcPr>
                <w:p w14:paraId="252A8745">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65</w:t>
                  </w:r>
                </w:p>
              </w:tc>
              <w:tc>
                <w:tcPr>
                  <w:tcW w:w="510" w:type="dxa"/>
                  <w:vMerge w:val="continue"/>
                  <w:shd w:val="clear" w:color="auto" w:fill="auto"/>
                  <w:vAlign w:val="center"/>
                </w:tcPr>
                <w:p w14:paraId="4FB39155">
                  <w:pPr>
                    <w:overflowPunct w:val="0"/>
                    <w:jc w:val="center"/>
                    <w:rPr>
                      <w:rFonts w:hint="default" w:ascii="Times New Roman" w:hAnsi="Times New Roman" w:cs="Times New Roman"/>
                      <w:sz w:val="18"/>
                      <w:szCs w:val="18"/>
                      <w:highlight w:val="none"/>
                      <w:lang w:bidi="zh-CN"/>
                    </w:rPr>
                  </w:pPr>
                </w:p>
              </w:tc>
              <w:tc>
                <w:tcPr>
                  <w:tcW w:w="540" w:type="dxa"/>
                  <w:shd w:val="clear" w:color="auto" w:fill="auto"/>
                  <w:vAlign w:val="center"/>
                </w:tcPr>
                <w:p w14:paraId="1C296E56">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42</w:t>
                  </w:r>
                </w:p>
              </w:tc>
              <w:tc>
                <w:tcPr>
                  <w:tcW w:w="540" w:type="dxa"/>
                  <w:shd w:val="clear" w:color="auto" w:fill="auto"/>
                  <w:vAlign w:val="center"/>
                </w:tcPr>
                <w:p w14:paraId="7763AB07">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35</w:t>
                  </w:r>
                </w:p>
              </w:tc>
              <w:tc>
                <w:tcPr>
                  <w:tcW w:w="420" w:type="dxa"/>
                  <w:shd w:val="clear" w:color="auto" w:fill="auto"/>
                  <w:vAlign w:val="center"/>
                </w:tcPr>
                <w:p w14:paraId="0C00188C">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279FA5E7">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10</w:t>
                  </w:r>
                </w:p>
              </w:tc>
              <w:tc>
                <w:tcPr>
                  <w:tcW w:w="564" w:type="dxa"/>
                  <w:shd w:val="clear" w:color="auto" w:fill="auto"/>
                  <w:vAlign w:val="center"/>
                </w:tcPr>
                <w:p w14:paraId="34413EEA">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eastAsia="zh-CN" w:bidi="zh-CN"/>
                    </w:rPr>
                    <w:t xml:space="preserve">45 </w:t>
                  </w:r>
                </w:p>
              </w:tc>
              <w:tc>
                <w:tcPr>
                  <w:tcW w:w="564" w:type="dxa"/>
                  <w:shd w:val="clear" w:color="auto" w:fill="auto"/>
                  <w:vAlign w:val="center"/>
                </w:tcPr>
                <w:p w14:paraId="41009093">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77F2A783">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20</w:t>
                  </w:r>
                </w:p>
              </w:tc>
              <w:tc>
                <w:tcPr>
                  <w:tcW w:w="564" w:type="dxa"/>
                  <w:shd w:val="clear" w:color="auto" w:fill="auto"/>
                  <w:vAlign w:val="center"/>
                </w:tcPr>
                <w:p w14:paraId="7D1F463C">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79511CCD">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1</w:t>
                  </w:r>
                </w:p>
              </w:tc>
            </w:tr>
            <w:tr w14:paraId="10EA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3D72A385">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3</w:t>
                  </w:r>
                </w:p>
              </w:tc>
              <w:tc>
                <w:tcPr>
                  <w:tcW w:w="519" w:type="dxa"/>
                  <w:vMerge w:val="continue"/>
                  <w:shd w:val="clear" w:color="auto" w:fill="auto"/>
                  <w:vAlign w:val="center"/>
                </w:tcPr>
                <w:p w14:paraId="3C87D3E7">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760038DE">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自动注塑机</w:t>
                  </w:r>
                </w:p>
              </w:tc>
              <w:tc>
                <w:tcPr>
                  <w:tcW w:w="706" w:type="dxa"/>
                  <w:shd w:val="clear" w:color="auto" w:fill="auto"/>
                  <w:vAlign w:val="center"/>
                </w:tcPr>
                <w:p w14:paraId="25DF85FE">
                  <w:pPr>
                    <w:jc w:val="center"/>
                    <w:rPr>
                      <w:rFonts w:hint="eastAsia"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TH140SP</w:t>
                  </w:r>
                </w:p>
              </w:tc>
              <w:tc>
                <w:tcPr>
                  <w:tcW w:w="690" w:type="dxa"/>
                  <w:shd w:val="clear" w:color="auto" w:fill="auto"/>
                  <w:vAlign w:val="center"/>
                </w:tcPr>
                <w:p w14:paraId="19ED32D9">
                  <w:pPr>
                    <w:jc w:val="center"/>
                    <w:rPr>
                      <w:rFonts w:hint="default" w:ascii="Times New Roman" w:hAnsi="Times New Roman" w:eastAsia="宋体" w:cs="Times New Roman"/>
                      <w:sz w:val="18"/>
                      <w:szCs w:val="18"/>
                      <w:highlight w:val="none"/>
                      <w:lang w:val="en-US" w:eastAsia="zh-CN"/>
                    </w:rPr>
                  </w:pPr>
                  <w:r>
                    <w:rPr>
                      <w:rFonts w:hint="eastAsia" w:ascii="Times New Roman" w:hAnsi="Times New Roman" w:eastAsia="宋体" w:cs="Times New Roman"/>
                      <w:sz w:val="18"/>
                      <w:szCs w:val="18"/>
                      <w:highlight w:val="none"/>
                      <w:lang w:val="en-US" w:eastAsia="zh-CN"/>
                    </w:rPr>
                    <w:t>1</w:t>
                  </w:r>
                </w:p>
              </w:tc>
              <w:tc>
                <w:tcPr>
                  <w:tcW w:w="705" w:type="dxa"/>
                  <w:shd w:val="clear" w:color="auto" w:fill="auto"/>
                  <w:vAlign w:val="center"/>
                </w:tcPr>
                <w:p w14:paraId="0DDEA0FD">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65</w:t>
                  </w:r>
                </w:p>
              </w:tc>
              <w:tc>
                <w:tcPr>
                  <w:tcW w:w="510" w:type="dxa"/>
                  <w:vMerge w:val="continue"/>
                  <w:shd w:val="clear" w:color="auto" w:fill="auto"/>
                  <w:vAlign w:val="center"/>
                </w:tcPr>
                <w:p w14:paraId="0CA27067">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0FCF3EFC">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44</w:t>
                  </w:r>
                </w:p>
              </w:tc>
              <w:tc>
                <w:tcPr>
                  <w:tcW w:w="540" w:type="dxa"/>
                  <w:shd w:val="clear" w:color="auto" w:fill="auto"/>
                  <w:vAlign w:val="center"/>
                </w:tcPr>
                <w:p w14:paraId="47E98F53">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35</w:t>
                  </w:r>
                </w:p>
              </w:tc>
              <w:tc>
                <w:tcPr>
                  <w:tcW w:w="420" w:type="dxa"/>
                  <w:shd w:val="clear" w:color="auto" w:fill="auto"/>
                  <w:vAlign w:val="center"/>
                </w:tcPr>
                <w:p w14:paraId="42B55114">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738165B6">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12</w:t>
                  </w:r>
                </w:p>
              </w:tc>
              <w:tc>
                <w:tcPr>
                  <w:tcW w:w="564" w:type="dxa"/>
                  <w:shd w:val="clear" w:color="auto" w:fill="auto"/>
                  <w:vAlign w:val="center"/>
                </w:tcPr>
                <w:p w14:paraId="58B993C4">
                  <w:pPr>
                    <w:overflowPunct w:val="0"/>
                    <w:jc w:val="center"/>
                    <w:rPr>
                      <w:rFonts w:hint="default" w:cs="Times New Roman"/>
                      <w:sz w:val="18"/>
                      <w:szCs w:val="18"/>
                      <w:highlight w:val="none"/>
                      <w:lang w:val="en-US" w:bidi="zh-CN"/>
                    </w:rPr>
                  </w:pPr>
                  <w:r>
                    <w:rPr>
                      <w:rFonts w:hint="eastAsia" w:cs="Times New Roman"/>
                      <w:sz w:val="18"/>
                      <w:szCs w:val="18"/>
                      <w:highlight w:val="none"/>
                      <w:lang w:val="en-US" w:eastAsia="zh-CN" w:bidi="zh-CN"/>
                    </w:rPr>
                    <w:t xml:space="preserve">43 </w:t>
                  </w:r>
                </w:p>
              </w:tc>
              <w:tc>
                <w:tcPr>
                  <w:tcW w:w="564" w:type="dxa"/>
                  <w:shd w:val="clear" w:color="auto" w:fill="auto"/>
                  <w:vAlign w:val="center"/>
                </w:tcPr>
                <w:p w14:paraId="2EC95EF3">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118ADE9C">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20</w:t>
                  </w:r>
                </w:p>
              </w:tc>
              <w:tc>
                <w:tcPr>
                  <w:tcW w:w="564" w:type="dxa"/>
                  <w:shd w:val="clear" w:color="auto" w:fill="auto"/>
                  <w:vAlign w:val="center"/>
                </w:tcPr>
                <w:p w14:paraId="524E77CF">
                  <w:pPr>
                    <w:overflowPunct w:val="0"/>
                    <w:jc w:val="center"/>
                    <w:rPr>
                      <w:rFonts w:hint="default" w:ascii="Times New Roman" w:hAnsi="Times New Roman" w:cs="Times New Roman"/>
                      <w:sz w:val="18"/>
                      <w:szCs w:val="18"/>
                      <w:highlight w:val="none"/>
                      <w:lang w:val="en-US"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09500BDC">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w:t>
                  </w:r>
                </w:p>
              </w:tc>
            </w:tr>
            <w:tr w14:paraId="3444F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102C479F">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4</w:t>
                  </w:r>
                </w:p>
              </w:tc>
              <w:tc>
                <w:tcPr>
                  <w:tcW w:w="519" w:type="dxa"/>
                  <w:vMerge w:val="continue"/>
                  <w:shd w:val="clear" w:color="auto" w:fill="auto"/>
                  <w:vAlign w:val="center"/>
                </w:tcPr>
                <w:p w14:paraId="3A49FA5D">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512F4CDF">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空气压缩机</w:t>
                  </w:r>
                </w:p>
              </w:tc>
              <w:tc>
                <w:tcPr>
                  <w:tcW w:w="706" w:type="dxa"/>
                  <w:shd w:val="clear" w:color="auto" w:fill="auto"/>
                  <w:vAlign w:val="center"/>
                </w:tcPr>
                <w:p w14:paraId="673F60EE">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L7.5PM</w:t>
                  </w:r>
                </w:p>
              </w:tc>
              <w:tc>
                <w:tcPr>
                  <w:tcW w:w="690" w:type="dxa"/>
                  <w:shd w:val="clear" w:color="auto" w:fill="auto"/>
                  <w:vAlign w:val="center"/>
                </w:tcPr>
                <w:p w14:paraId="4D743AEC">
                  <w:pPr>
                    <w:jc w:val="center"/>
                    <w:rPr>
                      <w:rFonts w:hint="default" w:ascii="Times New Roman" w:hAnsi="Times New Roman" w:eastAsia="宋体" w:cs="Times New Roman"/>
                      <w:sz w:val="18"/>
                      <w:szCs w:val="18"/>
                      <w:highlight w:val="none"/>
                      <w:lang w:val="en-US" w:eastAsia="zh-CN"/>
                    </w:rPr>
                  </w:pPr>
                  <w:r>
                    <w:rPr>
                      <w:rFonts w:hint="eastAsia" w:ascii="Times New Roman" w:hAnsi="Times New Roman" w:eastAsia="宋体" w:cs="Times New Roman"/>
                      <w:sz w:val="18"/>
                      <w:szCs w:val="18"/>
                      <w:highlight w:val="none"/>
                      <w:lang w:val="en-US" w:eastAsia="zh-CN"/>
                    </w:rPr>
                    <w:t>1</w:t>
                  </w:r>
                </w:p>
              </w:tc>
              <w:tc>
                <w:tcPr>
                  <w:tcW w:w="705" w:type="dxa"/>
                  <w:shd w:val="clear" w:color="auto" w:fill="auto"/>
                  <w:vAlign w:val="center"/>
                </w:tcPr>
                <w:p w14:paraId="073AA0D1">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85</w:t>
                  </w:r>
                </w:p>
              </w:tc>
              <w:tc>
                <w:tcPr>
                  <w:tcW w:w="510" w:type="dxa"/>
                  <w:vMerge w:val="continue"/>
                  <w:shd w:val="clear" w:color="auto" w:fill="auto"/>
                  <w:vAlign w:val="center"/>
                </w:tcPr>
                <w:p w14:paraId="0F232973">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7B5E91CD">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36</w:t>
                  </w:r>
                </w:p>
              </w:tc>
              <w:tc>
                <w:tcPr>
                  <w:tcW w:w="540" w:type="dxa"/>
                  <w:shd w:val="clear" w:color="auto" w:fill="auto"/>
                  <w:vAlign w:val="center"/>
                </w:tcPr>
                <w:p w14:paraId="32A344D2">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30</w:t>
                  </w:r>
                </w:p>
              </w:tc>
              <w:tc>
                <w:tcPr>
                  <w:tcW w:w="420" w:type="dxa"/>
                  <w:shd w:val="clear" w:color="auto" w:fill="auto"/>
                  <w:vAlign w:val="center"/>
                </w:tcPr>
                <w:p w14:paraId="6A386BCE">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6DE53EE4">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15</w:t>
                  </w:r>
                </w:p>
              </w:tc>
              <w:tc>
                <w:tcPr>
                  <w:tcW w:w="564" w:type="dxa"/>
                  <w:shd w:val="clear" w:color="auto" w:fill="auto"/>
                  <w:vAlign w:val="center"/>
                </w:tcPr>
                <w:p w14:paraId="2004E67C">
                  <w:pPr>
                    <w:overflowPunct w:val="0"/>
                    <w:jc w:val="center"/>
                    <w:rPr>
                      <w:rFonts w:hint="default" w:cs="Times New Roman"/>
                      <w:sz w:val="18"/>
                      <w:szCs w:val="18"/>
                      <w:highlight w:val="none"/>
                      <w:lang w:val="en-US" w:bidi="zh-CN"/>
                    </w:rPr>
                  </w:pPr>
                  <w:r>
                    <w:rPr>
                      <w:rFonts w:hint="eastAsia" w:cs="Times New Roman"/>
                      <w:sz w:val="18"/>
                      <w:szCs w:val="18"/>
                      <w:highlight w:val="none"/>
                      <w:lang w:val="en-US" w:eastAsia="zh-CN" w:bidi="zh-CN"/>
                    </w:rPr>
                    <w:t xml:space="preserve">61 </w:t>
                  </w:r>
                </w:p>
              </w:tc>
              <w:tc>
                <w:tcPr>
                  <w:tcW w:w="564" w:type="dxa"/>
                  <w:shd w:val="clear" w:color="auto" w:fill="auto"/>
                  <w:vAlign w:val="center"/>
                </w:tcPr>
                <w:p w14:paraId="3C802EDE">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6B9FF864">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20</w:t>
                  </w:r>
                </w:p>
              </w:tc>
              <w:tc>
                <w:tcPr>
                  <w:tcW w:w="564" w:type="dxa"/>
                  <w:shd w:val="clear" w:color="auto" w:fill="auto"/>
                  <w:vAlign w:val="center"/>
                </w:tcPr>
                <w:p w14:paraId="7051EAAD">
                  <w:pPr>
                    <w:overflowPunct w:val="0"/>
                    <w:jc w:val="center"/>
                    <w:rPr>
                      <w:rFonts w:hint="default" w:ascii="Times New Roman" w:hAnsi="Times New Roman" w:cs="Times New Roman"/>
                      <w:sz w:val="18"/>
                      <w:szCs w:val="18"/>
                      <w:highlight w:val="none"/>
                      <w:lang w:val="en-US"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0DF57BB9">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w:t>
                  </w:r>
                </w:p>
              </w:tc>
            </w:tr>
            <w:tr w14:paraId="28CC5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65CB3DB8">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5</w:t>
                  </w:r>
                </w:p>
              </w:tc>
              <w:tc>
                <w:tcPr>
                  <w:tcW w:w="519" w:type="dxa"/>
                  <w:vMerge w:val="continue"/>
                  <w:shd w:val="clear" w:color="auto" w:fill="auto"/>
                  <w:vAlign w:val="center"/>
                </w:tcPr>
                <w:p w14:paraId="70BE638F">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3A4C8EA5">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制冷机</w:t>
                  </w:r>
                </w:p>
              </w:tc>
              <w:tc>
                <w:tcPr>
                  <w:tcW w:w="706" w:type="dxa"/>
                  <w:shd w:val="clear" w:color="auto" w:fill="auto"/>
                  <w:vAlign w:val="center"/>
                </w:tcPr>
                <w:p w14:paraId="2A8C2D9A">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10P</w:t>
                  </w:r>
                </w:p>
              </w:tc>
              <w:tc>
                <w:tcPr>
                  <w:tcW w:w="690" w:type="dxa"/>
                  <w:shd w:val="clear" w:color="auto" w:fill="auto"/>
                  <w:vAlign w:val="center"/>
                </w:tcPr>
                <w:p w14:paraId="5BEF4374">
                  <w:pPr>
                    <w:jc w:val="center"/>
                    <w:rPr>
                      <w:rFonts w:hint="default" w:ascii="Times New Roman" w:hAnsi="Times New Roman" w:eastAsia="宋体" w:cs="Times New Roman"/>
                      <w:sz w:val="18"/>
                      <w:szCs w:val="18"/>
                      <w:highlight w:val="none"/>
                      <w:lang w:val="en-US" w:eastAsia="zh-CN"/>
                    </w:rPr>
                  </w:pPr>
                  <w:r>
                    <w:rPr>
                      <w:rFonts w:hint="eastAsia" w:ascii="Times New Roman" w:hAnsi="Times New Roman" w:eastAsia="宋体" w:cs="Times New Roman"/>
                      <w:sz w:val="18"/>
                      <w:szCs w:val="18"/>
                      <w:highlight w:val="none"/>
                      <w:lang w:val="en-US" w:eastAsia="zh-CN"/>
                    </w:rPr>
                    <w:t>1</w:t>
                  </w:r>
                </w:p>
              </w:tc>
              <w:tc>
                <w:tcPr>
                  <w:tcW w:w="705" w:type="dxa"/>
                  <w:shd w:val="clear" w:color="auto" w:fill="auto"/>
                  <w:vAlign w:val="center"/>
                </w:tcPr>
                <w:p w14:paraId="557377D4">
                  <w:pPr>
                    <w:overflowPunct w:val="0"/>
                    <w:jc w:val="center"/>
                    <w:rPr>
                      <w:rFonts w:hint="eastAsia"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7</w:t>
                  </w:r>
                  <w:r>
                    <w:rPr>
                      <w:rFonts w:hint="eastAsia" w:cs="Times New Roman"/>
                      <w:sz w:val="18"/>
                      <w:szCs w:val="18"/>
                      <w:highlight w:val="none"/>
                      <w:lang w:val="en-US" w:bidi="zh-CN"/>
                    </w:rPr>
                    <w:t>5</w:t>
                  </w:r>
                </w:p>
              </w:tc>
              <w:tc>
                <w:tcPr>
                  <w:tcW w:w="510" w:type="dxa"/>
                  <w:vMerge w:val="continue"/>
                  <w:shd w:val="clear" w:color="auto" w:fill="auto"/>
                  <w:vAlign w:val="center"/>
                </w:tcPr>
                <w:p w14:paraId="56369FB5">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334AB514">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34</w:t>
                  </w:r>
                </w:p>
              </w:tc>
              <w:tc>
                <w:tcPr>
                  <w:tcW w:w="540" w:type="dxa"/>
                  <w:shd w:val="clear" w:color="auto" w:fill="auto"/>
                  <w:vAlign w:val="center"/>
                </w:tcPr>
                <w:p w14:paraId="34E5D285">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24</w:t>
                  </w:r>
                </w:p>
              </w:tc>
              <w:tc>
                <w:tcPr>
                  <w:tcW w:w="420" w:type="dxa"/>
                  <w:shd w:val="clear" w:color="auto" w:fill="auto"/>
                  <w:vAlign w:val="center"/>
                </w:tcPr>
                <w:p w14:paraId="55521FE3">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76AA11A5">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8</w:t>
                  </w:r>
                </w:p>
              </w:tc>
              <w:tc>
                <w:tcPr>
                  <w:tcW w:w="564" w:type="dxa"/>
                  <w:shd w:val="clear" w:color="auto" w:fill="auto"/>
                  <w:vAlign w:val="center"/>
                </w:tcPr>
                <w:p w14:paraId="57AF56AF">
                  <w:pPr>
                    <w:overflowPunct w:val="0"/>
                    <w:jc w:val="center"/>
                    <w:rPr>
                      <w:rFonts w:hint="default" w:cs="Times New Roman"/>
                      <w:sz w:val="18"/>
                      <w:szCs w:val="18"/>
                      <w:highlight w:val="none"/>
                      <w:lang w:val="en-US" w:bidi="zh-CN"/>
                    </w:rPr>
                  </w:pPr>
                  <w:r>
                    <w:rPr>
                      <w:rFonts w:hint="eastAsia" w:cs="Times New Roman"/>
                      <w:sz w:val="18"/>
                      <w:szCs w:val="18"/>
                      <w:highlight w:val="none"/>
                      <w:lang w:val="en-US" w:eastAsia="zh-CN" w:bidi="zh-CN"/>
                    </w:rPr>
                    <w:t xml:space="preserve">57 </w:t>
                  </w:r>
                </w:p>
              </w:tc>
              <w:tc>
                <w:tcPr>
                  <w:tcW w:w="564" w:type="dxa"/>
                  <w:shd w:val="clear" w:color="auto" w:fill="auto"/>
                  <w:vAlign w:val="center"/>
                </w:tcPr>
                <w:p w14:paraId="5A9E0C68">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40DAA861">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20</w:t>
                  </w:r>
                </w:p>
              </w:tc>
              <w:tc>
                <w:tcPr>
                  <w:tcW w:w="564" w:type="dxa"/>
                  <w:shd w:val="clear" w:color="auto" w:fill="auto"/>
                  <w:vAlign w:val="center"/>
                </w:tcPr>
                <w:p w14:paraId="699EDF45">
                  <w:pPr>
                    <w:overflowPunct w:val="0"/>
                    <w:jc w:val="center"/>
                    <w:rPr>
                      <w:rFonts w:hint="default" w:ascii="Times New Roman" w:hAnsi="Times New Roman" w:cs="Times New Roman"/>
                      <w:sz w:val="18"/>
                      <w:szCs w:val="18"/>
                      <w:highlight w:val="none"/>
                      <w:lang w:val="en-US"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1EDD79AF">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w:t>
                  </w:r>
                </w:p>
              </w:tc>
            </w:tr>
            <w:tr w14:paraId="6EEFA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3791A107">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6</w:t>
                  </w:r>
                </w:p>
              </w:tc>
              <w:tc>
                <w:tcPr>
                  <w:tcW w:w="519" w:type="dxa"/>
                  <w:vMerge w:val="continue"/>
                  <w:shd w:val="clear" w:color="auto" w:fill="auto"/>
                  <w:vAlign w:val="center"/>
                </w:tcPr>
                <w:p w14:paraId="463E2E00">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362C29C9">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混料机</w:t>
                  </w:r>
                </w:p>
              </w:tc>
              <w:tc>
                <w:tcPr>
                  <w:tcW w:w="706" w:type="dxa"/>
                  <w:shd w:val="clear" w:color="auto" w:fill="auto"/>
                  <w:vAlign w:val="center"/>
                </w:tcPr>
                <w:p w14:paraId="0C5B18FF">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500Kg</w:t>
                  </w:r>
                </w:p>
              </w:tc>
              <w:tc>
                <w:tcPr>
                  <w:tcW w:w="690" w:type="dxa"/>
                  <w:shd w:val="clear" w:color="auto" w:fill="auto"/>
                  <w:vAlign w:val="center"/>
                </w:tcPr>
                <w:p w14:paraId="775DABB9">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1</w:t>
                  </w:r>
                </w:p>
              </w:tc>
              <w:tc>
                <w:tcPr>
                  <w:tcW w:w="705" w:type="dxa"/>
                  <w:shd w:val="clear" w:color="auto" w:fill="auto"/>
                  <w:vAlign w:val="center"/>
                </w:tcPr>
                <w:p w14:paraId="4E14B123">
                  <w:pPr>
                    <w:overflowPunct w:val="0"/>
                    <w:jc w:val="center"/>
                    <w:rPr>
                      <w:rFonts w:hint="eastAsia"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7</w:t>
                  </w:r>
                  <w:r>
                    <w:rPr>
                      <w:rFonts w:hint="eastAsia" w:cs="Times New Roman"/>
                      <w:sz w:val="18"/>
                      <w:szCs w:val="18"/>
                      <w:highlight w:val="none"/>
                      <w:lang w:val="en-US" w:bidi="zh-CN"/>
                    </w:rPr>
                    <w:t>5</w:t>
                  </w:r>
                </w:p>
              </w:tc>
              <w:tc>
                <w:tcPr>
                  <w:tcW w:w="510" w:type="dxa"/>
                  <w:vMerge w:val="continue"/>
                  <w:shd w:val="clear" w:color="auto" w:fill="auto"/>
                  <w:vAlign w:val="center"/>
                </w:tcPr>
                <w:p w14:paraId="368FC9F1">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73148CFE">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38</w:t>
                  </w:r>
                </w:p>
              </w:tc>
              <w:tc>
                <w:tcPr>
                  <w:tcW w:w="540" w:type="dxa"/>
                  <w:shd w:val="clear" w:color="auto" w:fill="auto"/>
                  <w:vAlign w:val="center"/>
                </w:tcPr>
                <w:p w14:paraId="7ED3C7A3">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28</w:t>
                  </w:r>
                </w:p>
              </w:tc>
              <w:tc>
                <w:tcPr>
                  <w:tcW w:w="420" w:type="dxa"/>
                  <w:shd w:val="clear" w:color="auto" w:fill="auto"/>
                  <w:vAlign w:val="center"/>
                </w:tcPr>
                <w:p w14:paraId="510C478E">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3E675A91">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12</w:t>
                  </w:r>
                </w:p>
              </w:tc>
              <w:tc>
                <w:tcPr>
                  <w:tcW w:w="564" w:type="dxa"/>
                  <w:shd w:val="clear" w:color="auto" w:fill="auto"/>
                  <w:vAlign w:val="center"/>
                </w:tcPr>
                <w:p w14:paraId="1D2E4E29">
                  <w:pPr>
                    <w:overflowPunct w:val="0"/>
                    <w:jc w:val="center"/>
                    <w:rPr>
                      <w:rFonts w:hint="default" w:cs="Times New Roman"/>
                      <w:sz w:val="18"/>
                      <w:szCs w:val="18"/>
                      <w:highlight w:val="none"/>
                      <w:lang w:val="en-US" w:bidi="zh-CN"/>
                    </w:rPr>
                  </w:pPr>
                  <w:r>
                    <w:rPr>
                      <w:rFonts w:hint="eastAsia" w:cs="Times New Roman"/>
                      <w:sz w:val="18"/>
                      <w:szCs w:val="18"/>
                      <w:highlight w:val="none"/>
                      <w:lang w:val="en-US" w:eastAsia="zh-CN" w:bidi="zh-CN"/>
                    </w:rPr>
                    <w:t xml:space="preserve">53 </w:t>
                  </w:r>
                </w:p>
              </w:tc>
              <w:tc>
                <w:tcPr>
                  <w:tcW w:w="564" w:type="dxa"/>
                  <w:shd w:val="clear" w:color="auto" w:fill="auto"/>
                  <w:vAlign w:val="center"/>
                </w:tcPr>
                <w:p w14:paraId="4C94808D">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1255405C">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20</w:t>
                  </w:r>
                </w:p>
              </w:tc>
              <w:tc>
                <w:tcPr>
                  <w:tcW w:w="564" w:type="dxa"/>
                  <w:shd w:val="clear" w:color="auto" w:fill="auto"/>
                  <w:vAlign w:val="center"/>
                </w:tcPr>
                <w:p w14:paraId="0EB5C5BC">
                  <w:pPr>
                    <w:overflowPunct w:val="0"/>
                    <w:jc w:val="center"/>
                    <w:rPr>
                      <w:rFonts w:hint="default" w:ascii="Times New Roman" w:hAnsi="Times New Roman" w:cs="Times New Roman"/>
                      <w:sz w:val="18"/>
                      <w:szCs w:val="18"/>
                      <w:highlight w:val="none"/>
                      <w:lang w:val="en-US"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2BE3AA76">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w:t>
                  </w:r>
                </w:p>
              </w:tc>
            </w:tr>
            <w:tr w14:paraId="553AA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46DB18CD">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kern w:val="2"/>
                      <w:sz w:val="18"/>
                      <w:szCs w:val="18"/>
                      <w:highlight w:val="none"/>
                      <w:lang w:val="en-US" w:eastAsia="zh-CN" w:bidi="ar-SA"/>
                    </w:rPr>
                    <w:t>7</w:t>
                  </w:r>
                </w:p>
              </w:tc>
              <w:tc>
                <w:tcPr>
                  <w:tcW w:w="519" w:type="dxa"/>
                  <w:vMerge w:val="continue"/>
                  <w:shd w:val="clear" w:color="auto" w:fill="auto"/>
                  <w:vAlign w:val="center"/>
                </w:tcPr>
                <w:p w14:paraId="5590D654">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17419FF9">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混料机</w:t>
                  </w:r>
                </w:p>
              </w:tc>
              <w:tc>
                <w:tcPr>
                  <w:tcW w:w="706" w:type="dxa"/>
                  <w:shd w:val="clear" w:color="auto" w:fill="auto"/>
                  <w:vAlign w:val="center"/>
                </w:tcPr>
                <w:p w14:paraId="14853745">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500Kg</w:t>
                  </w:r>
                </w:p>
              </w:tc>
              <w:tc>
                <w:tcPr>
                  <w:tcW w:w="690" w:type="dxa"/>
                  <w:shd w:val="clear" w:color="auto" w:fill="auto"/>
                  <w:vAlign w:val="center"/>
                </w:tcPr>
                <w:p w14:paraId="4A89C150">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1</w:t>
                  </w:r>
                </w:p>
              </w:tc>
              <w:tc>
                <w:tcPr>
                  <w:tcW w:w="705" w:type="dxa"/>
                  <w:shd w:val="clear" w:color="auto" w:fill="auto"/>
                  <w:vAlign w:val="center"/>
                </w:tcPr>
                <w:p w14:paraId="1040B9EF">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7</w:t>
                  </w:r>
                  <w:r>
                    <w:rPr>
                      <w:rFonts w:hint="eastAsia" w:cs="Times New Roman"/>
                      <w:sz w:val="18"/>
                      <w:szCs w:val="18"/>
                      <w:highlight w:val="none"/>
                      <w:lang w:val="en-US" w:bidi="zh-CN"/>
                    </w:rPr>
                    <w:t>5</w:t>
                  </w:r>
                </w:p>
              </w:tc>
              <w:tc>
                <w:tcPr>
                  <w:tcW w:w="510" w:type="dxa"/>
                  <w:vMerge w:val="continue"/>
                  <w:shd w:val="clear" w:color="auto" w:fill="auto"/>
                  <w:vAlign w:val="center"/>
                </w:tcPr>
                <w:p w14:paraId="32ACD756">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157C6CB5">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40</w:t>
                  </w:r>
                </w:p>
              </w:tc>
              <w:tc>
                <w:tcPr>
                  <w:tcW w:w="540" w:type="dxa"/>
                  <w:shd w:val="clear" w:color="auto" w:fill="auto"/>
                  <w:vAlign w:val="center"/>
                </w:tcPr>
                <w:p w14:paraId="0D26D940">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28</w:t>
                  </w:r>
                </w:p>
              </w:tc>
              <w:tc>
                <w:tcPr>
                  <w:tcW w:w="420" w:type="dxa"/>
                  <w:shd w:val="clear" w:color="auto" w:fill="auto"/>
                  <w:vAlign w:val="center"/>
                </w:tcPr>
                <w:p w14:paraId="6B1D8226">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0496277D">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12</w:t>
                  </w:r>
                </w:p>
              </w:tc>
              <w:tc>
                <w:tcPr>
                  <w:tcW w:w="564" w:type="dxa"/>
                  <w:shd w:val="clear" w:color="auto" w:fill="auto"/>
                  <w:vAlign w:val="center"/>
                </w:tcPr>
                <w:p w14:paraId="31F7D33B">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eastAsia="zh-CN" w:bidi="zh-CN"/>
                    </w:rPr>
                    <w:t xml:space="preserve">53 </w:t>
                  </w:r>
                </w:p>
              </w:tc>
              <w:tc>
                <w:tcPr>
                  <w:tcW w:w="564" w:type="dxa"/>
                  <w:shd w:val="clear" w:color="auto" w:fill="auto"/>
                  <w:vAlign w:val="center"/>
                </w:tcPr>
                <w:p w14:paraId="69C524B4">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478C2EBA">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20</w:t>
                  </w:r>
                </w:p>
              </w:tc>
              <w:tc>
                <w:tcPr>
                  <w:tcW w:w="564" w:type="dxa"/>
                  <w:shd w:val="clear" w:color="auto" w:fill="auto"/>
                  <w:vAlign w:val="center"/>
                </w:tcPr>
                <w:p w14:paraId="1E067888">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2CB3B4AE">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1</w:t>
                  </w:r>
                </w:p>
              </w:tc>
            </w:tr>
            <w:tr w14:paraId="59916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24139437">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8</w:t>
                  </w:r>
                </w:p>
              </w:tc>
              <w:tc>
                <w:tcPr>
                  <w:tcW w:w="519" w:type="dxa"/>
                  <w:vMerge w:val="continue"/>
                  <w:shd w:val="clear" w:color="auto" w:fill="auto"/>
                  <w:vAlign w:val="center"/>
                </w:tcPr>
                <w:p w14:paraId="0284E7AC">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173C7874">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上料机</w:t>
                  </w:r>
                </w:p>
              </w:tc>
              <w:tc>
                <w:tcPr>
                  <w:tcW w:w="706" w:type="dxa"/>
                  <w:shd w:val="clear" w:color="auto" w:fill="auto"/>
                  <w:vAlign w:val="center"/>
                </w:tcPr>
                <w:p w14:paraId="4AF9A762">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w:t>
                  </w:r>
                </w:p>
              </w:tc>
              <w:tc>
                <w:tcPr>
                  <w:tcW w:w="690" w:type="dxa"/>
                  <w:shd w:val="clear" w:color="auto" w:fill="auto"/>
                  <w:vAlign w:val="center"/>
                </w:tcPr>
                <w:p w14:paraId="68743A85">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1</w:t>
                  </w:r>
                </w:p>
              </w:tc>
              <w:tc>
                <w:tcPr>
                  <w:tcW w:w="705" w:type="dxa"/>
                  <w:shd w:val="clear" w:color="auto" w:fill="auto"/>
                  <w:vAlign w:val="center"/>
                </w:tcPr>
                <w:p w14:paraId="5957551E">
                  <w:pPr>
                    <w:overflowPunct w:val="0"/>
                    <w:jc w:val="center"/>
                    <w:rPr>
                      <w:rFonts w:hint="eastAsia"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70</w:t>
                  </w:r>
                </w:p>
              </w:tc>
              <w:tc>
                <w:tcPr>
                  <w:tcW w:w="510" w:type="dxa"/>
                  <w:vMerge w:val="continue"/>
                  <w:shd w:val="clear" w:color="auto" w:fill="auto"/>
                  <w:vAlign w:val="center"/>
                </w:tcPr>
                <w:p w14:paraId="6023AB9E">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6F07D1F0">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36</w:t>
                  </w:r>
                </w:p>
              </w:tc>
              <w:tc>
                <w:tcPr>
                  <w:tcW w:w="540" w:type="dxa"/>
                  <w:shd w:val="clear" w:color="auto" w:fill="auto"/>
                  <w:vAlign w:val="center"/>
                </w:tcPr>
                <w:p w14:paraId="782D4910">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32</w:t>
                  </w:r>
                </w:p>
              </w:tc>
              <w:tc>
                <w:tcPr>
                  <w:tcW w:w="420" w:type="dxa"/>
                  <w:shd w:val="clear" w:color="auto" w:fill="auto"/>
                  <w:vAlign w:val="center"/>
                </w:tcPr>
                <w:p w14:paraId="55D3787A">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481647A2">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13</w:t>
                  </w:r>
                </w:p>
              </w:tc>
              <w:tc>
                <w:tcPr>
                  <w:tcW w:w="564" w:type="dxa"/>
                  <w:shd w:val="clear" w:color="auto" w:fill="auto"/>
                  <w:vAlign w:val="center"/>
                </w:tcPr>
                <w:p w14:paraId="1F011E9E">
                  <w:pPr>
                    <w:overflowPunct w:val="0"/>
                    <w:jc w:val="center"/>
                    <w:rPr>
                      <w:rFonts w:hint="default" w:cs="Times New Roman"/>
                      <w:sz w:val="18"/>
                      <w:szCs w:val="18"/>
                      <w:highlight w:val="none"/>
                      <w:lang w:val="en-US" w:bidi="zh-CN"/>
                    </w:rPr>
                  </w:pPr>
                  <w:r>
                    <w:rPr>
                      <w:rFonts w:hint="eastAsia" w:cs="Times New Roman"/>
                      <w:sz w:val="18"/>
                      <w:szCs w:val="18"/>
                      <w:highlight w:val="none"/>
                      <w:lang w:val="en-US" w:eastAsia="zh-CN" w:bidi="zh-CN"/>
                    </w:rPr>
                    <w:t xml:space="preserve">48 </w:t>
                  </w:r>
                </w:p>
              </w:tc>
              <w:tc>
                <w:tcPr>
                  <w:tcW w:w="564" w:type="dxa"/>
                  <w:shd w:val="clear" w:color="auto" w:fill="auto"/>
                  <w:vAlign w:val="center"/>
                </w:tcPr>
                <w:p w14:paraId="710FAA77">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35D2F548">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20</w:t>
                  </w:r>
                </w:p>
              </w:tc>
              <w:tc>
                <w:tcPr>
                  <w:tcW w:w="564" w:type="dxa"/>
                  <w:shd w:val="clear" w:color="auto" w:fill="auto"/>
                  <w:vAlign w:val="center"/>
                </w:tcPr>
                <w:p w14:paraId="09CFAD94">
                  <w:pPr>
                    <w:overflowPunct w:val="0"/>
                    <w:jc w:val="center"/>
                    <w:rPr>
                      <w:rFonts w:hint="default" w:ascii="Times New Roman" w:hAnsi="Times New Roman" w:cs="Times New Roman"/>
                      <w:sz w:val="18"/>
                      <w:szCs w:val="18"/>
                      <w:highlight w:val="none"/>
                      <w:lang w:val="en-US"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23930606">
                  <w:pPr>
                    <w:overflowPunct w:val="0"/>
                    <w:jc w:val="center"/>
                    <w:rPr>
                      <w:rFonts w:hint="default" w:ascii="Times New Roman" w:hAnsi="Times New Roman" w:cs="Times New Roman"/>
                      <w:sz w:val="18"/>
                      <w:szCs w:val="18"/>
                      <w:highlight w:val="none"/>
                      <w:lang w:val="en-US" w:bidi="zh-CN"/>
                    </w:rPr>
                  </w:pPr>
                  <w:r>
                    <w:rPr>
                      <w:rFonts w:hint="eastAsia" w:cs="Times New Roman"/>
                      <w:sz w:val="18"/>
                      <w:szCs w:val="18"/>
                      <w:highlight w:val="none"/>
                      <w:lang w:val="en-US" w:bidi="zh-CN"/>
                    </w:rPr>
                    <w:t>1</w:t>
                  </w:r>
                </w:p>
              </w:tc>
            </w:tr>
            <w:tr w14:paraId="7865F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61DD2451">
                  <w:pPr>
                    <w:jc w:val="center"/>
                    <w:rPr>
                      <w:rFonts w:hint="default" w:cs="Times New Roman"/>
                      <w:sz w:val="18"/>
                      <w:szCs w:val="18"/>
                      <w:highlight w:val="none"/>
                      <w:lang w:val="en-US" w:eastAsia="zh-CN"/>
                    </w:rPr>
                  </w:pPr>
                  <w:r>
                    <w:rPr>
                      <w:rFonts w:hint="eastAsia" w:cs="Times New Roman"/>
                      <w:sz w:val="18"/>
                      <w:szCs w:val="18"/>
                      <w:highlight w:val="none"/>
                      <w:lang w:val="en-US" w:eastAsia="zh-CN"/>
                    </w:rPr>
                    <w:t>9</w:t>
                  </w:r>
                </w:p>
              </w:tc>
              <w:tc>
                <w:tcPr>
                  <w:tcW w:w="519" w:type="dxa"/>
                  <w:shd w:val="clear" w:color="auto" w:fill="auto"/>
                  <w:vAlign w:val="center"/>
                </w:tcPr>
                <w:p w14:paraId="700AD3E6">
                  <w:pPr>
                    <w:jc w:val="center"/>
                    <w:rPr>
                      <w:rFonts w:hint="default" w:ascii="Times New Roman" w:hAnsi="Times New Roman" w:eastAsia="宋体" w:cs="Times New Roman"/>
                      <w:sz w:val="18"/>
                      <w:szCs w:val="18"/>
                      <w:highlight w:val="none"/>
                      <w:lang w:val="en-US" w:eastAsia="zh-CN"/>
                    </w:rPr>
                  </w:pPr>
                </w:p>
              </w:tc>
              <w:tc>
                <w:tcPr>
                  <w:tcW w:w="706" w:type="dxa"/>
                  <w:shd w:val="clear" w:color="auto" w:fill="auto"/>
                  <w:vAlign w:val="center"/>
                </w:tcPr>
                <w:p w14:paraId="592254AD">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上料机</w:t>
                  </w:r>
                </w:p>
              </w:tc>
              <w:tc>
                <w:tcPr>
                  <w:tcW w:w="706" w:type="dxa"/>
                  <w:shd w:val="clear" w:color="auto" w:fill="auto"/>
                  <w:vAlign w:val="center"/>
                </w:tcPr>
                <w:p w14:paraId="038B48C5">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sz w:val="18"/>
                      <w:szCs w:val="18"/>
                      <w:highlight w:val="none"/>
                      <w:lang w:val="en-US" w:eastAsia="zh-CN"/>
                    </w:rPr>
                    <w:t>-</w:t>
                  </w:r>
                </w:p>
              </w:tc>
              <w:tc>
                <w:tcPr>
                  <w:tcW w:w="690" w:type="dxa"/>
                  <w:shd w:val="clear" w:color="auto" w:fill="auto"/>
                  <w:vAlign w:val="center"/>
                </w:tcPr>
                <w:p w14:paraId="4B5F9685">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1</w:t>
                  </w:r>
                </w:p>
              </w:tc>
              <w:tc>
                <w:tcPr>
                  <w:tcW w:w="705" w:type="dxa"/>
                  <w:shd w:val="clear" w:color="auto" w:fill="auto"/>
                  <w:vAlign w:val="center"/>
                </w:tcPr>
                <w:p w14:paraId="5AEBA8C2">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70</w:t>
                  </w:r>
                </w:p>
              </w:tc>
              <w:tc>
                <w:tcPr>
                  <w:tcW w:w="510" w:type="dxa"/>
                  <w:shd w:val="clear" w:color="auto" w:fill="auto"/>
                  <w:vAlign w:val="center"/>
                </w:tcPr>
                <w:p w14:paraId="0C73A8C4">
                  <w:pPr>
                    <w:overflowPunct w:val="0"/>
                    <w:jc w:val="center"/>
                    <w:rPr>
                      <w:rFonts w:hint="eastAsia"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7CF432DD">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38</w:t>
                  </w:r>
                </w:p>
              </w:tc>
              <w:tc>
                <w:tcPr>
                  <w:tcW w:w="540" w:type="dxa"/>
                  <w:shd w:val="clear" w:color="auto" w:fill="auto"/>
                  <w:vAlign w:val="center"/>
                </w:tcPr>
                <w:p w14:paraId="512D5293">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32</w:t>
                  </w:r>
                </w:p>
              </w:tc>
              <w:tc>
                <w:tcPr>
                  <w:tcW w:w="420" w:type="dxa"/>
                  <w:shd w:val="clear" w:color="auto" w:fill="auto"/>
                  <w:vAlign w:val="center"/>
                </w:tcPr>
                <w:p w14:paraId="6EB3B896">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62C88E3A">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13</w:t>
                  </w:r>
                </w:p>
              </w:tc>
              <w:tc>
                <w:tcPr>
                  <w:tcW w:w="564" w:type="dxa"/>
                  <w:shd w:val="clear" w:color="auto" w:fill="auto"/>
                  <w:vAlign w:val="center"/>
                </w:tcPr>
                <w:p w14:paraId="338C724E">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eastAsia="zh-CN" w:bidi="zh-CN"/>
                    </w:rPr>
                    <w:t xml:space="preserve">48 </w:t>
                  </w:r>
                </w:p>
              </w:tc>
              <w:tc>
                <w:tcPr>
                  <w:tcW w:w="564" w:type="dxa"/>
                  <w:shd w:val="clear" w:color="auto" w:fill="auto"/>
                  <w:vAlign w:val="center"/>
                </w:tcPr>
                <w:p w14:paraId="45B8C5D9">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66434F1B">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20</w:t>
                  </w:r>
                </w:p>
              </w:tc>
              <w:tc>
                <w:tcPr>
                  <w:tcW w:w="564" w:type="dxa"/>
                  <w:shd w:val="clear" w:color="auto" w:fill="auto"/>
                  <w:vAlign w:val="center"/>
                </w:tcPr>
                <w:p w14:paraId="14427556">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ascii="Times New Roman" w:hAnsi="Times New Roman" w:cs="Times New Roman"/>
                      <w:sz w:val="18"/>
                      <w:szCs w:val="18"/>
                      <w:highlight w:val="none"/>
                      <w:lang w:val="en-US" w:eastAsia="zh-CN" w:bidi="zh-CN"/>
                    </w:rPr>
                    <w:t xml:space="preserve">43 </w:t>
                  </w:r>
                </w:p>
              </w:tc>
              <w:tc>
                <w:tcPr>
                  <w:tcW w:w="564" w:type="dxa"/>
                  <w:shd w:val="clear" w:color="auto" w:fill="auto"/>
                  <w:vAlign w:val="center"/>
                </w:tcPr>
                <w:p w14:paraId="02437D85">
                  <w:pPr>
                    <w:overflowPunct w:val="0"/>
                    <w:jc w:val="center"/>
                    <w:rPr>
                      <w:rFonts w:hint="eastAsia" w:ascii="Times New Roman" w:hAnsi="Times New Roman" w:eastAsia="宋体" w:cs="Times New Roman"/>
                      <w:kern w:val="2"/>
                      <w:sz w:val="18"/>
                      <w:szCs w:val="18"/>
                      <w:highlight w:val="none"/>
                      <w:lang w:val="en-US" w:eastAsia="zh-CN" w:bidi="zh-CN"/>
                    </w:rPr>
                  </w:pPr>
                  <w:r>
                    <w:rPr>
                      <w:rFonts w:hint="eastAsia" w:cs="Times New Roman"/>
                      <w:sz w:val="18"/>
                      <w:szCs w:val="18"/>
                      <w:highlight w:val="none"/>
                      <w:lang w:val="en-US" w:bidi="zh-CN"/>
                    </w:rPr>
                    <w:t>1</w:t>
                  </w:r>
                </w:p>
              </w:tc>
            </w:tr>
          </w:tbl>
          <w:p w14:paraId="2B6EA716">
            <w:pPr>
              <w:spacing w:line="360" w:lineRule="auto"/>
              <w:jc w:val="center"/>
              <w:rPr>
                <w:rFonts w:hint="eastAsia" w:ascii="Times New Roman" w:hAnsi="Times New Roman" w:eastAsia="宋体" w:cs="Times New Roman"/>
                <w:b/>
                <w:bCs/>
                <w:color w:val="000000"/>
                <w:sz w:val="24"/>
                <w:highlight w:val="none"/>
                <w:lang w:eastAsia="zh-CN"/>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6</w:t>
            </w:r>
            <w:r>
              <w:rPr>
                <w:rFonts w:hint="default" w:ascii="Times New Roman" w:hAnsi="Times New Roman" w:cs="Times New Roman"/>
                <w:b/>
                <w:bCs/>
                <w:color w:val="000000"/>
                <w:sz w:val="24"/>
                <w:highlight w:val="none"/>
              </w:rPr>
              <w:t xml:space="preserve">  工业企业</w:t>
            </w:r>
            <w:r>
              <w:rPr>
                <w:rFonts w:hint="eastAsia" w:cs="Times New Roman"/>
                <w:b/>
                <w:bCs/>
                <w:color w:val="000000"/>
                <w:sz w:val="24"/>
                <w:highlight w:val="none"/>
                <w:lang w:eastAsia="zh-CN"/>
              </w:rPr>
              <w:t>噪声</w:t>
            </w:r>
            <w:r>
              <w:rPr>
                <w:rFonts w:hint="eastAsia" w:cs="Times New Roman"/>
                <w:b/>
                <w:bCs/>
                <w:color w:val="000000"/>
                <w:sz w:val="24"/>
                <w:highlight w:val="none"/>
                <w:lang w:val="en-US" w:eastAsia="zh-CN"/>
              </w:rPr>
              <w:t>源强</w:t>
            </w:r>
            <w:r>
              <w:rPr>
                <w:rFonts w:hint="default" w:ascii="Times New Roman" w:hAnsi="Times New Roman" w:cs="Times New Roman"/>
                <w:b/>
                <w:bCs/>
                <w:color w:val="000000"/>
                <w:sz w:val="24"/>
                <w:highlight w:val="none"/>
              </w:rPr>
              <w:t>调查清单</w:t>
            </w: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室外声源</w:t>
            </w:r>
            <w:r>
              <w:rPr>
                <w:rFonts w:hint="eastAsia" w:cs="Times New Roman"/>
                <w:b/>
                <w:bCs/>
                <w:color w:val="000000"/>
                <w:sz w:val="24"/>
                <w:highlight w:val="none"/>
                <w:lang w:eastAsia="zh-CN"/>
              </w:rPr>
              <w:t>）</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9"/>
              <w:gridCol w:w="1083"/>
              <w:gridCol w:w="1083"/>
              <w:gridCol w:w="1024"/>
              <w:gridCol w:w="610"/>
              <w:gridCol w:w="542"/>
              <w:gridCol w:w="577"/>
              <w:gridCol w:w="1122"/>
              <w:gridCol w:w="1941"/>
              <w:gridCol w:w="679"/>
            </w:tblGrid>
            <w:tr w14:paraId="438F5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Merge w:val="restart"/>
                  <w:vAlign w:val="center"/>
                </w:tcPr>
                <w:p w14:paraId="0D5F0FDE">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序号</w:t>
                  </w:r>
                </w:p>
              </w:tc>
              <w:tc>
                <w:tcPr>
                  <w:tcW w:w="1083" w:type="dxa"/>
                  <w:vMerge w:val="restart"/>
                  <w:vAlign w:val="center"/>
                </w:tcPr>
                <w:p w14:paraId="16645F51">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声源名称</w:t>
                  </w:r>
                </w:p>
              </w:tc>
              <w:tc>
                <w:tcPr>
                  <w:tcW w:w="1083" w:type="dxa"/>
                  <w:vMerge w:val="restart"/>
                  <w:vAlign w:val="center"/>
                </w:tcPr>
                <w:p w14:paraId="1CAF606E">
                  <w:pPr>
                    <w:overflowPunct w:val="0"/>
                    <w:jc w:val="center"/>
                    <w:rPr>
                      <w:rFonts w:hint="default" w:ascii="Times New Roman" w:hAnsi="Times New Roman" w:cs="Times New Roman"/>
                      <w:szCs w:val="21"/>
                      <w:highlight w:val="none"/>
                      <w:lang w:val="en-US" w:bidi="zh-CN"/>
                    </w:rPr>
                  </w:pPr>
                  <w:r>
                    <w:rPr>
                      <w:rFonts w:hint="eastAsia" w:cs="Times New Roman"/>
                      <w:szCs w:val="21"/>
                      <w:highlight w:val="none"/>
                      <w:lang w:val="en-US" w:bidi="zh-CN"/>
                    </w:rPr>
                    <w:t>型号</w:t>
                  </w:r>
                </w:p>
              </w:tc>
              <w:tc>
                <w:tcPr>
                  <w:tcW w:w="1024" w:type="dxa"/>
                  <w:vMerge w:val="restart"/>
                  <w:vAlign w:val="center"/>
                </w:tcPr>
                <w:p w14:paraId="326A1C8D">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w:t>
                  </w:r>
                </w:p>
                <w:p w14:paraId="54F5E1F9">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数量</w:t>
                  </w:r>
                </w:p>
                <w:p w14:paraId="6CBBB74A">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（台/套）</w:t>
                  </w:r>
                </w:p>
              </w:tc>
              <w:tc>
                <w:tcPr>
                  <w:tcW w:w="1729" w:type="dxa"/>
                  <w:gridSpan w:val="3"/>
                  <w:vAlign w:val="center"/>
                </w:tcPr>
                <w:p w14:paraId="64C5FDA2">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空间相对位置/m</w:t>
                  </w:r>
                </w:p>
              </w:tc>
              <w:tc>
                <w:tcPr>
                  <w:tcW w:w="1122" w:type="dxa"/>
                  <w:vAlign w:val="center"/>
                </w:tcPr>
                <w:p w14:paraId="20D66769">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声源源强</w:t>
                  </w:r>
                </w:p>
              </w:tc>
              <w:tc>
                <w:tcPr>
                  <w:tcW w:w="1941" w:type="dxa"/>
                  <w:vMerge w:val="restart"/>
                  <w:vAlign w:val="center"/>
                </w:tcPr>
                <w:p w14:paraId="71BB18AB">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声源控制措施</w:t>
                  </w:r>
                </w:p>
              </w:tc>
              <w:tc>
                <w:tcPr>
                  <w:tcW w:w="679" w:type="dxa"/>
                  <w:vMerge w:val="restart"/>
                  <w:vAlign w:val="center"/>
                </w:tcPr>
                <w:p w14:paraId="6AC17EB0">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运行时段</w:t>
                  </w:r>
                </w:p>
              </w:tc>
            </w:tr>
            <w:tr w14:paraId="7BAF6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Merge w:val="continue"/>
                  <w:vAlign w:val="center"/>
                </w:tcPr>
                <w:p w14:paraId="6CA16B6A">
                  <w:pPr>
                    <w:overflowPunct w:val="0"/>
                    <w:jc w:val="center"/>
                    <w:rPr>
                      <w:rFonts w:hint="default" w:ascii="Times New Roman" w:hAnsi="Times New Roman" w:cs="Times New Roman"/>
                      <w:szCs w:val="21"/>
                      <w:highlight w:val="none"/>
                      <w:lang w:bidi="zh-CN"/>
                    </w:rPr>
                  </w:pPr>
                </w:p>
              </w:tc>
              <w:tc>
                <w:tcPr>
                  <w:tcW w:w="1083" w:type="dxa"/>
                  <w:vMerge w:val="continue"/>
                  <w:vAlign w:val="center"/>
                </w:tcPr>
                <w:p w14:paraId="66D90531">
                  <w:pPr>
                    <w:overflowPunct w:val="0"/>
                    <w:jc w:val="center"/>
                    <w:rPr>
                      <w:rFonts w:hint="default" w:ascii="Times New Roman" w:hAnsi="Times New Roman" w:cs="Times New Roman"/>
                      <w:szCs w:val="21"/>
                      <w:highlight w:val="none"/>
                      <w:lang w:bidi="zh-CN"/>
                    </w:rPr>
                  </w:pPr>
                </w:p>
              </w:tc>
              <w:tc>
                <w:tcPr>
                  <w:tcW w:w="1083" w:type="dxa"/>
                  <w:vMerge w:val="continue"/>
                  <w:vAlign w:val="center"/>
                </w:tcPr>
                <w:p w14:paraId="1390DC6D">
                  <w:pPr>
                    <w:overflowPunct w:val="0"/>
                    <w:jc w:val="center"/>
                    <w:rPr>
                      <w:rFonts w:hint="default" w:ascii="Times New Roman" w:hAnsi="Times New Roman" w:cs="Times New Roman"/>
                      <w:szCs w:val="21"/>
                      <w:highlight w:val="none"/>
                      <w:lang w:bidi="zh-CN"/>
                    </w:rPr>
                  </w:pPr>
                </w:p>
              </w:tc>
              <w:tc>
                <w:tcPr>
                  <w:tcW w:w="1024" w:type="dxa"/>
                  <w:vMerge w:val="continue"/>
                  <w:vAlign w:val="center"/>
                </w:tcPr>
                <w:p w14:paraId="22C86ED2">
                  <w:pPr>
                    <w:overflowPunct w:val="0"/>
                    <w:jc w:val="center"/>
                    <w:rPr>
                      <w:rFonts w:hint="default" w:ascii="Times New Roman" w:hAnsi="Times New Roman" w:cs="Times New Roman"/>
                      <w:szCs w:val="21"/>
                      <w:highlight w:val="none"/>
                      <w:lang w:bidi="zh-CN"/>
                    </w:rPr>
                  </w:pPr>
                </w:p>
              </w:tc>
              <w:tc>
                <w:tcPr>
                  <w:tcW w:w="610" w:type="dxa"/>
                  <w:vAlign w:val="center"/>
                </w:tcPr>
                <w:p w14:paraId="3D5F2189">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X</w:t>
                  </w:r>
                </w:p>
              </w:tc>
              <w:tc>
                <w:tcPr>
                  <w:tcW w:w="542" w:type="dxa"/>
                  <w:vAlign w:val="center"/>
                </w:tcPr>
                <w:p w14:paraId="3C3BB06E">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Y</w:t>
                  </w:r>
                </w:p>
              </w:tc>
              <w:tc>
                <w:tcPr>
                  <w:tcW w:w="577" w:type="dxa"/>
                  <w:vAlign w:val="center"/>
                </w:tcPr>
                <w:p w14:paraId="36DCB464">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Z</w:t>
                  </w:r>
                </w:p>
              </w:tc>
              <w:tc>
                <w:tcPr>
                  <w:tcW w:w="1122" w:type="dxa"/>
                  <w:vAlign w:val="center"/>
                </w:tcPr>
                <w:p w14:paraId="523525D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声功率级/dB（A）</w:t>
                  </w:r>
                </w:p>
              </w:tc>
              <w:tc>
                <w:tcPr>
                  <w:tcW w:w="1941" w:type="dxa"/>
                  <w:vMerge w:val="continue"/>
                  <w:vAlign w:val="center"/>
                </w:tcPr>
                <w:p w14:paraId="172F6019">
                  <w:pPr>
                    <w:overflowPunct w:val="0"/>
                    <w:jc w:val="center"/>
                    <w:rPr>
                      <w:rFonts w:hint="default" w:ascii="Times New Roman" w:hAnsi="Times New Roman" w:cs="Times New Roman"/>
                      <w:szCs w:val="21"/>
                      <w:highlight w:val="none"/>
                      <w:lang w:bidi="zh-CN"/>
                    </w:rPr>
                  </w:pPr>
                </w:p>
              </w:tc>
              <w:tc>
                <w:tcPr>
                  <w:tcW w:w="679" w:type="dxa"/>
                  <w:vMerge w:val="continue"/>
                  <w:vAlign w:val="center"/>
                </w:tcPr>
                <w:p w14:paraId="38E06F72">
                  <w:pPr>
                    <w:overflowPunct w:val="0"/>
                    <w:jc w:val="center"/>
                    <w:rPr>
                      <w:rFonts w:hint="default" w:ascii="Times New Roman" w:hAnsi="Times New Roman" w:cs="Times New Roman"/>
                      <w:szCs w:val="21"/>
                      <w:highlight w:val="none"/>
                      <w:lang w:bidi="zh-CN"/>
                    </w:rPr>
                  </w:pPr>
                </w:p>
              </w:tc>
            </w:tr>
            <w:tr w14:paraId="3886F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shd w:val="clear" w:color="auto" w:fill="auto"/>
                  <w:vAlign w:val="center"/>
                </w:tcPr>
                <w:p w14:paraId="5357A9A8">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7</w:t>
                  </w:r>
                </w:p>
              </w:tc>
              <w:tc>
                <w:tcPr>
                  <w:tcW w:w="1083" w:type="dxa"/>
                  <w:shd w:val="clear" w:color="auto" w:fill="auto"/>
                  <w:vAlign w:val="center"/>
                </w:tcPr>
                <w:p w14:paraId="7600EBA0">
                  <w:pPr>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DA001排气筒风机</w:t>
                  </w:r>
                </w:p>
              </w:tc>
              <w:tc>
                <w:tcPr>
                  <w:tcW w:w="1083" w:type="dxa"/>
                  <w:shd w:val="clear" w:color="auto" w:fill="auto"/>
                  <w:vAlign w:val="center"/>
                </w:tcPr>
                <w:p w14:paraId="68A5AFF9">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6000m</w:t>
                  </w:r>
                  <w:r>
                    <w:rPr>
                      <w:rFonts w:hint="eastAsia" w:cs="Times New Roman"/>
                      <w:szCs w:val="21"/>
                      <w:highlight w:val="none"/>
                      <w:vertAlign w:val="superscript"/>
                      <w:lang w:val="en-US" w:eastAsia="zh-CN"/>
                    </w:rPr>
                    <w:t>3</w:t>
                  </w:r>
                  <w:r>
                    <w:rPr>
                      <w:rFonts w:hint="eastAsia" w:cs="Times New Roman"/>
                      <w:szCs w:val="21"/>
                      <w:highlight w:val="none"/>
                      <w:lang w:val="en-US" w:eastAsia="zh-CN"/>
                    </w:rPr>
                    <w:t>/h</w:t>
                  </w:r>
                </w:p>
              </w:tc>
              <w:tc>
                <w:tcPr>
                  <w:tcW w:w="1024" w:type="dxa"/>
                  <w:shd w:val="clear" w:color="auto" w:fill="auto"/>
                  <w:vAlign w:val="center"/>
                </w:tcPr>
                <w:p w14:paraId="0D272198">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1</w:t>
                  </w:r>
                </w:p>
              </w:tc>
              <w:tc>
                <w:tcPr>
                  <w:tcW w:w="610" w:type="dxa"/>
                  <w:shd w:val="clear" w:color="auto" w:fill="auto"/>
                  <w:vAlign w:val="center"/>
                </w:tcPr>
                <w:p w14:paraId="29955484">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32</w:t>
                  </w:r>
                </w:p>
              </w:tc>
              <w:tc>
                <w:tcPr>
                  <w:tcW w:w="542" w:type="dxa"/>
                  <w:shd w:val="clear" w:color="auto" w:fill="auto"/>
                  <w:vAlign w:val="center"/>
                </w:tcPr>
                <w:p w14:paraId="4B3B8789">
                  <w:pPr>
                    <w:overflowPunct w:val="0"/>
                    <w:jc w:val="center"/>
                    <w:rPr>
                      <w:rFonts w:hint="default" w:ascii="Times New Roman" w:hAnsi="Times New Roman" w:eastAsia="宋体" w:cs="Times New Roman"/>
                      <w:kern w:val="2"/>
                      <w:sz w:val="21"/>
                      <w:szCs w:val="21"/>
                      <w:highlight w:val="none"/>
                      <w:lang w:val="en-US" w:eastAsia="zh-CN" w:bidi="zh-CN"/>
                    </w:rPr>
                  </w:pPr>
                  <w:r>
                    <w:rPr>
                      <w:rFonts w:hint="eastAsia" w:cs="Times New Roman"/>
                      <w:szCs w:val="21"/>
                      <w:highlight w:val="none"/>
                      <w:lang w:val="en-US" w:bidi="zh-CN"/>
                    </w:rPr>
                    <w:t>34</w:t>
                  </w:r>
                </w:p>
              </w:tc>
              <w:tc>
                <w:tcPr>
                  <w:tcW w:w="577" w:type="dxa"/>
                  <w:shd w:val="clear" w:color="auto" w:fill="auto"/>
                  <w:vAlign w:val="center"/>
                </w:tcPr>
                <w:p w14:paraId="41B9BC36">
                  <w:pPr>
                    <w:overflowPunct w:val="0"/>
                    <w:jc w:val="center"/>
                    <w:rPr>
                      <w:rFonts w:hint="default" w:ascii="Times New Roman" w:hAnsi="Times New Roman" w:eastAsia="宋体" w:cs="Times New Roman"/>
                      <w:kern w:val="2"/>
                      <w:sz w:val="21"/>
                      <w:szCs w:val="21"/>
                      <w:highlight w:val="none"/>
                      <w:lang w:val="en-US" w:eastAsia="zh-CN" w:bidi="zh-CN"/>
                    </w:rPr>
                  </w:pPr>
                  <w:r>
                    <w:rPr>
                      <w:rFonts w:hint="eastAsia" w:cs="Times New Roman"/>
                      <w:szCs w:val="21"/>
                      <w:highlight w:val="none"/>
                      <w:lang w:val="en-US" w:bidi="zh-CN"/>
                    </w:rPr>
                    <w:t>1</w:t>
                  </w:r>
                </w:p>
              </w:tc>
              <w:tc>
                <w:tcPr>
                  <w:tcW w:w="1122" w:type="dxa"/>
                  <w:shd w:val="clear" w:color="auto" w:fill="auto"/>
                  <w:vAlign w:val="center"/>
                </w:tcPr>
                <w:p w14:paraId="42DC86E9">
                  <w:pPr>
                    <w:overflowPunct w:val="0"/>
                    <w:jc w:val="center"/>
                    <w:rPr>
                      <w:rFonts w:hint="default" w:ascii="Times New Roman" w:hAnsi="Times New Roman" w:eastAsia="宋体" w:cs="Times New Roman"/>
                      <w:kern w:val="2"/>
                      <w:sz w:val="21"/>
                      <w:szCs w:val="21"/>
                      <w:highlight w:val="none"/>
                      <w:lang w:val="en-US" w:eastAsia="zh-CN" w:bidi="zh-CN"/>
                    </w:rPr>
                  </w:pPr>
                  <w:r>
                    <w:rPr>
                      <w:rFonts w:hint="eastAsia" w:cs="Times New Roman"/>
                      <w:szCs w:val="21"/>
                      <w:highlight w:val="none"/>
                      <w:lang w:val="en-US" w:bidi="zh-CN"/>
                    </w:rPr>
                    <w:t>80</w:t>
                  </w:r>
                </w:p>
              </w:tc>
              <w:tc>
                <w:tcPr>
                  <w:tcW w:w="1941" w:type="dxa"/>
                  <w:shd w:val="clear" w:color="auto" w:fill="auto"/>
                  <w:vAlign w:val="center"/>
                </w:tcPr>
                <w:p w14:paraId="21963AB0">
                  <w:pPr>
                    <w:overflowPunct w:val="0"/>
                    <w:jc w:val="center"/>
                    <w:rPr>
                      <w:rFonts w:hint="default" w:ascii="Times New Roman" w:hAnsi="Times New Roman" w:eastAsia="宋体" w:cs="Times New Roman"/>
                      <w:kern w:val="2"/>
                      <w:sz w:val="21"/>
                      <w:szCs w:val="21"/>
                      <w:highlight w:val="none"/>
                      <w:lang w:val="en-US" w:eastAsia="zh-CN" w:bidi="zh-CN"/>
                    </w:rPr>
                  </w:pPr>
                  <w:r>
                    <w:rPr>
                      <w:rFonts w:hint="default" w:ascii="Times New Roman" w:hAnsi="Times New Roman" w:cs="Times New Roman"/>
                      <w:szCs w:val="21"/>
                      <w:highlight w:val="none"/>
                      <w:lang w:bidi="zh-CN"/>
                    </w:rPr>
                    <w:t>基础减振、消声</w:t>
                  </w:r>
                </w:p>
              </w:tc>
              <w:tc>
                <w:tcPr>
                  <w:tcW w:w="679" w:type="dxa"/>
                  <w:shd w:val="clear" w:color="auto" w:fill="auto"/>
                  <w:vAlign w:val="center"/>
                </w:tcPr>
                <w:p w14:paraId="0EAFF3F1">
                  <w:pPr>
                    <w:overflowPunct w:val="0"/>
                    <w:jc w:val="center"/>
                    <w:rPr>
                      <w:rFonts w:hint="default" w:ascii="Times New Roman" w:hAnsi="Times New Roman" w:eastAsia="宋体" w:cs="Times New Roman"/>
                      <w:kern w:val="2"/>
                      <w:sz w:val="21"/>
                      <w:szCs w:val="21"/>
                      <w:highlight w:val="none"/>
                      <w:lang w:val="en-US" w:eastAsia="zh-CN" w:bidi="zh-CN"/>
                    </w:rPr>
                  </w:pPr>
                  <w:r>
                    <w:rPr>
                      <w:rFonts w:hint="default" w:ascii="Times New Roman" w:hAnsi="Times New Roman" w:cs="Times New Roman"/>
                      <w:szCs w:val="21"/>
                      <w:highlight w:val="none"/>
                      <w:lang w:bidi="zh-CN"/>
                    </w:rPr>
                    <w:t>昼间</w:t>
                  </w:r>
                </w:p>
              </w:tc>
            </w:tr>
          </w:tbl>
          <w:p w14:paraId="23D98CE1">
            <w:pPr>
              <w:widowControl/>
              <w:spacing w:line="360" w:lineRule="auto"/>
              <w:ind w:firstLine="482" w:firstLineChars="200"/>
              <w:jc w:val="left"/>
              <w:rPr>
                <w:rFonts w:hint="default" w:ascii="Times New Roman" w:hAnsi="Times New Roman" w:cs="Times New Roman"/>
                <w:b/>
                <w:bCs/>
                <w:color w:val="000000"/>
                <w:kern w:val="0"/>
                <w:sz w:val="24"/>
                <w:highlight w:val="none"/>
                <w:lang w:bidi="ar"/>
              </w:rPr>
            </w:pPr>
            <w:r>
              <w:rPr>
                <w:rFonts w:hint="default" w:ascii="Times New Roman" w:hAnsi="Times New Roman" w:cs="Times New Roman"/>
                <w:b/>
                <w:bCs/>
                <w:color w:val="000000"/>
                <w:kern w:val="0"/>
                <w:sz w:val="24"/>
                <w:highlight w:val="none"/>
                <w:lang w:bidi="ar"/>
              </w:rPr>
              <w:t>2、噪声影响预测分析</w:t>
            </w:r>
          </w:p>
          <w:p w14:paraId="6BFE4E8E">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（1）预测方法</w:t>
            </w:r>
          </w:p>
          <w:p w14:paraId="16188DFB">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本次评价采用《环境影响评价技术导则 声环境》（HJ2.4-2021）中推荐的模式进行预测</w:t>
            </w:r>
            <w:r>
              <w:rPr>
                <w:rFonts w:hint="eastAsia" w:cs="Times New Roman"/>
                <w:color w:val="000000"/>
                <w:highlight w:val="none"/>
                <w:lang w:eastAsia="zh-CN"/>
              </w:rPr>
              <w:t>，采</w:t>
            </w:r>
            <w:r>
              <w:rPr>
                <w:rFonts w:hint="default" w:ascii="Times New Roman" w:hAnsi="Times New Roman" w:cs="Times New Roman"/>
                <w:color w:val="000000"/>
                <w:highlight w:val="none"/>
              </w:rPr>
              <w:t>用A声级计算，模式如下：</w:t>
            </w:r>
          </w:p>
          <w:p w14:paraId="470B9B58">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①由建设项目自身声源在预测点产生的声级，噪声贡献值（L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计算公式：</w:t>
            </w:r>
          </w:p>
          <w:p w14:paraId="23534B8C">
            <w:pPr>
              <w:spacing w:line="360" w:lineRule="auto"/>
              <w:ind w:firstLine="1200" w:firstLineChars="500"/>
              <w:rPr>
                <w:rFonts w:hint="default" w:ascii="Times New Roman" w:hAnsi="Times New Roman" w:cs="Times New Roman"/>
                <w:color w:val="000000"/>
                <w:sz w:val="24"/>
                <w:highlight w:val="none"/>
              </w:rPr>
            </w:pPr>
            <w:r>
              <w:rPr>
                <w:rFonts w:hint="default" w:ascii="Times New Roman" w:hAnsi="Times New Roman" w:cs="Times New Roman"/>
                <w:color w:val="000000"/>
                <w:position w:val="-28"/>
                <w:sz w:val="24"/>
                <w:highlight w:val="none"/>
              </w:rPr>
              <w:object>
                <v:shape id="_x0000_i1029" o:spt="75" type="#_x0000_t75" style="height:33.3pt;width:131.1pt;" o:ole="t" filled="f" o:preferrelative="t" stroked="f" coordsize="21600,21600">
                  <v:path/>
                  <v:fill on="f" focussize="0,0"/>
                  <v:stroke on="f" joinstyle="miter"/>
                  <v:imagedata r:id="rId27" o:title=""/>
                  <o:lock v:ext="edit" aspectratio="t"/>
                  <w10:wrap type="none"/>
                  <w10:anchorlock/>
                </v:shape>
                <o:OLEObject Type="Embed" ProgID="Equation.3" ShapeID="_x0000_i1029" DrawAspect="Content" ObjectID="_1468075729" r:id="rId26">
                  <o:LockedField>false</o:LockedField>
                </o:OLEObject>
              </w:object>
            </w:r>
          </w:p>
          <w:p w14:paraId="4D8605C3">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—噪声贡献值，dB；</w:t>
            </w:r>
          </w:p>
          <w:p w14:paraId="2997E3C1">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T—预测计算的时间段，s；</w:t>
            </w:r>
          </w:p>
          <w:p w14:paraId="43093BC1">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t</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—i声源在T时段内的运行时间，s；</w:t>
            </w:r>
          </w:p>
          <w:p w14:paraId="54463061">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Ai</w:t>
            </w:r>
            <w:r>
              <w:rPr>
                <w:rFonts w:hint="default" w:ascii="Times New Roman" w:hAnsi="Times New Roman" w:cs="Times New Roman"/>
                <w:color w:val="000000"/>
                <w:highlight w:val="none"/>
              </w:rPr>
              <w:t>—i声源在预测点产生的等效连续A声级，dB。</w:t>
            </w:r>
          </w:p>
          <w:p w14:paraId="23BAEE34">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②预测点的贡献值和背景值按能量叠加方法计算得到的声级。</w:t>
            </w:r>
          </w:p>
          <w:p w14:paraId="5551091F">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噪声预测值（L</w:t>
            </w:r>
            <w:r>
              <w:rPr>
                <w:rFonts w:hint="default" w:ascii="Times New Roman" w:hAnsi="Times New Roman" w:cs="Times New Roman"/>
                <w:color w:val="000000"/>
                <w:highlight w:val="none"/>
                <w:vertAlign w:val="subscript"/>
              </w:rPr>
              <w:t>eq）</w:t>
            </w:r>
            <w:r>
              <w:rPr>
                <w:rFonts w:hint="default" w:ascii="Times New Roman" w:hAnsi="Times New Roman" w:cs="Times New Roman"/>
                <w:color w:val="000000"/>
                <w:highlight w:val="none"/>
              </w:rPr>
              <w:t>计算公式：</w:t>
            </w:r>
          </w:p>
          <w:p w14:paraId="20D7C800">
            <w:pPr>
              <w:spacing w:line="360" w:lineRule="auto"/>
              <w:ind w:firstLine="1200" w:firstLineChars="500"/>
              <w:rPr>
                <w:rFonts w:hint="default" w:ascii="Times New Roman" w:hAnsi="Times New Roman" w:cs="Times New Roman"/>
                <w:color w:val="000000"/>
                <w:sz w:val="24"/>
                <w:highlight w:val="none"/>
              </w:rPr>
            </w:pPr>
            <w:r>
              <w:rPr>
                <w:rFonts w:hint="default" w:ascii="Times New Roman" w:hAnsi="Times New Roman" w:cs="Times New Roman"/>
                <w:color w:val="000000"/>
                <w:position w:val="-14"/>
                <w:sz w:val="24"/>
                <w:highlight w:val="none"/>
              </w:rPr>
              <w:object>
                <v:shape id="_x0000_i1030" o:spt="75" type="#_x0000_t75" style="height:21.05pt;width:141.3pt;" o:ole="t" filled="f" o:preferrelative="t" stroked="f" coordsize="21600,21600">
                  <v:path/>
                  <v:fill on="f" focussize="0,0"/>
                  <v:stroke on="f" joinstyle="miter"/>
                  <v:imagedata r:id="rId29" o:title=""/>
                  <o:lock v:ext="edit" aspectratio="t"/>
                  <w10:wrap type="none"/>
                  <w10:anchorlock/>
                </v:shape>
                <o:OLEObject Type="Embed" ProgID="Equation.3" ShapeID="_x0000_i1030" DrawAspect="Content" ObjectID="_1468075730" r:id="rId28">
                  <o:LockedField>false</o:LockedField>
                </o:OLEObject>
              </w:object>
            </w:r>
          </w:p>
          <w:p w14:paraId="11206465">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color w:val="000000"/>
                <w:highlight w:val="none"/>
              </w:rPr>
              <w:tab/>
            </w: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eq</w:t>
            </w:r>
            <w:r>
              <w:rPr>
                <w:rFonts w:hint="default" w:ascii="Times New Roman" w:hAnsi="Times New Roman" w:cs="Times New Roman"/>
                <w:color w:val="000000"/>
                <w:highlight w:val="none"/>
              </w:rPr>
              <w:t>—预测点的噪声预测值，dB；</w:t>
            </w:r>
          </w:p>
          <w:p w14:paraId="22B8399B">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—建设项目声源在预测点产生的噪声贡献值，dB；</w:t>
            </w:r>
          </w:p>
          <w:p w14:paraId="1086AAA8">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eqb</w:t>
            </w:r>
            <w:r>
              <w:rPr>
                <w:rFonts w:hint="default" w:ascii="Times New Roman" w:hAnsi="Times New Roman" w:cs="Times New Roman"/>
                <w:color w:val="000000"/>
                <w:highlight w:val="none"/>
              </w:rPr>
              <w:t>—预测点的背景噪声值，dB。</w:t>
            </w:r>
          </w:p>
          <w:p w14:paraId="194D9D1D">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③户外声传播衰减计算</w:t>
            </w:r>
          </w:p>
          <w:p w14:paraId="51913036">
            <w:pPr>
              <w:pStyle w:val="17"/>
              <w:adjustRightInd w:val="0"/>
              <w:spacing w:after="0" w:line="360" w:lineRule="auto"/>
              <w:ind w:firstLine="720" w:firstLineChars="300"/>
              <w:rPr>
                <w:rFonts w:hint="default" w:ascii="Times New Roman" w:hAnsi="Times New Roman" w:cs="Times New Roman"/>
                <w:color w:val="000000"/>
                <w:szCs w:val="24"/>
                <w:highlight w:val="none"/>
              </w:rPr>
            </w:pPr>
            <w:r>
              <w:rPr>
                <w:rFonts w:hint="default" w:ascii="Times New Roman" w:hAnsi="Times New Roman" w:cs="Times New Roman"/>
                <w:color w:val="000000"/>
                <w:position w:val="-14"/>
                <w:szCs w:val="24"/>
                <w:highlight w:val="none"/>
              </w:rPr>
              <w:object>
                <v:shape id="_x0000_i1031" o:spt="75" type="#_x0000_t75" style="height:19pt;width:254.7pt;" o:ole="t" filled="f" o:preferrelative="t" stroked="f" coordsize="21600,21600">
                  <v:path/>
                  <v:fill on="f" focussize="0,0"/>
                  <v:stroke on="f" joinstyle="miter"/>
                  <v:imagedata r:id="rId31" o:title=""/>
                  <o:lock v:ext="edit" aspectratio="t"/>
                  <w10:wrap type="none"/>
                  <w10:anchorlock/>
                </v:shape>
                <o:OLEObject Type="Embed" ProgID="Equation.3" ShapeID="_x0000_i1031" DrawAspect="Content" ObjectID="_1468075731" r:id="rId30">
                  <o:LockedField>false</o:LockedField>
                </o:OLEObject>
              </w:object>
            </w:r>
          </w:p>
          <w:p w14:paraId="49F356D1">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color w:val="000000"/>
                <w:position w:val="-10"/>
                <w:highlight w:val="none"/>
              </w:rPr>
              <w:object>
                <v:shape id="_x0000_i1032" o:spt="75" type="#_x0000_t75" style="height:16.3pt;width:29.2pt;" o:ole="t" filled="f" o:preferrelative="t" stroked="f" coordsize="21600,21600">
                  <v:path/>
                  <v:fill on="f" focussize="0,0"/>
                  <v:stroke on="f" joinstyle="miter"/>
                  <v:imagedata r:id="rId33" o:title=""/>
                  <o:lock v:ext="edit" aspectratio="t"/>
                  <w10:wrap type="none"/>
                  <w10:anchorlock/>
                </v:shape>
                <o:OLEObject Type="Embed" ProgID="Equation.3" ShapeID="_x0000_i1032" DrawAspect="Content" ObjectID="_1468075732" r:id="rId32">
                  <o:LockedField>false</o:LockedField>
                </o:OLEObject>
              </w:object>
            </w:r>
            <w:r>
              <w:rPr>
                <w:rFonts w:hint="default" w:ascii="Times New Roman" w:hAnsi="Times New Roman" w:cs="Times New Roman"/>
                <w:color w:val="000000"/>
                <w:highlight w:val="none"/>
              </w:rPr>
              <w:t>―预测点处声压级，dB；</w:t>
            </w:r>
          </w:p>
          <w:p w14:paraId="1756698B">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33" o:spt="75" type="#_x0000_t75" style="height:17.65pt;width:31.9pt;" o:ole="t" filled="f" o:preferrelative="t" stroked="f" coordsize="21600,21600">
                  <v:path/>
                  <v:fill on="f" focussize="0,0"/>
                  <v:stroke on="f" joinstyle="miter"/>
                  <v:imagedata r:id="rId35" o:title=""/>
                  <o:lock v:ext="edit" aspectratio="t"/>
                  <w10:wrap type="none"/>
                  <w10:anchorlock/>
                </v:shape>
                <o:OLEObject Type="Embed" ProgID="Equation.3" ShapeID="_x0000_i1033" DrawAspect="Content" ObjectID="_1468075733" r:id="rId34">
                  <o:LockedField>false</o:LockedField>
                </o:OLEObject>
              </w:object>
            </w:r>
            <w:r>
              <w:rPr>
                <w:rFonts w:hint="default" w:ascii="Times New Roman" w:hAnsi="Times New Roman" w:cs="Times New Roman"/>
                <w:color w:val="000000"/>
                <w:highlight w:val="none"/>
              </w:rPr>
              <w:t>―参考位置r</w:t>
            </w:r>
            <w:r>
              <w:rPr>
                <w:rFonts w:hint="default" w:ascii="Times New Roman" w:hAnsi="Times New Roman" w:cs="Times New Roman"/>
                <w:color w:val="000000"/>
                <w:highlight w:val="none"/>
                <w:vertAlign w:val="subscript"/>
              </w:rPr>
              <w:t>0</w:t>
            </w:r>
            <w:r>
              <w:rPr>
                <w:rFonts w:hint="default" w:ascii="Times New Roman" w:hAnsi="Times New Roman" w:cs="Times New Roman"/>
                <w:color w:val="000000"/>
                <w:highlight w:val="none"/>
              </w:rPr>
              <w:t>处的声压级，dB；</w:t>
            </w:r>
          </w:p>
          <w:p w14:paraId="691BB643">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D</w:t>
            </w:r>
            <w:r>
              <w:rPr>
                <w:rFonts w:hint="default" w:ascii="Times New Roman" w:hAnsi="Times New Roman" w:cs="Times New Roman"/>
                <w:color w:val="000000"/>
                <w:highlight w:val="none"/>
                <w:vertAlign w:val="subscript"/>
              </w:rPr>
              <w:t>C</w:t>
            </w:r>
            <w:r>
              <w:rPr>
                <w:rFonts w:hint="default" w:ascii="Times New Roman" w:hAnsi="Times New Roman" w:cs="Times New Roman"/>
                <w:color w:val="000000"/>
                <w:highlight w:val="none"/>
              </w:rPr>
              <w:t>―指向性校正，它描述点声源的等效连续声压级与产生声功率级Lw的全向点声源在规定方向的声级的偏差程度，dB；</w:t>
            </w:r>
          </w:p>
          <w:p w14:paraId="672C0E17">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div</w:t>
            </w:r>
            <w:r>
              <w:rPr>
                <w:rFonts w:hint="default" w:ascii="Times New Roman" w:hAnsi="Times New Roman" w:cs="Times New Roman"/>
                <w:color w:val="000000"/>
                <w:highlight w:val="none"/>
              </w:rPr>
              <w:t>―几何发散引起的衰减，dB；</w:t>
            </w:r>
          </w:p>
          <w:p w14:paraId="20257BD2">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atm</w:t>
            </w:r>
            <w:r>
              <w:rPr>
                <w:rFonts w:hint="default" w:ascii="Times New Roman" w:hAnsi="Times New Roman" w:cs="Times New Roman"/>
                <w:color w:val="000000"/>
                <w:highlight w:val="none"/>
              </w:rPr>
              <w:t>－大气吸收引起的衰减，dB；</w:t>
            </w:r>
          </w:p>
          <w:p w14:paraId="590BFD9B">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gr</w:t>
            </w:r>
            <w:r>
              <w:rPr>
                <w:rFonts w:hint="default" w:ascii="Times New Roman" w:hAnsi="Times New Roman" w:cs="Times New Roman"/>
                <w:color w:val="000000"/>
                <w:highlight w:val="none"/>
              </w:rPr>
              <w:t>－地面效应引起的衰减，dB；</w:t>
            </w:r>
          </w:p>
          <w:p w14:paraId="3C0D06BD">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bar</w:t>
            </w:r>
            <w:r>
              <w:rPr>
                <w:rFonts w:hint="default" w:ascii="Times New Roman" w:hAnsi="Times New Roman" w:cs="Times New Roman"/>
                <w:color w:val="000000"/>
                <w:highlight w:val="none"/>
              </w:rPr>
              <w:t>－障碍物屏蔽引起的衰减，dB；</w:t>
            </w:r>
          </w:p>
          <w:p w14:paraId="5AC85BEC">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misc</w:t>
            </w:r>
            <w:r>
              <w:rPr>
                <w:rFonts w:hint="default" w:ascii="Times New Roman" w:hAnsi="Times New Roman" w:cs="Times New Roman"/>
                <w:color w:val="000000"/>
                <w:highlight w:val="none"/>
              </w:rPr>
              <w:t>－其他多方面效应引起的衰减，dB。</w:t>
            </w:r>
          </w:p>
          <w:p w14:paraId="537B4FB7">
            <w:pPr>
              <w:spacing w:line="360" w:lineRule="auto"/>
              <w:ind w:firstLine="1680" w:firstLineChars="700"/>
              <w:rPr>
                <w:rFonts w:hint="default" w:ascii="Times New Roman" w:hAnsi="Times New Roman" w:cs="Times New Roman"/>
                <w:color w:val="000000"/>
                <w:sz w:val="24"/>
                <w:highlight w:val="none"/>
              </w:rPr>
            </w:pPr>
            <w:r>
              <w:rPr>
                <w:rFonts w:hint="default" w:ascii="Times New Roman" w:hAnsi="Times New Roman" w:cs="Times New Roman"/>
                <w:color w:val="000000"/>
                <w:position w:val="-30"/>
                <w:sz w:val="24"/>
                <w:highlight w:val="none"/>
              </w:rPr>
              <w:object>
                <v:shape id="_x0000_i1034" o:spt="75" type="#_x0000_t75" style="height:36pt;width:146.05pt;" o:ole="t" filled="f" o:preferrelative="t" stroked="f" coordsize="21600,21600">
                  <v:path/>
                  <v:fill on="f" focussize="0,0"/>
                  <v:stroke on="f" joinstyle="miter"/>
                  <v:imagedata r:id="rId37" o:title=""/>
                  <o:lock v:ext="edit" aspectratio="t"/>
                  <w10:wrap type="none"/>
                  <w10:anchorlock/>
                </v:shape>
                <o:OLEObject Type="Embed" ProgID="Equation.3" ShapeID="_x0000_i1034" DrawAspect="Content" ObjectID="_1468075734" r:id="rId36">
                  <o:LockedField>false</o:LockedField>
                </o:OLEObject>
              </w:object>
            </w:r>
          </w:p>
          <w:p w14:paraId="3CADF74C">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color w:val="000000"/>
                <w:highlight w:val="none"/>
              </w:rPr>
              <w:object>
                <v:shape id="_x0000_i1035" o:spt="75" type="#_x0000_t75" style="height:17.65pt;width:30.55pt;" o:ole="t" filled="f" o:preferrelative="t" stroked="f" coordsize="21600,21600">
                  <v:path/>
                  <v:fill on="f" focussize="0,0"/>
                  <v:stroke on="f" joinstyle="miter"/>
                  <v:imagedata r:id="rId39" o:title=""/>
                  <o:lock v:ext="edit" aspectratio="t"/>
                  <w10:wrap type="none"/>
                  <w10:anchorlock/>
                </v:shape>
                <o:OLEObject Type="Embed" ProgID="Equation.3" ShapeID="_x0000_i1035" DrawAspect="Content" ObjectID="_1468075735" r:id="rId38">
                  <o:LockedField>false</o:LockedField>
                </o:OLEObject>
              </w:object>
            </w:r>
            <w:r>
              <w:rPr>
                <w:rFonts w:hint="default" w:ascii="Times New Roman" w:hAnsi="Times New Roman" w:cs="Times New Roman"/>
                <w:color w:val="000000"/>
                <w:highlight w:val="none"/>
              </w:rPr>
              <w:t>―距声源r处的A声级，dB（A）；</w:t>
            </w:r>
          </w:p>
          <w:p w14:paraId="78F4F3F3">
            <w:pPr>
              <w:pStyle w:val="268"/>
              <w:spacing w:line="360" w:lineRule="auto"/>
              <w:ind w:firstLine="1656" w:firstLineChars="69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pi</w:t>
            </w:r>
            <w:r>
              <w:rPr>
                <w:rFonts w:hint="eastAsia" w:cs="Times New Roman"/>
                <w:color w:val="000000"/>
                <w:highlight w:val="none"/>
                <w:lang w:eastAsia="zh-CN"/>
              </w:rPr>
              <w:t>（</w:t>
            </w:r>
            <w:r>
              <w:rPr>
                <w:rFonts w:hint="default" w:ascii="Times New Roman" w:hAnsi="Times New Roman" w:cs="Times New Roman"/>
                <w:color w:val="000000"/>
                <w:highlight w:val="none"/>
              </w:rPr>
              <w:t>r</w:t>
            </w:r>
            <w:r>
              <w:rPr>
                <w:rFonts w:hint="eastAsia" w:cs="Times New Roman"/>
                <w:color w:val="000000"/>
                <w:highlight w:val="none"/>
                <w:lang w:eastAsia="zh-CN"/>
              </w:rPr>
              <w:t>）</w:t>
            </w:r>
            <w:r>
              <w:rPr>
                <w:rFonts w:hint="default" w:ascii="Times New Roman" w:hAnsi="Times New Roman" w:cs="Times New Roman"/>
                <w:color w:val="000000"/>
                <w:highlight w:val="none"/>
              </w:rPr>
              <w:t>—预测点（r）处，第i倍频带声压级，dB；</w:t>
            </w:r>
          </w:p>
          <w:p w14:paraId="683FAD35">
            <w:pPr>
              <w:pStyle w:val="268"/>
              <w:spacing w:line="360" w:lineRule="auto"/>
              <w:ind w:left="482" w:firstLine="1140" w:firstLineChars="475"/>
              <w:rPr>
                <w:rFonts w:hint="default" w:ascii="Times New Roman" w:hAnsi="Times New Roman" w:cs="Times New Roman"/>
                <w:color w:val="000000"/>
                <w:highlight w:val="none"/>
              </w:rPr>
            </w:pPr>
            <w:r>
              <w:rPr>
                <w:rFonts w:hint="default" w:ascii="Times New Roman" w:hAnsi="Times New Roman" w:cs="Times New Roman"/>
                <w:color w:val="000000"/>
                <w:highlight w:val="none"/>
              </w:rPr>
              <w:t>ΔL</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—第i倍频带的A计权网络修正值，dB。</w:t>
            </w:r>
          </w:p>
          <w:p w14:paraId="6DE4B4E0">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④室内声源等效室外声源功率级计算方法</w:t>
            </w:r>
          </w:p>
          <w:p w14:paraId="79FBE16B">
            <w:pPr>
              <w:pStyle w:val="268"/>
              <w:spacing w:line="360" w:lineRule="auto"/>
              <w:ind w:firstLine="1056" w:firstLineChars="44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p2i</w:t>
            </w:r>
            <w:r>
              <w:rPr>
                <w:rFonts w:hint="eastAsia" w:cs="Times New Roman"/>
                <w:color w:val="000000"/>
                <w:highlight w:val="none"/>
                <w:lang w:eastAsia="zh-CN"/>
              </w:rPr>
              <w:t>（</w:t>
            </w:r>
            <w:r>
              <w:rPr>
                <w:rFonts w:hint="default" w:ascii="Times New Roman" w:hAnsi="Times New Roman" w:cs="Times New Roman"/>
                <w:color w:val="000000"/>
                <w:highlight w:val="none"/>
              </w:rPr>
              <w:t>T</w:t>
            </w:r>
            <w:r>
              <w:rPr>
                <w:rFonts w:hint="eastAsia" w:cs="Times New Roman"/>
                <w:color w:val="000000"/>
                <w:highlight w:val="none"/>
                <w:lang w:eastAsia="zh-CN"/>
              </w:rPr>
              <w:t>）</w:t>
            </w: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p1i</w:t>
            </w:r>
            <w:r>
              <w:rPr>
                <w:rFonts w:hint="eastAsia" w:cs="Times New Roman"/>
                <w:color w:val="000000"/>
                <w:highlight w:val="none"/>
                <w:lang w:eastAsia="zh-CN"/>
              </w:rPr>
              <w:t>（</w:t>
            </w:r>
            <w:r>
              <w:rPr>
                <w:rFonts w:hint="default" w:ascii="Times New Roman" w:hAnsi="Times New Roman" w:cs="Times New Roman"/>
                <w:color w:val="000000"/>
                <w:highlight w:val="none"/>
              </w:rPr>
              <w:t>T</w:t>
            </w:r>
            <w:r>
              <w:rPr>
                <w:rFonts w:hint="eastAsia" w:cs="Times New Roman"/>
                <w:color w:val="000000"/>
                <w:highlight w:val="none"/>
                <w:lang w:eastAsia="zh-CN"/>
              </w:rPr>
              <w:t>）</w:t>
            </w:r>
            <w:r>
              <w:rPr>
                <w:rFonts w:hint="default" w:ascii="Times New Roman" w:hAnsi="Times New Roman" w:cs="Times New Roman"/>
                <w:color w:val="000000"/>
                <w:highlight w:val="none"/>
              </w:rPr>
              <w:t>－（TL</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+6）</w:t>
            </w:r>
          </w:p>
          <w:p w14:paraId="4F03C360">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式中：L</w:t>
            </w:r>
            <w:r>
              <w:rPr>
                <w:rFonts w:hint="default" w:ascii="Times New Roman" w:hAnsi="Times New Roman" w:cs="Times New Roman"/>
                <w:color w:val="000000"/>
                <w:highlight w:val="none"/>
                <w:vertAlign w:val="subscript"/>
              </w:rPr>
              <w:t>p2i</w:t>
            </w:r>
            <w:r>
              <w:rPr>
                <w:rFonts w:hint="eastAsia" w:cs="Times New Roman"/>
                <w:color w:val="000000"/>
                <w:highlight w:val="none"/>
                <w:lang w:eastAsia="zh-CN"/>
              </w:rPr>
              <w:t>（</w:t>
            </w:r>
            <w:r>
              <w:rPr>
                <w:rFonts w:hint="default" w:ascii="Times New Roman" w:hAnsi="Times New Roman" w:cs="Times New Roman"/>
                <w:color w:val="000000"/>
                <w:highlight w:val="none"/>
              </w:rPr>
              <w:t>T</w:t>
            </w:r>
            <w:r>
              <w:rPr>
                <w:rFonts w:hint="eastAsia" w:cs="Times New Roman"/>
                <w:color w:val="000000"/>
                <w:highlight w:val="none"/>
                <w:lang w:eastAsia="zh-CN"/>
              </w:rPr>
              <w:t>）</w:t>
            </w:r>
            <w:r>
              <w:rPr>
                <w:rFonts w:hint="default" w:ascii="Times New Roman" w:hAnsi="Times New Roman" w:cs="Times New Roman"/>
                <w:color w:val="000000"/>
                <w:highlight w:val="none"/>
              </w:rPr>
              <w:t>—靠近围护结构处室外N个声源i倍频带的叠加声压级，dB；</w:t>
            </w:r>
          </w:p>
          <w:p w14:paraId="5E6B1D4E">
            <w:pPr>
              <w:pStyle w:val="268"/>
              <w:spacing w:line="360" w:lineRule="auto"/>
              <w:ind w:left="960" w:leftChars="457" w:firstLine="240" w:firstLineChars="1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p1i</w:t>
            </w:r>
            <w:r>
              <w:rPr>
                <w:rFonts w:hint="eastAsia" w:cs="Times New Roman"/>
                <w:color w:val="000000"/>
                <w:highlight w:val="none"/>
                <w:lang w:eastAsia="zh-CN"/>
              </w:rPr>
              <w:t>（</w:t>
            </w:r>
            <w:r>
              <w:rPr>
                <w:rFonts w:hint="default" w:ascii="Times New Roman" w:hAnsi="Times New Roman" w:cs="Times New Roman"/>
                <w:color w:val="000000"/>
                <w:highlight w:val="none"/>
              </w:rPr>
              <w:t>T</w:t>
            </w:r>
            <w:r>
              <w:rPr>
                <w:rFonts w:hint="eastAsia" w:cs="Times New Roman"/>
                <w:color w:val="000000"/>
                <w:highlight w:val="none"/>
                <w:lang w:eastAsia="zh-CN"/>
              </w:rPr>
              <w:t>）</w:t>
            </w:r>
            <w:r>
              <w:rPr>
                <w:rFonts w:hint="default" w:ascii="Times New Roman" w:hAnsi="Times New Roman" w:cs="Times New Roman"/>
                <w:color w:val="000000"/>
                <w:highlight w:val="none"/>
              </w:rPr>
              <w:t>—靠近围护结构处室内N个声源i倍频带的叠加声压级，dB；</w:t>
            </w:r>
          </w:p>
          <w:p w14:paraId="4E501499">
            <w:pPr>
              <w:pStyle w:val="26"/>
              <w:adjustRightInd w:val="0"/>
              <w:spacing w:after="0" w:line="360" w:lineRule="auto"/>
              <w:ind w:left="0" w:leftChars="0" w:firstLine="1200" w:firstLineChars="5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TL</w:t>
            </w:r>
            <w:r>
              <w:rPr>
                <w:rFonts w:hint="default" w:ascii="Times New Roman" w:hAnsi="Times New Roman" w:cs="Times New Roman"/>
                <w:color w:val="000000"/>
                <w:sz w:val="24"/>
                <w:highlight w:val="none"/>
                <w:vertAlign w:val="subscript"/>
              </w:rPr>
              <w:t>i</w:t>
            </w:r>
            <w:r>
              <w:rPr>
                <w:rFonts w:hint="default" w:ascii="Times New Roman" w:hAnsi="Times New Roman" w:cs="Times New Roman"/>
                <w:color w:val="000000"/>
                <w:sz w:val="24"/>
                <w:highlight w:val="none"/>
              </w:rPr>
              <w:t>—围护结构i倍频带的隔声量，dB。</w:t>
            </w:r>
          </w:p>
          <w:p w14:paraId="7133148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（2）预测结果</w:t>
            </w:r>
          </w:p>
          <w:p w14:paraId="4FA8B02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根据项目主要噪声源的位置，利用以上预测模式和参数计算确定了各主要噪声源对各厂界外1m处的噪声贡献情况。主要噪声源对各厂界的噪声预测结果与达标分析见下表。</w:t>
            </w:r>
          </w:p>
          <w:p w14:paraId="1579B756">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6</w:t>
            </w:r>
            <w:r>
              <w:rPr>
                <w:rFonts w:hint="default" w:ascii="Times New Roman" w:hAnsi="Times New Roman" w:cs="Times New Roman"/>
                <w:b/>
                <w:bCs/>
                <w:color w:val="000000"/>
                <w:sz w:val="24"/>
                <w:highlight w:val="none"/>
              </w:rPr>
              <w:t xml:space="preserve">  项目主要噪声源对各厂界噪声贡献情况表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868"/>
              <w:gridCol w:w="2680"/>
              <w:gridCol w:w="1394"/>
            </w:tblGrid>
            <w:tr w14:paraId="7C842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1" w:type="pct"/>
                  <w:vAlign w:val="center"/>
                </w:tcPr>
                <w:p w14:paraId="797B0D7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预测点位</w:t>
                  </w:r>
                </w:p>
              </w:tc>
              <w:tc>
                <w:tcPr>
                  <w:tcW w:w="1557" w:type="pct"/>
                  <w:vAlign w:val="center"/>
                </w:tcPr>
                <w:p w14:paraId="62EC9B0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贡献值dB（A）</w:t>
                  </w:r>
                </w:p>
              </w:tc>
              <w:tc>
                <w:tcPr>
                  <w:tcW w:w="1454" w:type="pct"/>
                  <w:vAlign w:val="center"/>
                </w:tcPr>
                <w:p w14:paraId="20E2764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标准值dB（A）</w:t>
                  </w:r>
                </w:p>
              </w:tc>
              <w:tc>
                <w:tcPr>
                  <w:tcW w:w="756" w:type="pct"/>
                  <w:vAlign w:val="center"/>
                </w:tcPr>
                <w:p w14:paraId="2AE05E0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是否达标</w:t>
                  </w:r>
                </w:p>
              </w:tc>
            </w:tr>
            <w:tr w14:paraId="7C359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744E559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昼间</w:t>
                  </w:r>
                </w:p>
              </w:tc>
            </w:tr>
            <w:tr w14:paraId="14C97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1" w:type="pct"/>
                  <w:vAlign w:val="center"/>
                </w:tcPr>
                <w:p w14:paraId="2FBB17B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1#东厂界</w:t>
                  </w:r>
                </w:p>
              </w:tc>
              <w:tc>
                <w:tcPr>
                  <w:tcW w:w="1557" w:type="pct"/>
                  <w:shd w:val="clear" w:color="auto" w:fill="auto"/>
                  <w:vAlign w:val="center"/>
                </w:tcPr>
                <w:p w14:paraId="37C7DEB3">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w:t>
                  </w:r>
                  <w:r>
                    <w:rPr>
                      <w:rFonts w:hint="eastAsia" w:cs="Times New Roman"/>
                      <w:color w:val="000000"/>
                      <w:kern w:val="0"/>
                      <w:szCs w:val="21"/>
                      <w:highlight w:val="none"/>
                      <w:lang w:val="en-US" w:eastAsia="zh-CN" w:bidi="ar"/>
                    </w:rPr>
                    <w:t>4</w:t>
                  </w:r>
                  <w:r>
                    <w:rPr>
                      <w:rFonts w:hint="default" w:ascii="Times New Roman" w:hAnsi="Times New Roman" w:cs="Times New Roman"/>
                      <w:color w:val="000000"/>
                      <w:kern w:val="0"/>
                      <w:szCs w:val="21"/>
                      <w:highlight w:val="none"/>
                      <w:lang w:bidi="ar"/>
                    </w:rPr>
                    <w:t>.7</w:t>
                  </w:r>
                </w:p>
              </w:tc>
              <w:tc>
                <w:tcPr>
                  <w:tcW w:w="1454" w:type="pct"/>
                  <w:vAlign w:val="center"/>
                </w:tcPr>
                <w:p w14:paraId="09B7395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60</w:t>
                  </w:r>
                </w:p>
              </w:tc>
              <w:tc>
                <w:tcPr>
                  <w:tcW w:w="756" w:type="pct"/>
                  <w:vAlign w:val="center"/>
                </w:tcPr>
                <w:p w14:paraId="551EAC6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26183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1" w:type="pct"/>
                  <w:vAlign w:val="center"/>
                </w:tcPr>
                <w:p w14:paraId="0FD274C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2#南厂界</w:t>
                  </w:r>
                </w:p>
              </w:tc>
              <w:tc>
                <w:tcPr>
                  <w:tcW w:w="1557" w:type="pct"/>
                  <w:shd w:val="clear" w:color="auto" w:fill="auto"/>
                  <w:vAlign w:val="center"/>
                </w:tcPr>
                <w:p w14:paraId="14C08B42">
                  <w:pPr>
                    <w:widowControl/>
                    <w:jc w:val="center"/>
                    <w:textAlignment w:val="center"/>
                    <w:rPr>
                      <w:rFonts w:hint="default" w:ascii="Times New Roman" w:hAnsi="Times New Roman" w:cs="Times New Roman"/>
                      <w:color w:val="000000"/>
                      <w:kern w:val="0"/>
                      <w:szCs w:val="21"/>
                      <w:highlight w:val="none"/>
                      <w:lang w:bidi="ar"/>
                    </w:rPr>
                  </w:pPr>
                  <w:r>
                    <w:rPr>
                      <w:rFonts w:hint="eastAsia" w:cs="Times New Roman"/>
                      <w:color w:val="000000"/>
                      <w:kern w:val="0"/>
                      <w:szCs w:val="21"/>
                      <w:highlight w:val="none"/>
                      <w:lang w:val="en-US" w:eastAsia="zh-CN" w:bidi="ar"/>
                    </w:rPr>
                    <w:t>40</w:t>
                  </w:r>
                  <w:r>
                    <w:rPr>
                      <w:rFonts w:hint="default" w:ascii="Times New Roman" w:hAnsi="Times New Roman" w:cs="Times New Roman"/>
                      <w:color w:val="000000"/>
                      <w:kern w:val="0"/>
                      <w:szCs w:val="21"/>
                      <w:highlight w:val="none"/>
                      <w:lang w:bidi="ar"/>
                    </w:rPr>
                    <w:t>.5</w:t>
                  </w:r>
                </w:p>
              </w:tc>
              <w:tc>
                <w:tcPr>
                  <w:tcW w:w="1454" w:type="pct"/>
                  <w:vAlign w:val="center"/>
                </w:tcPr>
                <w:p w14:paraId="39AB24D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60</w:t>
                  </w:r>
                </w:p>
              </w:tc>
              <w:tc>
                <w:tcPr>
                  <w:tcW w:w="756" w:type="pct"/>
                  <w:vAlign w:val="center"/>
                </w:tcPr>
                <w:p w14:paraId="75B118F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71339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1" w:type="pct"/>
                  <w:vAlign w:val="center"/>
                </w:tcPr>
                <w:p w14:paraId="0AE772E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3#西厂界</w:t>
                  </w:r>
                </w:p>
              </w:tc>
              <w:tc>
                <w:tcPr>
                  <w:tcW w:w="1557" w:type="pct"/>
                  <w:shd w:val="clear" w:color="auto" w:fill="auto"/>
                  <w:vAlign w:val="center"/>
                </w:tcPr>
                <w:p w14:paraId="3CE6E782">
                  <w:pPr>
                    <w:widowControl/>
                    <w:jc w:val="center"/>
                    <w:textAlignment w:val="center"/>
                    <w:rPr>
                      <w:rFonts w:hint="default" w:ascii="Times New Roman" w:hAnsi="Times New Roman" w:cs="Times New Roman"/>
                      <w:color w:val="000000"/>
                      <w:kern w:val="0"/>
                      <w:szCs w:val="21"/>
                      <w:highlight w:val="none"/>
                      <w:lang w:bidi="ar"/>
                    </w:rPr>
                  </w:pPr>
                  <w:r>
                    <w:rPr>
                      <w:rFonts w:hint="eastAsia" w:cs="Times New Roman"/>
                      <w:color w:val="000000"/>
                      <w:kern w:val="0"/>
                      <w:szCs w:val="21"/>
                      <w:highlight w:val="none"/>
                      <w:lang w:val="en-US" w:eastAsia="zh-CN" w:bidi="ar"/>
                    </w:rPr>
                    <w:t>2</w:t>
                  </w:r>
                  <w:r>
                    <w:rPr>
                      <w:rFonts w:hint="default" w:ascii="Times New Roman" w:hAnsi="Times New Roman" w:cs="Times New Roman"/>
                      <w:color w:val="000000"/>
                      <w:kern w:val="0"/>
                      <w:szCs w:val="21"/>
                      <w:highlight w:val="none"/>
                      <w:lang w:bidi="ar"/>
                    </w:rPr>
                    <w:t>8.3</w:t>
                  </w:r>
                </w:p>
              </w:tc>
              <w:tc>
                <w:tcPr>
                  <w:tcW w:w="1454" w:type="pct"/>
                  <w:vAlign w:val="center"/>
                </w:tcPr>
                <w:p w14:paraId="014C396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60</w:t>
                  </w:r>
                </w:p>
              </w:tc>
              <w:tc>
                <w:tcPr>
                  <w:tcW w:w="756" w:type="pct"/>
                  <w:vAlign w:val="center"/>
                </w:tcPr>
                <w:p w14:paraId="6442C95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44DB7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1" w:type="pct"/>
                  <w:vAlign w:val="center"/>
                </w:tcPr>
                <w:p w14:paraId="6332ED5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4#北厂界</w:t>
                  </w:r>
                </w:p>
              </w:tc>
              <w:tc>
                <w:tcPr>
                  <w:tcW w:w="1557" w:type="pct"/>
                  <w:shd w:val="clear" w:color="auto" w:fill="auto"/>
                  <w:vAlign w:val="center"/>
                </w:tcPr>
                <w:p w14:paraId="438D3B2F">
                  <w:pPr>
                    <w:widowControl/>
                    <w:jc w:val="center"/>
                    <w:textAlignment w:val="center"/>
                    <w:rPr>
                      <w:rFonts w:hint="default" w:ascii="Times New Roman" w:hAnsi="Times New Roman" w:cs="Times New Roman"/>
                      <w:color w:val="000000"/>
                      <w:kern w:val="0"/>
                      <w:szCs w:val="21"/>
                      <w:highlight w:val="none"/>
                      <w:lang w:bidi="ar"/>
                    </w:rPr>
                  </w:pPr>
                  <w:r>
                    <w:rPr>
                      <w:rFonts w:hint="eastAsia" w:cs="Times New Roman"/>
                      <w:color w:val="000000"/>
                      <w:kern w:val="0"/>
                      <w:szCs w:val="21"/>
                      <w:highlight w:val="none"/>
                      <w:lang w:val="en-US" w:eastAsia="zh-CN" w:bidi="ar"/>
                    </w:rPr>
                    <w:t>48.</w:t>
                  </w:r>
                  <w:r>
                    <w:rPr>
                      <w:rFonts w:hint="default" w:ascii="Times New Roman" w:hAnsi="Times New Roman" w:cs="Times New Roman"/>
                      <w:color w:val="000000"/>
                      <w:kern w:val="0"/>
                      <w:szCs w:val="21"/>
                      <w:highlight w:val="none"/>
                      <w:lang w:bidi="ar"/>
                    </w:rPr>
                    <w:t>4</w:t>
                  </w:r>
                </w:p>
              </w:tc>
              <w:tc>
                <w:tcPr>
                  <w:tcW w:w="1454" w:type="pct"/>
                  <w:vAlign w:val="center"/>
                </w:tcPr>
                <w:p w14:paraId="1C24471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60</w:t>
                  </w:r>
                </w:p>
              </w:tc>
              <w:tc>
                <w:tcPr>
                  <w:tcW w:w="756" w:type="pct"/>
                  <w:vAlign w:val="center"/>
                </w:tcPr>
                <w:p w14:paraId="36C87FC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bl>
          <w:p w14:paraId="32561C8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根据预测，本项目采取降噪、减振措施后，厂房隔声后，各厂界昼间噪声满足《工业企业厂界环境噪声排放标准》（GB12348-2008）中的2类区噪声排放限值（昼间：60dB（A）），本项目噪声对周围环境影响较小。</w:t>
            </w:r>
          </w:p>
          <w:p w14:paraId="2C901AA4">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四、固体废弃物</w:t>
            </w:r>
          </w:p>
          <w:p w14:paraId="2F5ACBA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项目产生的固体废物主要为废包装材料</w:t>
            </w:r>
            <w:r>
              <w:rPr>
                <w:rFonts w:hint="eastAsia" w:cs="Times New Roman"/>
                <w:sz w:val="24"/>
                <w:highlight w:val="none"/>
                <w:lang w:eastAsia="zh-CN"/>
              </w:rPr>
              <w:t>、</w:t>
            </w:r>
            <w:r>
              <w:rPr>
                <w:rFonts w:hint="default" w:ascii="Times New Roman" w:hAnsi="Times New Roman" w:cs="Times New Roman"/>
                <w:sz w:val="24"/>
                <w:highlight w:val="none"/>
              </w:rPr>
              <w:t>边角料</w:t>
            </w:r>
            <w:r>
              <w:rPr>
                <w:rFonts w:hint="eastAsia" w:cs="Times New Roman"/>
                <w:sz w:val="24"/>
                <w:highlight w:val="none"/>
                <w:lang w:eastAsia="zh-CN"/>
              </w:rPr>
              <w:t>、</w:t>
            </w:r>
            <w:r>
              <w:rPr>
                <w:rFonts w:hint="default" w:ascii="Times New Roman" w:hAnsi="Times New Roman" w:cs="Times New Roman"/>
                <w:sz w:val="24"/>
                <w:highlight w:val="none"/>
              </w:rPr>
              <w:t>不合格产品</w:t>
            </w:r>
            <w:r>
              <w:rPr>
                <w:rFonts w:hint="eastAsia" w:cs="Times New Roman"/>
                <w:sz w:val="24"/>
                <w:highlight w:val="none"/>
                <w:lang w:eastAsia="zh-CN"/>
              </w:rPr>
              <w:t>、</w:t>
            </w:r>
            <w:r>
              <w:rPr>
                <w:rFonts w:hint="default" w:ascii="Times New Roman" w:hAnsi="Times New Roman" w:cs="Times New Roman"/>
                <w:sz w:val="24"/>
                <w:highlight w:val="none"/>
              </w:rPr>
              <w:t>生活垃圾</w:t>
            </w:r>
            <w:r>
              <w:rPr>
                <w:rFonts w:hint="eastAsia" w:cs="Times New Roman"/>
                <w:sz w:val="24"/>
                <w:highlight w:val="none"/>
                <w:lang w:eastAsia="zh-CN"/>
              </w:rPr>
              <w:t>、</w:t>
            </w:r>
            <w:r>
              <w:rPr>
                <w:rFonts w:hint="default" w:ascii="Times New Roman" w:hAnsi="Times New Roman" w:cs="Times New Roman"/>
                <w:sz w:val="24"/>
                <w:highlight w:val="none"/>
              </w:rPr>
              <w:t>废润滑油</w:t>
            </w:r>
            <w:r>
              <w:rPr>
                <w:rFonts w:hint="eastAsia" w:cs="Times New Roman"/>
                <w:sz w:val="24"/>
                <w:highlight w:val="none"/>
                <w:lang w:eastAsia="zh-CN"/>
              </w:rPr>
              <w:t>、</w:t>
            </w:r>
            <w:r>
              <w:rPr>
                <w:rFonts w:hint="default" w:ascii="Times New Roman" w:hAnsi="Times New Roman" w:cs="Times New Roman"/>
                <w:sz w:val="24"/>
                <w:highlight w:val="none"/>
              </w:rPr>
              <w:t>废润滑油桶</w:t>
            </w:r>
            <w:r>
              <w:rPr>
                <w:rFonts w:hint="eastAsia" w:cs="Times New Roman"/>
                <w:sz w:val="24"/>
                <w:highlight w:val="none"/>
                <w:lang w:eastAsia="zh-CN"/>
              </w:rPr>
              <w:t>、</w:t>
            </w:r>
            <w:r>
              <w:rPr>
                <w:rFonts w:hint="default" w:ascii="Times New Roman" w:hAnsi="Times New Roman" w:cs="Times New Roman"/>
                <w:sz w:val="24"/>
                <w:highlight w:val="none"/>
              </w:rPr>
              <w:t>废活性炭等。</w:t>
            </w:r>
          </w:p>
          <w:p w14:paraId="4942FFA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（1）生活垃圾</w:t>
            </w:r>
          </w:p>
          <w:p w14:paraId="2A57C3C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拟建项目劳动定员</w:t>
            </w:r>
            <w:r>
              <w:rPr>
                <w:rFonts w:hint="eastAsia" w:cs="Times New Roman"/>
                <w:sz w:val="24"/>
                <w:highlight w:val="none"/>
                <w:lang w:val="en-US" w:eastAsia="zh-CN"/>
              </w:rPr>
              <w:t>5</w:t>
            </w:r>
            <w:r>
              <w:rPr>
                <w:rFonts w:hint="default" w:ascii="Times New Roman" w:hAnsi="Times New Roman" w:cs="Times New Roman"/>
                <w:sz w:val="24"/>
                <w:highlight w:val="none"/>
              </w:rPr>
              <w:t>人，职工生活垃圾产生量按0.5kg/（p·d）计，年工作时间300天，生活垃圾产生量</w:t>
            </w:r>
            <w:r>
              <w:rPr>
                <w:rFonts w:hint="eastAsia" w:cs="Times New Roman"/>
                <w:sz w:val="24"/>
                <w:highlight w:val="none"/>
                <w:lang w:val="en-US" w:eastAsia="zh-CN"/>
              </w:rPr>
              <w:t>0.75</w:t>
            </w:r>
            <w:r>
              <w:rPr>
                <w:rFonts w:hint="default" w:ascii="Times New Roman" w:hAnsi="Times New Roman" w:cs="Times New Roman"/>
                <w:sz w:val="24"/>
                <w:highlight w:val="none"/>
              </w:rPr>
              <w:t>t/a。属于一般固体废物，固废代码类别为SW64（900-099-S64），生活垃圾委托环卫部门定期清运。</w:t>
            </w:r>
          </w:p>
          <w:p w14:paraId="03FD7B2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（2）废包装材料</w:t>
            </w:r>
          </w:p>
          <w:p w14:paraId="2E6AA8A4">
            <w:pPr>
              <w:spacing w:line="360" w:lineRule="auto"/>
              <w:ind w:firstLine="480" w:firstLineChars="200"/>
              <w:rPr>
                <w:rFonts w:hint="default" w:ascii="Times New Roman" w:hAnsi="Times New Roman" w:cs="Times New Roman"/>
                <w:sz w:val="24"/>
                <w:highlight w:val="none"/>
              </w:rPr>
            </w:pPr>
            <w:r>
              <w:rPr>
                <w:rFonts w:hint="eastAsia" w:cs="Times New Roman"/>
                <w:sz w:val="24"/>
                <w:highlight w:val="none"/>
                <w:lang w:val="en-US" w:eastAsia="zh-CN"/>
              </w:rPr>
              <w:t>项目原料用量450t/a，废包装材料产生量为0.45t/a</w:t>
            </w:r>
            <w:r>
              <w:rPr>
                <w:rFonts w:hint="default" w:ascii="Times New Roman" w:hAnsi="Times New Roman" w:cs="Times New Roman"/>
                <w:sz w:val="24"/>
                <w:highlight w:val="none"/>
              </w:rPr>
              <w:t>。属于一般固体废物，固废代码类别为SW17（900-00</w:t>
            </w:r>
            <w:r>
              <w:rPr>
                <w:rFonts w:hint="eastAsia" w:cs="Times New Roman"/>
                <w:sz w:val="24"/>
                <w:highlight w:val="none"/>
                <w:lang w:val="en-US" w:eastAsia="zh-CN"/>
              </w:rPr>
              <w:t>3</w:t>
            </w:r>
            <w:r>
              <w:rPr>
                <w:rFonts w:hint="default" w:ascii="Times New Roman" w:hAnsi="Times New Roman" w:cs="Times New Roman"/>
                <w:sz w:val="24"/>
                <w:highlight w:val="none"/>
              </w:rPr>
              <w:t>-S17），收集后外售。</w:t>
            </w:r>
          </w:p>
          <w:p w14:paraId="4CD45FC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（3）边角料</w:t>
            </w:r>
          </w:p>
          <w:p w14:paraId="0A6AA0EC">
            <w:pPr>
              <w:spacing w:line="360" w:lineRule="auto"/>
              <w:ind w:firstLine="480" w:firstLineChars="200"/>
              <w:rPr>
                <w:rFonts w:hint="default" w:ascii="Times New Roman" w:hAnsi="Times New Roman" w:cs="Times New Roman"/>
                <w:sz w:val="24"/>
                <w:highlight w:val="none"/>
              </w:rPr>
            </w:pPr>
            <w:r>
              <w:rPr>
                <w:rFonts w:hint="eastAsia" w:cs="Times New Roman"/>
                <w:sz w:val="24"/>
                <w:highlight w:val="none"/>
                <w:lang w:val="en-US" w:eastAsia="zh-CN"/>
              </w:rPr>
              <w:t>项目产品产能为450t/a，边角料产生量为1‰，则边角料产生量为0.45</w:t>
            </w:r>
            <w:r>
              <w:rPr>
                <w:rFonts w:hint="default" w:ascii="Times New Roman" w:hAnsi="Times New Roman" w:cs="Times New Roman"/>
                <w:sz w:val="24"/>
                <w:highlight w:val="none"/>
              </w:rPr>
              <w:t>t/a。属于一般固体废物，固废代码类别为SW17（900-00</w:t>
            </w:r>
            <w:r>
              <w:rPr>
                <w:rFonts w:hint="eastAsia" w:cs="Times New Roman"/>
                <w:sz w:val="24"/>
                <w:highlight w:val="none"/>
                <w:lang w:val="en-US" w:eastAsia="zh-CN"/>
              </w:rPr>
              <w:t>3</w:t>
            </w:r>
            <w:r>
              <w:rPr>
                <w:rFonts w:hint="default" w:ascii="Times New Roman" w:hAnsi="Times New Roman" w:cs="Times New Roman"/>
                <w:sz w:val="24"/>
                <w:highlight w:val="none"/>
              </w:rPr>
              <w:t>-S17），收集后外售。</w:t>
            </w:r>
          </w:p>
          <w:p w14:paraId="37AC327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（4）不合格产品</w:t>
            </w:r>
          </w:p>
          <w:p w14:paraId="72A5E9EB">
            <w:pPr>
              <w:spacing w:line="360" w:lineRule="auto"/>
              <w:ind w:firstLine="480" w:firstLineChars="200"/>
              <w:rPr>
                <w:rFonts w:hint="default" w:ascii="Times New Roman" w:hAnsi="Times New Roman" w:cs="Times New Roman"/>
                <w:sz w:val="24"/>
                <w:highlight w:val="none"/>
              </w:rPr>
            </w:pPr>
            <w:r>
              <w:rPr>
                <w:rFonts w:hint="eastAsia" w:cs="Times New Roman"/>
                <w:sz w:val="24"/>
                <w:highlight w:val="none"/>
                <w:lang w:val="en-US" w:eastAsia="zh-CN"/>
              </w:rPr>
              <w:t>项目产品产能为450t/a，不合格产品产生量为1‰，则不合格产品产生量为0.45</w:t>
            </w:r>
            <w:r>
              <w:rPr>
                <w:rFonts w:hint="default" w:ascii="Times New Roman" w:hAnsi="Times New Roman" w:cs="Times New Roman"/>
                <w:sz w:val="24"/>
                <w:highlight w:val="none"/>
              </w:rPr>
              <w:t>t/a。属于一般固体废物，固废代码类别为SW17（900-00</w:t>
            </w:r>
            <w:r>
              <w:rPr>
                <w:rFonts w:hint="eastAsia" w:cs="Times New Roman"/>
                <w:sz w:val="24"/>
                <w:highlight w:val="none"/>
                <w:lang w:val="en-US" w:eastAsia="zh-CN"/>
              </w:rPr>
              <w:t>3</w:t>
            </w:r>
            <w:r>
              <w:rPr>
                <w:rFonts w:hint="default" w:ascii="Times New Roman" w:hAnsi="Times New Roman" w:cs="Times New Roman"/>
                <w:sz w:val="24"/>
                <w:highlight w:val="none"/>
              </w:rPr>
              <w:t>-S17），收集后外售。</w:t>
            </w:r>
          </w:p>
          <w:p w14:paraId="490E792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w:t>
            </w:r>
            <w:r>
              <w:rPr>
                <w:rFonts w:hint="eastAsia" w:cs="Times New Roman"/>
                <w:sz w:val="24"/>
                <w:highlight w:val="none"/>
                <w:lang w:val="en-US" w:eastAsia="zh-CN"/>
              </w:rPr>
              <w:t>5</w:t>
            </w:r>
            <w:r>
              <w:rPr>
                <w:rFonts w:hint="default" w:ascii="Times New Roman" w:hAnsi="Times New Roman" w:cs="Times New Roman"/>
                <w:sz w:val="24"/>
                <w:highlight w:val="none"/>
              </w:rPr>
              <w:t>）废润滑油</w:t>
            </w:r>
          </w:p>
          <w:p w14:paraId="4B4A5C8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项目生产设备定期维护保养会产生废润滑油，产生量约为0.1t/a，属于危险废物HW08，危废代码为900-217-08，定期委托有资质单位处理。</w:t>
            </w:r>
          </w:p>
          <w:p w14:paraId="7ECC89F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w:t>
            </w:r>
            <w:r>
              <w:rPr>
                <w:rFonts w:hint="eastAsia" w:cs="Times New Roman"/>
                <w:sz w:val="24"/>
                <w:highlight w:val="none"/>
                <w:lang w:val="en-US" w:eastAsia="zh-CN"/>
              </w:rPr>
              <w:t>6</w:t>
            </w:r>
            <w:r>
              <w:rPr>
                <w:rFonts w:hint="default" w:ascii="Times New Roman" w:hAnsi="Times New Roman" w:cs="Times New Roman"/>
                <w:sz w:val="24"/>
                <w:highlight w:val="none"/>
              </w:rPr>
              <w:t>）废润滑油桶</w:t>
            </w:r>
          </w:p>
          <w:p w14:paraId="07D5002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项目生产设备定期维护保养会产生废润滑油桶，产生量约为0.1t/a，属于危险废物HW08，危废代码为900-249-08，定期委托有资质单位处理。</w:t>
            </w:r>
          </w:p>
          <w:p w14:paraId="1172A52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w:t>
            </w:r>
            <w:r>
              <w:rPr>
                <w:rFonts w:hint="eastAsia" w:cs="Times New Roman"/>
                <w:sz w:val="24"/>
                <w:highlight w:val="none"/>
                <w:lang w:val="en-US" w:eastAsia="zh-CN"/>
              </w:rPr>
              <w:t>7</w:t>
            </w:r>
            <w:r>
              <w:rPr>
                <w:rFonts w:hint="default" w:ascii="Times New Roman" w:hAnsi="Times New Roman" w:cs="Times New Roman"/>
                <w:sz w:val="24"/>
                <w:highlight w:val="none"/>
              </w:rPr>
              <w:t>）废活性炭</w:t>
            </w:r>
          </w:p>
          <w:p w14:paraId="7637186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废活性炭：项目产生的有机废气拟采用</w:t>
            </w:r>
            <w:r>
              <w:rPr>
                <w:rFonts w:hint="eastAsia" w:cs="Times New Roman"/>
                <w:sz w:val="24"/>
                <w:highlight w:val="none"/>
                <w:lang w:eastAsia="zh-CN"/>
              </w:rPr>
              <w:t>“</w:t>
            </w:r>
            <w:r>
              <w:rPr>
                <w:rFonts w:hint="eastAsia" w:cs="Times New Roman"/>
                <w:sz w:val="24"/>
                <w:highlight w:val="none"/>
                <w:lang w:val="en-US" w:eastAsia="zh-CN"/>
              </w:rPr>
              <w:t>2</w:t>
            </w:r>
            <w:r>
              <w:rPr>
                <w:rFonts w:hint="default" w:ascii="Times New Roman" w:hAnsi="Times New Roman" w:cs="Times New Roman"/>
                <w:sz w:val="24"/>
                <w:highlight w:val="none"/>
              </w:rPr>
              <w:t>级活性炭吸附</w:t>
            </w:r>
            <w:r>
              <w:rPr>
                <w:rFonts w:hint="eastAsia" w:cs="Times New Roman"/>
                <w:sz w:val="24"/>
                <w:highlight w:val="none"/>
                <w:lang w:eastAsia="zh-CN"/>
              </w:rPr>
              <w:t>”</w:t>
            </w:r>
            <w:r>
              <w:rPr>
                <w:rFonts w:hint="default" w:ascii="Times New Roman" w:hAnsi="Times New Roman" w:cs="Times New Roman"/>
                <w:sz w:val="24"/>
                <w:highlight w:val="none"/>
              </w:rPr>
              <w:t>装置进行处理，处理效率</w:t>
            </w:r>
            <w:r>
              <w:rPr>
                <w:rFonts w:hint="eastAsia" w:cs="Times New Roman"/>
                <w:sz w:val="24"/>
                <w:highlight w:val="none"/>
                <w:lang w:val="en-US" w:eastAsia="zh-CN"/>
              </w:rPr>
              <w:t>84</w:t>
            </w:r>
            <w:r>
              <w:rPr>
                <w:rFonts w:hint="default" w:ascii="Times New Roman" w:hAnsi="Times New Roman" w:cs="Times New Roman"/>
                <w:sz w:val="24"/>
                <w:highlight w:val="none"/>
              </w:rPr>
              <w:t>%</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每级活性炭吸附处理效率60%，2级活性炭吸附综合处理效率84%</w:t>
            </w:r>
            <w:r>
              <w:rPr>
                <w:rFonts w:hint="eastAsia" w:ascii="Times New Roman" w:hAnsi="Times New Roman" w:cs="Times New Roman"/>
                <w:color w:val="000000"/>
                <w:sz w:val="24"/>
                <w:highlight w:val="none"/>
                <w:lang w:eastAsia="zh-CN"/>
              </w:rPr>
              <w:t>）</w:t>
            </w:r>
            <w:r>
              <w:rPr>
                <w:rFonts w:hint="default" w:ascii="Times New Roman" w:hAnsi="Times New Roman" w:cs="Times New Roman"/>
                <w:sz w:val="24"/>
                <w:highlight w:val="none"/>
              </w:rPr>
              <w:t>。废气处理装置产生废活性炭，参照《简明通风设计手册》（中国建筑工业出版社 孙一坚主编），常用的颗粒状活性炭的吸附性能指标为0.12~0.37g/g活性炭，本次环评取0.20g/g活性炭。每100kg活性炭吸附20kg有机物即达到饱和状态，活性炭吸附装置的装填材料选用颗粒活性炭。</w:t>
            </w:r>
          </w:p>
          <w:p w14:paraId="3AB0AAB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DA00</w:t>
            </w:r>
            <w:r>
              <w:rPr>
                <w:rFonts w:hint="eastAsia" w:cs="Times New Roman"/>
                <w:sz w:val="24"/>
                <w:highlight w:val="none"/>
                <w:lang w:val="en-US" w:eastAsia="zh-CN"/>
              </w:rPr>
              <w:t>1</w:t>
            </w:r>
            <w:r>
              <w:rPr>
                <w:rFonts w:hint="default" w:ascii="Times New Roman" w:hAnsi="Times New Roman" w:cs="Times New Roman"/>
                <w:sz w:val="24"/>
                <w:highlight w:val="none"/>
              </w:rPr>
              <w:t>排气筒配置单个活性炭箱体尺寸为1</w:t>
            </w:r>
            <w:r>
              <w:rPr>
                <w:rFonts w:hint="eastAsia" w:cs="Times New Roman"/>
                <w:sz w:val="24"/>
                <w:highlight w:val="none"/>
                <w:lang w:val="en-US" w:eastAsia="zh-CN"/>
              </w:rPr>
              <w:t>.5</w:t>
            </w:r>
            <w:r>
              <w:rPr>
                <w:rFonts w:hint="default" w:ascii="Times New Roman" w:hAnsi="Times New Roman" w:cs="Times New Roman"/>
                <w:sz w:val="24"/>
                <w:highlight w:val="none"/>
              </w:rPr>
              <w:t>m×</w:t>
            </w:r>
            <w:r>
              <w:rPr>
                <w:rFonts w:hint="eastAsia" w:cs="Times New Roman"/>
                <w:sz w:val="24"/>
                <w:highlight w:val="none"/>
                <w:lang w:val="en-US" w:eastAsia="zh-CN"/>
              </w:rPr>
              <w:t>2</w:t>
            </w:r>
            <w:r>
              <w:rPr>
                <w:rFonts w:hint="default" w:ascii="Times New Roman" w:hAnsi="Times New Roman" w:cs="Times New Roman"/>
                <w:sz w:val="24"/>
                <w:highlight w:val="none"/>
              </w:rPr>
              <w:t>m×1m，活性炭密度为400kg/m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，2个活性炭箱一次填充量约为</w:t>
            </w:r>
            <w:r>
              <w:rPr>
                <w:rFonts w:hint="eastAsia" w:cs="Times New Roman"/>
                <w:sz w:val="24"/>
                <w:highlight w:val="none"/>
                <w:lang w:val="en-US" w:eastAsia="zh-CN"/>
              </w:rPr>
              <w:t>2.4</w:t>
            </w:r>
            <w:r>
              <w:rPr>
                <w:rFonts w:hint="default" w:ascii="Times New Roman" w:hAnsi="Times New Roman" w:cs="Times New Roman"/>
                <w:sz w:val="24"/>
                <w:highlight w:val="none"/>
              </w:rPr>
              <w:t>t，DA00</w:t>
            </w:r>
            <w:r>
              <w:rPr>
                <w:rFonts w:hint="eastAsia" w:cs="Times New Roman"/>
                <w:sz w:val="24"/>
                <w:highlight w:val="none"/>
                <w:lang w:val="en-US" w:eastAsia="zh-CN"/>
              </w:rPr>
              <w:t>1</w:t>
            </w:r>
            <w:r>
              <w:rPr>
                <w:rFonts w:hint="default" w:ascii="Times New Roman" w:hAnsi="Times New Roman" w:cs="Times New Roman"/>
                <w:sz w:val="24"/>
                <w:highlight w:val="none"/>
              </w:rPr>
              <w:t>排气筒活性炭吸附有机废气量为</w:t>
            </w:r>
            <w:r>
              <w:rPr>
                <w:rFonts w:hint="eastAsia" w:cs="Times New Roman"/>
                <w:sz w:val="24"/>
                <w:highlight w:val="none"/>
                <w:lang w:val="en-US" w:eastAsia="zh-CN"/>
              </w:rPr>
              <w:t>0.919</w:t>
            </w:r>
            <w:r>
              <w:rPr>
                <w:rFonts w:hint="default" w:ascii="Times New Roman" w:hAnsi="Times New Roman" w:cs="Times New Roman"/>
                <w:sz w:val="24"/>
                <w:highlight w:val="none"/>
              </w:rPr>
              <w:t>t/a（VOCs产生量为</w:t>
            </w:r>
            <w:r>
              <w:rPr>
                <w:rFonts w:hint="eastAsia" w:cs="Times New Roman"/>
                <w:sz w:val="24"/>
                <w:highlight w:val="none"/>
                <w:lang w:val="en-US" w:eastAsia="zh-CN"/>
              </w:rPr>
              <w:t>1.094</w:t>
            </w:r>
            <w:r>
              <w:rPr>
                <w:rFonts w:hint="default" w:ascii="Times New Roman" w:hAnsi="Times New Roman" w:cs="Times New Roman"/>
                <w:sz w:val="24"/>
                <w:highlight w:val="none"/>
              </w:rPr>
              <w:t>t/a，排放量为</w:t>
            </w:r>
            <w:r>
              <w:rPr>
                <w:rFonts w:hint="eastAsia" w:cs="Times New Roman"/>
                <w:sz w:val="24"/>
                <w:highlight w:val="none"/>
                <w:lang w:val="en-US" w:eastAsia="zh-CN"/>
              </w:rPr>
              <w:t>0.175</w:t>
            </w:r>
            <w:r>
              <w:rPr>
                <w:rFonts w:hint="default" w:ascii="Times New Roman" w:hAnsi="Times New Roman" w:cs="Times New Roman"/>
                <w:sz w:val="24"/>
                <w:highlight w:val="none"/>
              </w:rPr>
              <w:t>t/a），所需活性炭量</w:t>
            </w:r>
            <w:r>
              <w:rPr>
                <w:rFonts w:hint="eastAsia" w:cs="Times New Roman"/>
                <w:sz w:val="24"/>
                <w:highlight w:val="none"/>
                <w:lang w:val="en-US" w:eastAsia="zh-CN"/>
              </w:rPr>
              <w:t>4.595</w:t>
            </w:r>
            <w:r>
              <w:rPr>
                <w:rFonts w:hint="default" w:ascii="Times New Roman" w:hAnsi="Times New Roman" w:cs="Times New Roman"/>
                <w:sz w:val="24"/>
                <w:highlight w:val="none"/>
              </w:rPr>
              <w:t>t/a。项目活性炭吸附饱和后需定期更换，为保证活性炭吸附效率，活性炭吸附装置内活性炭每半年更换一次，每年更换2次（更换量为</w:t>
            </w:r>
            <w:r>
              <w:rPr>
                <w:rFonts w:hint="eastAsia" w:cs="Times New Roman"/>
                <w:sz w:val="24"/>
                <w:highlight w:val="none"/>
                <w:lang w:val="en-US" w:eastAsia="zh-CN"/>
              </w:rPr>
              <w:t>4.8</w:t>
            </w:r>
            <w:r>
              <w:rPr>
                <w:rFonts w:hint="default" w:ascii="Times New Roman" w:hAnsi="Times New Roman" w:cs="Times New Roman"/>
                <w:sz w:val="24"/>
                <w:highlight w:val="none"/>
              </w:rPr>
              <w:t>t/a，大于所需活性炭</w:t>
            </w:r>
            <w:r>
              <w:rPr>
                <w:rFonts w:hint="eastAsia" w:cs="Times New Roman"/>
                <w:sz w:val="24"/>
                <w:highlight w:val="none"/>
                <w:lang w:val="en-US" w:eastAsia="zh-CN"/>
              </w:rPr>
              <w:t>4.595</w:t>
            </w:r>
            <w:r>
              <w:rPr>
                <w:rFonts w:hint="default" w:ascii="Times New Roman" w:hAnsi="Times New Roman" w:cs="Times New Roman"/>
                <w:sz w:val="24"/>
                <w:highlight w:val="none"/>
              </w:rPr>
              <w:t>t/a），更换产生的废活性炭约</w:t>
            </w:r>
            <w:r>
              <w:rPr>
                <w:rFonts w:hint="eastAsia" w:cs="Times New Roman"/>
                <w:sz w:val="24"/>
                <w:highlight w:val="none"/>
                <w:lang w:val="en-US" w:eastAsia="zh-CN"/>
              </w:rPr>
              <w:t>5.719</w:t>
            </w:r>
            <w:r>
              <w:rPr>
                <w:rFonts w:hint="default" w:ascii="Times New Roman" w:hAnsi="Times New Roman" w:cs="Times New Roman"/>
                <w:sz w:val="24"/>
                <w:highlight w:val="none"/>
              </w:rPr>
              <w:t>t/a（含吸附的VOCs</w:t>
            </w:r>
            <w:r>
              <w:rPr>
                <w:rFonts w:hint="eastAsia" w:cs="Times New Roman"/>
                <w:sz w:val="24"/>
                <w:highlight w:val="none"/>
                <w:lang w:val="en-US" w:eastAsia="zh-CN"/>
              </w:rPr>
              <w:t>0.919</w:t>
            </w:r>
            <w:r>
              <w:rPr>
                <w:rFonts w:hint="default" w:ascii="Times New Roman" w:hAnsi="Times New Roman" w:cs="Times New Roman"/>
                <w:sz w:val="24"/>
                <w:highlight w:val="none"/>
              </w:rPr>
              <w:t>t/a）。</w:t>
            </w:r>
          </w:p>
          <w:p w14:paraId="775FC83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项目建成后活性炭产生量为</w:t>
            </w:r>
            <w:r>
              <w:rPr>
                <w:rFonts w:hint="eastAsia" w:cs="Times New Roman"/>
                <w:sz w:val="24"/>
                <w:highlight w:val="none"/>
                <w:lang w:val="en-US" w:eastAsia="zh-CN"/>
              </w:rPr>
              <w:t>5.719</w:t>
            </w:r>
            <w:r>
              <w:rPr>
                <w:rFonts w:hint="default" w:ascii="Times New Roman" w:hAnsi="Times New Roman" w:cs="Times New Roman"/>
                <w:sz w:val="24"/>
                <w:highlight w:val="none"/>
              </w:rPr>
              <w:t>t/a，属于危险废物HW49，危废代码900-039-49，定期委托有资质单位处理。</w:t>
            </w:r>
          </w:p>
          <w:p w14:paraId="4E4C7CB7">
            <w:pPr>
              <w:spacing w:line="360" w:lineRule="auto"/>
              <w:ind w:firstLine="480" w:firstLineChars="200"/>
              <w:textAlignment w:val="baseline"/>
              <w:rPr>
                <w:rFonts w:hint="default" w:ascii="Times New Roman" w:hAnsi="Times New Roman" w:cs="Times New Roman"/>
                <w:sz w:val="24"/>
                <w:highlight w:val="none"/>
              </w:rPr>
            </w:pPr>
            <w:r>
              <w:rPr>
                <w:rFonts w:hint="eastAsia" w:cs="Times New Roman"/>
                <w:sz w:val="24"/>
                <w:highlight w:val="none"/>
                <w:lang w:val="en-US" w:eastAsia="zh-CN"/>
              </w:rPr>
              <w:t>仓库东南</w:t>
            </w:r>
            <w:r>
              <w:rPr>
                <w:rFonts w:hint="default" w:ascii="Times New Roman" w:hAnsi="Times New Roman" w:cs="Times New Roman"/>
                <w:sz w:val="24"/>
                <w:highlight w:val="none"/>
              </w:rPr>
              <w:t>角设置危废暂存间（15</w:t>
            </w:r>
            <w:r>
              <w:rPr>
                <w:rFonts w:hint="default" w:ascii="Times New Roman" w:hAnsi="Times New Roman" w:cs="Times New Roman"/>
                <w:kern w:val="0"/>
                <w:sz w:val="24"/>
                <w:highlight w:val="none"/>
              </w:rPr>
              <w:t>m</w:t>
            </w:r>
            <w:r>
              <w:rPr>
                <w:rFonts w:hint="default" w:ascii="Times New Roman" w:hAnsi="Times New Roman" w:cs="Times New Roman"/>
                <w:kern w:val="0"/>
                <w:sz w:val="24"/>
                <w:highlight w:val="none"/>
                <w:vertAlign w:val="superscript"/>
              </w:rPr>
              <w:t>2</w:t>
            </w:r>
            <w:r>
              <w:rPr>
                <w:rFonts w:hint="default" w:ascii="Times New Roman" w:hAnsi="Times New Roman" w:cs="Times New Roman"/>
                <w:sz w:val="24"/>
                <w:highlight w:val="none"/>
              </w:rPr>
              <w:t>）1处。</w:t>
            </w:r>
          </w:p>
          <w:p w14:paraId="675951DE">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7</w:t>
            </w:r>
            <w:r>
              <w:rPr>
                <w:rFonts w:hint="default" w:ascii="Times New Roman" w:hAnsi="Times New Roman" w:cs="Times New Roman"/>
                <w:b/>
                <w:bCs/>
                <w:color w:val="000000"/>
                <w:sz w:val="24"/>
                <w:highlight w:val="none"/>
              </w:rPr>
              <w:t xml:space="preserve">  固体废物产生及处置情况一览表</w:t>
            </w:r>
          </w:p>
          <w:tbl>
            <w:tblPr>
              <w:tblStyle w:val="47"/>
              <w:tblpPr w:leftFromText="181" w:rightFromText="181" w:vertAnchor="text" w:horzAnchor="page" w:tblpXSpec="center" w:tblpY="1"/>
              <w:tblOverlap w:val="never"/>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398"/>
              <w:gridCol w:w="630"/>
              <w:gridCol w:w="1145"/>
              <w:gridCol w:w="676"/>
              <w:gridCol w:w="756"/>
              <w:gridCol w:w="584"/>
              <w:gridCol w:w="1088"/>
              <w:gridCol w:w="584"/>
              <w:gridCol w:w="595"/>
              <w:gridCol w:w="1225"/>
            </w:tblGrid>
            <w:tr w14:paraId="4E27E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noWrap/>
                  <w:tcMar>
                    <w:left w:w="0" w:type="dxa"/>
                    <w:right w:w="0" w:type="dxa"/>
                  </w:tcMar>
                  <w:vAlign w:val="center"/>
                </w:tcPr>
                <w:p w14:paraId="68A6A63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废物种类</w:t>
                  </w:r>
                </w:p>
              </w:tc>
              <w:tc>
                <w:tcPr>
                  <w:tcW w:w="1398" w:type="dxa"/>
                  <w:noWrap/>
                  <w:tcMar>
                    <w:left w:w="0" w:type="dxa"/>
                    <w:right w:w="0" w:type="dxa"/>
                  </w:tcMar>
                  <w:vAlign w:val="center"/>
                </w:tcPr>
                <w:p w14:paraId="5C443DE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废物名称</w:t>
                  </w:r>
                </w:p>
              </w:tc>
              <w:tc>
                <w:tcPr>
                  <w:tcW w:w="630" w:type="dxa"/>
                  <w:noWrap/>
                  <w:tcMar>
                    <w:left w:w="0" w:type="dxa"/>
                    <w:right w:w="0" w:type="dxa"/>
                  </w:tcMar>
                  <w:vAlign w:val="center"/>
                </w:tcPr>
                <w:p w14:paraId="410805F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废物类别</w:t>
                  </w:r>
                </w:p>
              </w:tc>
              <w:tc>
                <w:tcPr>
                  <w:tcW w:w="1145" w:type="dxa"/>
                  <w:noWrap/>
                  <w:tcMar>
                    <w:left w:w="0" w:type="dxa"/>
                    <w:right w:w="0" w:type="dxa"/>
                  </w:tcMar>
                  <w:vAlign w:val="center"/>
                </w:tcPr>
                <w:p w14:paraId="6BDA756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废物代码</w:t>
                  </w:r>
                </w:p>
              </w:tc>
              <w:tc>
                <w:tcPr>
                  <w:tcW w:w="676" w:type="dxa"/>
                  <w:noWrap/>
                  <w:tcMar>
                    <w:left w:w="0" w:type="dxa"/>
                    <w:right w:w="0" w:type="dxa"/>
                  </w:tcMar>
                  <w:vAlign w:val="center"/>
                </w:tcPr>
                <w:p w14:paraId="36D7D17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产生量（t/a）</w:t>
                  </w:r>
                </w:p>
              </w:tc>
              <w:tc>
                <w:tcPr>
                  <w:tcW w:w="756" w:type="dxa"/>
                  <w:noWrap/>
                  <w:tcMar>
                    <w:left w:w="0" w:type="dxa"/>
                    <w:right w:w="0" w:type="dxa"/>
                  </w:tcMar>
                  <w:vAlign w:val="center"/>
                </w:tcPr>
                <w:p w14:paraId="108C315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产生工序及装置</w:t>
                  </w:r>
                </w:p>
              </w:tc>
              <w:tc>
                <w:tcPr>
                  <w:tcW w:w="584" w:type="dxa"/>
                  <w:noWrap/>
                  <w:tcMar>
                    <w:left w:w="0" w:type="dxa"/>
                    <w:right w:w="0" w:type="dxa"/>
                  </w:tcMar>
                  <w:vAlign w:val="center"/>
                </w:tcPr>
                <w:p w14:paraId="6D4D2E9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形态</w:t>
                  </w:r>
                </w:p>
              </w:tc>
              <w:tc>
                <w:tcPr>
                  <w:tcW w:w="1088" w:type="dxa"/>
                  <w:noWrap/>
                  <w:tcMar>
                    <w:left w:w="0" w:type="dxa"/>
                    <w:right w:w="0" w:type="dxa"/>
                  </w:tcMar>
                  <w:vAlign w:val="center"/>
                </w:tcPr>
                <w:p w14:paraId="4501573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主要成分</w:t>
                  </w:r>
                </w:p>
              </w:tc>
              <w:tc>
                <w:tcPr>
                  <w:tcW w:w="584" w:type="dxa"/>
                  <w:noWrap/>
                  <w:tcMar>
                    <w:left w:w="0" w:type="dxa"/>
                    <w:right w:w="0" w:type="dxa"/>
                  </w:tcMar>
                  <w:vAlign w:val="center"/>
                </w:tcPr>
                <w:p w14:paraId="5F7B6BF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w:t>
                  </w:r>
                </w:p>
                <w:p w14:paraId="1CE8AE4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特性</w:t>
                  </w:r>
                </w:p>
              </w:tc>
              <w:tc>
                <w:tcPr>
                  <w:tcW w:w="595" w:type="dxa"/>
                  <w:noWrap/>
                  <w:tcMar>
                    <w:left w:w="0" w:type="dxa"/>
                    <w:right w:w="0" w:type="dxa"/>
                  </w:tcMar>
                  <w:vAlign w:val="center"/>
                </w:tcPr>
                <w:p w14:paraId="2573B13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产废周期</w:t>
                  </w:r>
                </w:p>
              </w:tc>
              <w:tc>
                <w:tcPr>
                  <w:tcW w:w="1225" w:type="dxa"/>
                  <w:noWrap/>
                  <w:tcMar>
                    <w:left w:w="0" w:type="dxa"/>
                    <w:right w:w="0" w:type="dxa"/>
                  </w:tcMar>
                  <w:vAlign w:val="center"/>
                </w:tcPr>
                <w:p w14:paraId="626169E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污染防治措施</w:t>
                  </w:r>
                </w:p>
              </w:tc>
            </w:tr>
            <w:tr w14:paraId="43D337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restart"/>
                  <w:noWrap/>
                  <w:tcMar>
                    <w:left w:w="0" w:type="dxa"/>
                    <w:right w:w="0" w:type="dxa"/>
                  </w:tcMar>
                  <w:vAlign w:val="center"/>
                </w:tcPr>
                <w:p w14:paraId="6D0B7BE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一般固体废物</w:t>
                  </w:r>
                </w:p>
              </w:tc>
              <w:tc>
                <w:tcPr>
                  <w:tcW w:w="1398" w:type="dxa"/>
                  <w:noWrap/>
                  <w:tcMar>
                    <w:left w:w="0" w:type="dxa"/>
                    <w:right w:w="0" w:type="dxa"/>
                  </w:tcMar>
                  <w:vAlign w:val="center"/>
                </w:tcPr>
                <w:p w14:paraId="6C9E0CA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生活垃圾</w:t>
                  </w:r>
                </w:p>
              </w:tc>
              <w:tc>
                <w:tcPr>
                  <w:tcW w:w="630" w:type="dxa"/>
                  <w:noWrap/>
                  <w:tcMar>
                    <w:left w:w="0" w:type="dxa"/>
                    <w:right w:w="0" w:type="dxa"/>
                  </w:tcMar>
                  <w:vAlign w:val="center"/>
                </w:tcPr>
                <w:p w14:paraId="0657A57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SW64</w:t>
                  </w:r>
                </w:p>
              </w:tc>
              <w:tc>
                <w:tcPr>
                  <w:tcW w:w="1145" w:type="dxa"/>
                  <w:noWrap/>
                  <w:tcMar>
                    <w:left w:w="0" w:type="dxa"/>
                    <w:right w:w="0" w:type="dxa"/>
                  </w:tcMar>
                  <w:vAlign w:val="center"/>
                </w:tcPr>
                <w:p w14:paraId="6B731DB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900-099-S64</w:t>
                  </w:r>
                </w:p>
              </w:tc>
              <w:tc>
                <w:tcPr>
                  <w:tcW w:w="676" w:type="dxa"/>
                  <w:noWrap/>
                  <w:tcMar>
                    <w:left w:w="0" w:type="dxa"/>
                    <w:right w:w="0" w:type="dxa"/>
                  </w:tcMar>
                  <w:vAlign w:val="center"/>
                </w:tcPr>
                <w:p w14:paraId="3A47053D">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0.75</w:t>
                  </w:r>
                </w:p>
              </w:tc>
              <w:tc>
                <w:tcPr>
                  <w:tcW w:w="756" w:type="dxa"/>
                  <w:noWrap/>
                  <w:tcMar>
                    <w:left w:w="0" w:type="dxa"/>
                    <w:right w:w="0" w:type="dxa"/>
                  </w:tcMar>
                  <w:vAlign w:val="center"/>
                </w:tcPr>
                <w:p w14:paraId="51A0CB6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职工生活</w:t>
                  </w:r>
                </w:p>
              </w:tc>
              <w:tc>
                <w:tcPr>
                  <w:tcW w:w="584" w:type="dxa"/>
                  <w:noWrap/>
                  <w:tcMar>
                    <w:left w:w="0" w:type="dxa"/>
                    <w:right w:w="0" w:type="dxa"/>
                  </w:tcMar>
                  <w:vAlign w:val="center"/>
                </w:tcPr>
                <w:p w14:paraId="20A80AE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1088" w:type="dxa"/>
                  <w:noWrap/>
                  <w:tcMar>
                    <w:left w:w="0" w:type="dxa"/>
                    <w:right w:w="0" w:type="dxa"/>
                  </w:tcMar>
                  <w:vAlign w:val="center"/>
                </w:tcPr>
                <w:p w14:paraId="69B6391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生活垃圾</w:t>
                  </w:r>
                </w:p>
              </w:tc>
              <w:tc>
                <w:tcPr>
                  <w:tcW w:w="584" w:type="dxa"/>
                  <w:noWrap/>
                  <w:tcMar>
                    <w:left w:w="0" w:type="dxa"/>
                    <w:right w:w="0" w:type="dxa"/>
                  </w:tcMar>
                  <w:vAlign w:val="center"/>
                </w:tcPr>
                <w:p w14:paraId="0EBA3CD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w:t>
                  </w:r>
                </w:p>
              </w:tc>
              <w:tc>
                <w:tcPr>
                  <w:tcW w:w="595" w:type="dxa"/>
                  <w:noWrap/>
                  <w:tcMar>
                    <w:left w:w="0" w:type="dxa"/>
                    <w:right w:w="0" w:type="dxa"/>
                  </w:tcMar>
                  <w:vAlign w:val="center"/>
                </w:tcPr>
                <w:p w14:paraId="19BDEBF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连续</w:t>
                  </w:r>
                </w:p>
              </w:tc>
              <w:tc>
                <w:tcPr>
                  <w:tcW w:w="1225" w:type="dxa"/>
                  <w:noWrap/>
                  <w:tcMar>
                    <w:left w:w="0" w:type="dxa"/>
                    <w:right w:w="0" w:type="dxa"/>
                  </w:tcMar>
                  <w:vAlign w:val="center"/>
                </w:tcPr>
                <w:p w14:paraId="26130C7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委托环卫部门定期清运</w:t>
                  </w:r>
                </w:p>
              </w:tc>
            </w:tr>
            <w:tr w14:paraId="29528F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continue"/>
                  <w:noWrap/>
                  <w:tcMar>
                    <w:left w:w="0" w:type="dxa"/>
                    <w:right w:w="0" w:type="dxa"/>
                  </w:tcMar>
                  <w:vAlign w:val="center"/>
                </w:tcPr>
                <w:p w14:paraId="1911BC19">
                  <w:pPr>
                    <w:topLinePunct/>
                    <w:adjustRightInd w:val="0"/>
                    <w:snapToGrid w:val="0"/>
                    <w:jc w:val="center"/>
                    <w:rPr>
                      <w:rFonts w:hint="default" w:ascii="Times New Roman" w:hAnsi="Times New Roman" w:cs="Times New Roman"/>
                      <w:kern w:val="0"/>
                      <w:szCs w:val="21"/>
                      <w:highlight w:val="none"/>
                    </w:rPr>
                  </w:pPr>
                </w:p>
              </w:tc>
              <w:tc>
                <w:tcPr>
                  <w:tcW w:w="1398" w:type="dxa"/>
                  <w:noWrap/>
                  <w:tcMar>
                    <w:left w:w="0" w:type="dxa"/>
                    <w:right w:w="0" w:type="dxa"/>
                  </w:tcMar>
                  <w:vAlign w:val="center"/>
                </w:tcPr>
                <w:p w14:paraId="5869DD2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 w:val="24"/>
                      <w:highlight w:val="none"/>
                    </w:rPr>
                    <w:t>废包装材料</w:t>
                  </w:r>
                </w:p>
              </w:tc>
              <w:tc>
                <w:tcPr>
                  <w:tcW w:w="630" w:type="dxa"/>
                  <w:noWrap/>
                  <w:tcMar>
                    <w:left w:w="0" w:type="dxa"/>
                    <w:right w:w="0" w:type="dxa"/>
                  </w:tcMar>
                  <w:vAlign w:val="center"/>
                </w:tcPr>
                <w:p w14:paraId="705510D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SW17</w:t>
                  </w:r>
                </w:p>
              </w:tc>
              <w:tc>
                <w:tcPr>
                  <w:tcW w:w="1145" w:type="dxa"/>
                  <w:noWrap/>
                  <w:tcMar>
                    <w:left w:w="0" w:type="dxa"/>
                    <w:right w:w="0" w:type="dxa"/>
                  </w:tcMar>
                  <w:vAlign w:val="center"/>
                </w:tcPr>
                <w:p w14:paraId="0A74818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900-001-S17</w:t>
                  </w:r>
                </w:p>
              </w:tc>
              <w:tc>
                <w:tcPr>
                  <w:tcW w:w="676" w:type="dxa"/>
                  <w:noWrap/>
                  <w:tcMar>
                    <w:left w:w="0" w:type="dxa"/>
                    <w:right w:w="0" w:type="dxa"/>
                  </w:tcMar>
                  <w:vAlign w:val="center"/>
                </w:tcPr>
                <w:p w14:paraId="329A7F33">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0.45</w:t>
                  </w:r>
                </w:p>
              </w:tc>
              <w:tc>
                <w:tcPr>
                  <w:tcW w:w="756" w:type="dxa"/>
                  <w:noWrap/>
                  <w:tcMar>
                    <w:left w:w="0" w:type="dxa"/>
                    <w:right w:w="0" w:type="dxa"/>
                  </w:tcMar>
                  <w:vAlign w:val="center"/>
                </w:tcPr>
                <w:p w14:paraId="6C0E88DD">
                  <w:pPr>
                    <w:topLinePunct/>
                    <w:adjustRightInd w:val="0"/>
                    <w:snapToGrid w:val="0"/>
                    <w:jc w:val="center"/>
                    <w:rPr>
                      <w:rFonts w:hint="eastAsia"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混合</w:t>
                  </w:r>
                </w:p>
              </w:tc>
              <w:tc>
                <w:tcPr>
                  <w:tcW w:w="584" w:type="dxa"/>
                  <w:noWrap/>
                  <w:tcMar>
                    <w:left w:w="0" w:type="dxa"/>
                    <w:right w:w="0" w:type="dxa"/>
                  </w:tcMar>
                  <w:vAlign w:val="center"/>
                </w:tcPr>
                <w:p w14:paraId="04A56F1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1088" w:type="dxa"/>
                  <w:noWrap/>
                  <w:tcMar>
                    <w:left w:w="0" w:type="dxa"/>
                    <w:right w:w="0" w:type="dxa"/>
                  </w:tcMar>
                  <w:vAlign w:val="center"/>
                </w:tcPr>
                <w:p w14:paraId="59A46381">
                  <w:pPr>
                    <w:topLinePunct/>
                    <w:adjustRightInd w:val="0"/>
                    <w:snapToGrid w:val="0"/>
                    <w:jc w:val="center"/>
                    <w:rPr>
                      <w:rFonts w:hint="eastAsia"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塑料</w:t>
                  </w:r>
                </w:p>
              </w:tc>
              <w:tc>
                <w:tcPr>
                  <w:tcW w:w="584" w:type="dxa"/>
                  <w:noWrap/>
                  <w:tcMar>
                    <w:left w:w="0" w:type="dxa"/>
                    <w:right w:w="0" w:type="dxa"/>
                  </w:tcMar>
                  <w:vAlign w:val="center"/>
                </w:tcPr>
                <w:p w14:paraId="128A400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w:t>
                  </w:r>
                </w:p>
              </w:tc>
              <w:tc>
                <w:tcPr>
                  <w:tcW w:w="595" w:type="dxa"/>
                  <w:noWrap/>
                  <w:tcMar>
                    <w:left w:w="0" w:type="dxa"/>
                    <w:right w:w="0" w:type="dxa"/>
                  </w:tcMar>
                  <w:vAlign w:val="center"/>
                </w:tcPr>
                <w:p w14:paraId="5CC62EA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生产时</w:t>
                  </w:r>
                </w:p>
              </w:tc>
              <w:tc>
                <w:tcPr>
                  <w:tcW w:w="1225" w:type="dxa"/>
                  <w:vMerge w:val="restart"/>
                  <w:noWrap/>
                  <w:tcMar>
                    <w:left w:w="0" w:type="dxa"/>
                    <w:right w:w="0" w:type="dxa"/>
                  </w:tcMar>
                  <w:vAlign w:val="center"/>
                </w:tcPr>
                <w:p w14:paraId="39F93AD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收集后外售</w:t>
                  </w:r>
                </w:p>
              </w:tc>
            </w:tr>
            <w:tr w14:paraId="324B1B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continue"/>
                  <w:noWrap/>
                  <w:tcMar>
                    <w:left w:w="0" w:type="dxa"/>
                    <w:right w:w="0" w:type="dxa"/>
                  </w:tcMar>
                  <w:vAlign w:val="center"/>
                </w:tcPr>
                <w:p w14:paraId="5F4FCD2B">
                  <w:pPr>
                    <w:topLinePunct/>
                    <w:adjustRightInd w:val="0"/>
                    <w:snapToGrid w:val="0"/>
                    <w:jc w:val="center"/>
                    <w:rPr>
                      <w:rFonts w:hint="default" w:ascii="Times New Roman" w:hAnsi="Times New Roman" w:cs="Times New Roman"/>
                      <w:kern w:val="0"/>
                      <w:szCs w:val="21"/>
                      <w:highlight w:val="none"/>
                    </w:rPr>
                  </w:pPr>
                </w:p>
              </w:tc>
              <w:tc>
                <w:tcPr>
                  <w:tcW w:w="1398" w:type="dxa"/>
                  <w:noWrap/>
                  <w:tcMar>
                    <w:left w:w="0" w:type="dxa"/>
                    <w:right w:w="0" w:type="dxa"/>
                  </w:tcMar>
                  <w:vAlign w:val="center"/>
                </w:tcPr>
                <w:p w14:paraId="137EC8C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边角料</w:t>
                  </w:r>
                </w:p>
              </w:tc>
              <w:tc>
                <w:tcPr>
                  <w:tcW w:w="630" w:type="dxa"/>
                  <w:noWrap/>
                  <w:tcMar>
                    <w:left w:w="0" w:type="dxa"/>
                    <w:right w:w="0" w:type="dxa"/>
                  </w:tcMar>
                  <w:vAlign w:val="center"/>
                </w:tcPr>
                <w:p w14:paraId="01EA6D0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SW17</w:t>
                  </w:r>
                </w:p>
              </w:tc>
              <w:tc>
                <w:tcPr>
                  <w:tcW w:w="1145" w:type="dxa"/>
                  <w:noWrap/>
                  <w:tcMar>
                    <w:left w:w="0" w:type="dxa"/>
                    <w:right w:w="0" w:type="dxa"/>
                  </w:tcMar>
                  <w:vAlign w:val="center"/>
                </w:tcPr>
                <w:p w14:paraId="1965E92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900-00</w:t>
                  </w:r>
                  <w:r>
                    <w:rPr>
                      <w:rFonts w:hint="eastAsia" w:cs="Times New Roman"/>
                      <w:kern w:val="0"/>
                      <w:szCs w:val="21"/>
                      <w:highlight w:val="none"/>
                      <w:lang w:val="en-US" w:eastAsia="zh-CN"/>
                    </w:rPr>
                    <w:t>3</w:t>
                  </w:r>
                  <w:r>
                    <w:rPr>
                      <w:rFonts w:hint="default" w:ascii="Times New Roman" w:hAnsi="Times New Roman" w:cs="Times New Roman"/>
                      <w:kern w:val="0"/>
                      <w:szCs w:val="21"/>
                      <w:highlight w:val="none"/>
                    </w:rPr>
                    <w:t>-S17</w:t>
                  </w:r>
                </w:p>
              </w:tc>
              <w:tc>
                <w:tcPr>
                  <w:tcW w:w="676" w:type="dxa"/>
                  <w:noWrap/>
                  <w:tcMar>
                    <w:left w:w="0" w:type="dxa"/>
                    <w:right w:w="0" w:type="dxa"/>
                  </w:tcMar>
                  <w:vAlign w:val="center"/>
                </w:tcPr>
                <w:p w14:paraId="75AF6DAA">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0.45</w:t>
                  </w:r>
                </w:p>
              </w:tc>
              <w:tc>
                <w:tcPr>
                  <w:tcW w:w="756" w:type="dxa"/>
                  <w:noWrap/>
                  <w:tcMar>
                    <w:left w:w="0" w:type="dxa"/>
                    <w:right w:w="0" w:type="dxa"/>
                  </w:tcMar>
                  <w:vAlign w:val="center"/>
                </w:tcPr>
                <w:p w14:paraId="660F0F70">
                  <w:pPr>
                    <w:topLinePunct/>
                    <w:adjustRightInd w:val="0"/>
                    <w:snapToGrid w:val="0"/>
                    <w:jc w:val="center"/>
                    <w:rPr>
                      <w:rFonts w:hint="eastAsia"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修边</w:t>
                  </w:r>
                </w:p>
              </w:tc>
              <w:tc>
                <w:tcPr>
                  <w:tcW w:w="584" w:type="dxa"/>
                  <w:noWrap/>
                  <w:tcMar>
                    <w:left w:w="0" w:type="dxa"/>
                    <w:right w:w="0" w:type="dxa"/>
                  </w:tcMar>
                  <w:vAlign w:val="center"/>
                </w:tcPr>
                <w:p w14:paraId="6AD01F1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1088" w:type="dxa"/>
                  <w:noWrap/>
                  <w:tcMar>
                    <w:left w:w="0" w:type="dxa"/>
                    <w:right w:w="0" w:type="dxa"/>
                  </w:tcMar>
                  <w:vAlign w:val="center"/>
                </w:tcPr>
                <w:p w14:paraId="4D469D29">
                  <w:pPr>
                    <w:topLinePunct/>
                    <w:adjustRightInd w:val="0"/>
                    <w:snapToGrid w:val="0"/>
                    <w:jc w:val="center"/>
                    <w:rPr>
                      <w:rFonts w:hint="eastAsia"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聚乙烯</w:t>
                  </w:r>
                </w:p>
              </w:tc>
              <w:tc>
                <w:tcPr>
                  <w:tcW w:w="584" w:type="dxa"/>
                  <w:noWrap/>
                  <w:tcMar>
                    <w:left w:w="0" w:type="dxa"/>
                    <w:right w:w="0" w:type="dxa"/>
                  </w:tcMar>
                  <w:vAlign w:val="center"/>
                </w:tcPr>
                <w:p w14:paraId="2908110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w:t>
                  </w:r>
                </w:p>
              </w:tc>
              <w:tc>
                <w:tcPr>
                  <w:tcW w:w="595" w:type="dxa"/>
                  <w:noWrap/>
                  <w:tcMar>
                    <w:left w:w="0" w:type="dxa"/>
                    <w:right w:w="0" w:type="dxa"/>
                  </w:tcMar>
                  <w:vAlign w:val="center"/>
                </w:tcPr>
                <w:p w14:paraId="3581F8E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生产时</w:t>
                  </w:r>
                </w:p>
              </w:tc>
              <w:tc>
                <w:tcPr>
                  <w:tcW w:w="1225" w:type="dxa"/>
                  <w:vMerge w:val="continue"/>
                  <w:noWrap/>
                  <w:tcMar>
                    <w:left w:w="0" w:type="dxa"/>
                    <w:right w:w="0" w:type="dxa"/>
                  </w:tcMar>
                  <w:vAlign w:val="center"/>
                </w:tcPr>
                <w:p w14:paraId="5637B5ED">
                  <w:pPr>
                    <w:topLinePunct/>
                    <w:adjustRightInd w:val="0"/>
                    <w:snapToGrid w:val="0"/>
                    <w:jc w:val="center"/>
                    <w:rPr>
                      <w:rFonts w:hint="default" w:ascii="Times New Roman" w:hAnsi="Times New Roman" w:cs="Times New Roman"/>
                      <w:kern w:val="0"/>
                      <w:szCs w:val="21"/>
                      <w:highlight w:val="none"/>
                    </w:rPr>
                  </w:pPr>
                </w:p>
              </w:tc>
            </w:tr>
            <w:tr w14:paraId="6BBEAA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continue"/>
                  <w:noWrap/>
                  <w:tcMar>
                    <w:left w:w="0" w:type="dxa"/>
                    <w:right w:w="0" w:type="dxa"/>
                  </w:tcMar>
                  <w:vAlign w:val="center"/>
                </w:tcPr>
                <w:p w14:paraId="066794F1">
                  <w:pPr>
                    <w:topLinePunct/>
                    <w:adjustRightInd w:val="0"/>
                    <w:snapToGrid w:val="0"/>
                    <w:jc w:val="center"/>
                    <w:rPr>
                      <w:rFonts w:hint="default" w:ascii="Times New Roman" w:hAnsi="Times New Roman" w:cs="Times New Roman"/>
                      <w:kern w:val="0"/>
                      <w:szCs w:val="21"/>
                      <w:highlight w:val="none"/>
                    </w:rPr>
                  </w:pPr>
                </w:p>
              </w:tc>
              <w:tc>
                <w:tcPr>
                  <w:tcW w:w="1398" w:type="dxa"/>
                  <w:noWrap/>
                  <w:tcMar>
                    <w:left w:w="0" w:type="dxa"/>
                    <w:right w:w="0" w:type="dxa"/>
                  </w:tcMar>
                  <w:vAlign w:val="center"/>
                </w:tcPr>
                <w:p w14:paraId="4EC99673">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default" w:ascii="Times New Roman" w:hAnsi="Times New Roman" w:cs="Times New Roman"/>
                      <w:kern w:val="0"/>
                      <w:szCs w:val="21"/>
                      <w:highlight w:val="none"/>
                    </w:rPr>
                    <w:t>废</w:t>
                  </w:r>
                  <w:r>
                    <w:rPr>
                      <w:rFonts w:hint="eastAsia" w:cs="Times New Roman"/>
                      <w:kern w:val="0"/>
                      <w:szCs w:val="21"/>
                      <w:highlight w:val="none"/>
                      <w:lang w:val="en-US" w:eastAsia="zh-CN"/>
                    </w:rPr>
                    <w:t>不合格产品</w:t>
                  </w:r>
                </w:p>
              </w:tc>
              <w:tc>
                <w:tcPr>
                  <w:tcW w:w="630" w:type="dxa"/>
                  <w:shd w:val="clear" w:color="auto" w:fill="auto"/>
                  <w:noWrap/>
                  <w:tcMar>
                    <w:left w:w="0" w:type="dxa"/>
                    <w:right w:w="0" w:type="dxa"/>
                  </w:tcMar>
                  <w:vAlign w:val="center"/>
                </w:tcPr>
                <w:p w14:paraId="269D9CC2">
                  <w:pPr>
                    <w:topLinePunct/>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Cs w:val="21"/>
                      <w:highlight w:val="none"/>
                    </w:rPr>
                    <w:t>SW17</w:t>
                  </w:r>
                </w:p>
              </w:tc>
              <w:tc>
                <w:tcPr>
                  <w:tcW w:w="1145" w:type="dxa"/>
                  <w:shd w:val="clear" w:color="auto" w:fill="auto"/>
                  <w:noWrap/>
                  <w:tcMar>
                    <w:left w:w="0" w:type="dxa"/>
                    <w:right w:w="0" w:type="dxa"/>
                  </w:tcMar>
                  <w:vAlign w:val="center"/>
                </w:tcPr>
                <w:p w14:paraId="0793964C">
                  <w:pPr>
                    <w:topLinePunct/>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Cs w:val="21"/>
                      <w:highlight w:val="none"/>
                    </w:rPr>
                    <w:t>900-00</w:t>
                  </w:r>
                  <w:r>
                    <w:rPr>
                      <w:rFonts w:hint="eastAsia" w:cs="Times New Roman"/>
                      <w:kern w:val="0"/>
                      <w:szCs w:val="21"/>
                      <w:highlight w:val="none"/>
                      <w:lang w:val="en-US" w:eastAsia="zh-CN"/>
                    </w:rPr>
                    <w:t>3</w:t>
                  </w:r>
                  <w:r>
                    <w:rPr>
                      <w:rFonts w:hint="default" w:ascii="Times New Roman" w:hAnsi="Times New Roman" w:cs="Times New Roman"/>
                      <w:kern w:val="0"/>
                      <w:szCs w:val="21"/>
                      <w:highlight w:val="none"/>
                    </w:rPr>
                    <w:t>-S17</w:t>
                  </w:r>
                </w:p>
              </w:tc>
              <w:tc>
                <w:tcPr>
                  <w:tcW w:w="676" w:type="dxa"/>
                  <w:noWrap/>
                  <w:tcMar>
                    <w:left w:w="0" w:type="dxa"/>
                    <w:right w:w="0" w:type="dxa"/>
                  </w:tcMar>
                  <w:vAlign w:val="center"/>
                </w:tcPr>
                <w:p w14:paraId="43F99097">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0.45</w:t>
                  </w:r>
                </w:p>
              </w:tc>
              <w:tc>
                <w:tcPr>
                  <w:tcW w:w="756" w:type="dxa"/>
                  <w:noWrap/>
                  <w:tcMar>
                    <w:left w:w="0" w:type="dxa"/>
                    <w:right w:w="0" w:type="dxa"/>
                  </w:tcMar>
                  <w:vAlign w:val="center"/>
                </w:tcPr>
                <w:p w14:paraId="582CC66C">
                  <w:pPr>
                    <w:topLinePunct/>
                    <w:adjustRightInd w:val="0"/>
                    <w:snapToGrid w:val="0"/>
                    <w:jc w:val="center"/>
                    <w:rPr>
                      <w:rFonts w:hint="eastAsia"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质检</w:t>
                  </w:r>
                </w:p>
              </w:tc>
              <w:tc>
                <w:tcPr>
                  <w:tcW w:w="584" w:type="dxa"/>
                  <w:noWrap/>
                  <w:tcMar>
                    <w:left w:w="0" w:type="dxa"/>
                    <w:right w:w="0" w:type="dxa"/>
                  </w:tcMar>
                  <w:vAlign w:val="center"/>
                </w:tcPr>
                <w:p w14:paraId="48C507B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1088" w:type="dxa"/>
                  <w:noWrap/>
                  <w:tcMar>
                    <w:left w:w="0" w:type="dxa"/>
                    <w:right w:w="0" w:type="dxa"/>
                  </w:tcMar>
                  <w:vAlign w:val="center"/>
                </w:tcPr>
                <w:p w14:paraId="49C588DD">
                  <w:pPr>
                    <w:topLinePunct/>
                    <w:adjustRightInd w:val="0"/>
                    <w:snapToGrid w:val="0"/>
                    <w:jc w:val="center"/>
                    <w:rPr>
                      <w:rFonts w:hint="default" w:ascii="Times New Roman" w:hAnsi="Times New Roman" w:cs="Times New Roman"/>
                      <w:kern w:val="0"/>
                      <w:szCs w:val="21"/>
                      <w:highlight w:val="none"/>
                    </w:rPr>
                  </w:pPr>
                  <w:r>
                    <w:rPr>
                      <w:rFonts w:hint="eastAsia" w:cs="Times New Roman"/>
                      <w:kern w:val="0"/>
                      <w:szCs w:val="21"/>
                      <w:highlight w:val="none"/>
                      <w:lang w:val="en-US" w:eastAsia="zh-CN"/>
                    </w:rPr>
                    <w:t>聚乙烯</w:t>
                  </w:r>
                </w:p>
              </w:tc>
              <w:tc>
                <w:tcPr>
                  <w:tcW w:w="584" w:type="dxa"/>
                  <w:noWrap/>
                  <w:tcMar>
                    <w:left w:w="0" w:type="dxa"/>
                    <w:right w:w="0" w:type="dxa"/>
                  </w:tcMar>
                  <w:vAlign w:val="center"/>
                </w:tcPr>
                <w:p w14:paraId="3A20658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w:t>
                  </w:r>
                </w:p>
              </w:tc>
              <w:tc>
                <w:tcPr>
                  <w:tcW w:w="595" w:type="dxa"/>
                  <w:noWrap/>
                  <w:tcMar>
                    <w:left w:w="0" w:type="dxa"/>
                    <w:right w:w="0" w:type="dxa"/>
                  </w:tcMar>
                  <w:vAlign w:val="center"/>
                </w:tcPr>
                <w:p w14:paraId="07E373F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生产时</w:t>
                  </w:r>
                </w:p>
              </w:tc>
              <w:tc>
                <w:tcPr>
                  <w:tcW w:w="1225" w:type="dxa"/>
                  <w:vMerge w:val="continue"/>
                  <w:noWrap/>
                  <w:tcMar>
                    <w:left w:w="0" w:type="dxa"/>
                    <w:right w:w="0" w:type="dxa"/>
                  </w:tcMar>
                  <w:vAlign w:val="center"/>
                </w:tcPr>
                <w:p w14:paraId="3BE56E21">
                  <w:pPr>
                    <w:topLinePunct/>
                    <w:adjustRightInd w:val="0"/>
                    <w:snapToGrid w:val="0"/>
                    <w:jc w:val="center"/>
                    <w:rPr>
                      <w:rFonts w:hint="default" w:ascii="Times New Roman" w:hAnsi="Times New Roman" w:cs="Times New Roman"/>
                      <w:kern w:val="0"/>
                      <w:szCs w:val="21"/>
                      <w:highlight w:val="none"/>
                    </w:rPr>
                  </w:pPr>
                </w:p>
              </w:tc>
            </w:tr>
            <w:tr w14:paraId="70ED97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restart"/>
                  <w:noWrap/>
                  <w:tcMar>
                    <w:left w:w="0" w:type="dxa"/>
                    <w:right w:w="0" w:type="dxa"/>
                  </w:tcMar>
                  <w:vAlign w:val="center"/>
                </w:tcPr>
                <w:p w14:paraId="0CAC3B6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w:t>
                  </w:r>
                </w:p>
              </w:tc>
              <w:tc>
                <w:tcPr>
                  <w:tcW w:w="1398" w:type="dxa"/>
                  <w:noWrap/>
                  <w:tcMar>
                    <w:left w:w="0" w:type="dxa"/>
                    <w:right w:w="0" w:type="dxa"/>
                  </w:tcMar>
                  <w:vAlign w:val="center"/>
                </w:tcPr>
                <w:p w14:paraId="466F43F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废润滑油</w:t>
                  </w:r>
                </w:p>
              </w:tc>
              <w:tc>
                <w:tcPr>
                  <w:tcW w:w="630" w:type="dxa"/>
                  <w:noWrap/>
                  <w:tcMar>
                    <w:left w:w="0" w:type="dxa"/>
                    <w:right w:w="0" w:type="dxa"/>
                  </w:tcMar>
                  <w:vAlign w:val="center"/>
                </w:tcPr>
                <w:p w14:paraId="358F565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HW08</w:t>
                  </w:r>
                </w:p>
              </w:tc>
              <w:tc>
                <w:tcPr>
                  <w:tcW w:w="1145" w:type="dxa"/>
                  <w:noWrap/>
                  <w:tcMar>
                    <w:left w:w="0" w:type="dxa"/>
                    <w:right w:w="0" w:type="dxa"/>
                  </w:tcMar>
                  <w:vAlign w:val="center"/>
                </w:tcPr>
                <w:p w14:paraId="56F0FC6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900-217-08</w:t>
                  </w:r>
                </w:p>
              </w:tc>
              <w:tc>
                <w:tcPr>
                  <w:tcW w:w="676" w:type="dxa"/>
                  <w:noWrap/>
                  <w:tcMar>
                    <w:left w:w="0" w:type="dxa"/>
                    <w:right w:w="0" w:type="dxa"/>
                  </w:tcMar>
                  <w:vAlign w:val="center"/>
                </w:tcPr>
                <w:p w14:paraId="760F2A3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0.1</w:t>
                  </w:r>
                </w:p>
              </w:tc>
              <w:tc>
                <w:tcPr>
                  <w:tcW w:w="756" w:type="dxa"/>
                  <w:noWrap/>
                  <w:tcMar>
                    <w:left w:w="0" w:type="dxa"/>
                    <w:right w:w="0" w:type="dxa"/>
                  </w:tcMar>
                  <w:vAlign w:val="center"/>
                </w:tcPr>
                <w:p w14:paraId="3ED29DE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设备使用、维护</w:t>
                  </w:r>
                </w:p>
              </w:tc>
              <w:tc>
                <w:tcPr>
                  <w:tcW w:w="584" w:type="dxa"/>
                  <w:noWrap/>
                  <w:tcMar>
                    <w:left w:w="0" w:type="dxa"/>
                    <w:right w:w="0" w:type="dxa"/>
                  </w:tcMar>
                  <w:vAlign w:val="center"/>
                </w:tcPr>
                <w:p w14:paraId="3100636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液态</w:t>
                  </w:r>
                </w:p>
              </w:tc>
              <w:tc>
                <w:tcPr>
                  <w:tcW w:w="1088" w:type="dxa"/>
                  <w:noWrap/>
                  <w:tcMar>
                    <w:left w:w="0" w:type="dxa"/>
                    <w:right w:w="0" w:type="dxa"/>
                  </w:tcMar>
                  <w:vAlign w:val="center"/>
                </w:tcPr>
                <w:p w14:paraId="76F196D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矿物油</w:t>
                  </w:r>
                </w:p>
              </w:tc>
              <w:tc>
                <w:tcPr>
                  <w:tcW w:w="584" w:type="dxa"/>
                  <w:noWrap/>
                  <w:tcMar>
                    <w:left w:w="0" w:type="dxa"/>
                    <w:right w:w="0" w:type="dxa"/>
                  </w:tcMar>
                  <w:vAlign w:val="center"/>
                </w:tcPr>
                <w:p w14:paraId="2D34BA0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r>
                    <w:rPr>
                      <w:rFonts w:hint="eastAsia" w:cs="Times New Roman"/>
                      <w:kern w:val="0"/>
                      <w:szCs w:val="21"/>
                      <w:highlight w:val="none"/>
                      <w:lang w:eastAsia="zh-CN"/>
                    </w:rPr>
                    <w:t xml:space="preserve">, </w:t>
                  </w:r>
                  <w:r>
                    <w:rPr>
                      <w:rFonts w:hint="default" w:ascii="Times New Roman" w:hAnsi="Times New Roman" w:cs="Times New Roman"/>
                      <w:kern w:val="0"/>
                      <w:szCs w:val="21"/>
                      <w:highlight w:val="none"/>
                    </w:rPr>
                    <w:t>I</w:t>
                  </w:r>
                </w:p>
              </w:tc>
              <w:tc>
                <w:tcPr>
                  <w:tcW w:w="595" w:type="dxa"/>
                  <w:noWrap/>
                  <w:tcMar>
                    <w:left w:w="0" w:type="dxa"/>
                    <w:right w:w="0" w:type="dxa"/>
                  </w:tcMar>
                  <w:vAlign w:val="center"/>
                </w:tcPr>
                <w:p w14:paraId="5AD27FF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225" w:type="dxa"/>
                  <w:vMerge w:val="restart"/>
                  <w:noWrap/>
                  <w:tcMar>
                    <w:left w:w="0" w:type="dxa"/>
                    <w:right w:w="0" w:type="dxa"/>
                  </w:tcMar>
                  <w:vAlign w:val="center"/>
                </w:tcPr>
                <w:p w14:paraId="5884924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委托有资质的单位妥善处置</w:t>
                  </w:r>
                </w:p>
              </w:tc>
            </w:tr>
            <w:tr w14:paraId="34886C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continue"/>
                  <w:noWrap/>
                  <w:tcMar>
                    <w:left w:w="0" w:type="dxa"/>
                    <w:right w:w="0" w:type="dxa"/>
                  </w:tcMar>
                  <w:vAlign w:val="center"/>
                </w:tcPr>
                <w:p w14:paraId="65CD4ED8">
                  <w:pPr>
                    <w:topLinePunct/>
                    <w:adjustRightInd w:val="0"/>
                    <w:snapToGrid w:val="0"/>
                    <w:jc w:val="center"/>
                    <w:rPr>
                      <w:rFonts w:hint="default" w:ascii="Times New Roman" w:hAnsi="Times New Roman" w:cs="Times New Roman"/>
                      <w:kern w:val="0"/>
                      <w:szCs w:val="21"/>
                      <w:highlight w:val="none"/>
                    </w:rPr>
                  </w:pPr>
                </w:p>
              </w:tc>
              <w:tc>
                <w:tcPr>
                  <w:tcW w:w="1398" w:type="dxa"/>
                  <w:noWrap/>
                  <w:tcMar>
                    <w:left w:w="0" w:type="dxa"/>
                    <w:right w:w="0" w:type="dxa"/>
                  </w:tcMar>
                  <w:vAlign w:val="center"/>
                </w:tcPr>
                <w:p w14:paraId="1056A8F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废润滑油桶</w:t>
                  </w:r>
                </w:p>
              </w:tc>
              <w:tc>
                <w:tcPr>
                  <w:tcW w:w="630" w:type="dxa"/>
                  <w:shd w:val="clear" w:color="auto" w:fill="auto"/>
                  <w:noWrap/>
                  <w:tcMar>
                    <w:left w:w="0" w:type="dxa"/>
                    <w:right w:w="0" w:type="dxa"/>
                  </w:tcMar>
                  <w:vAlign w:val="center"/>
                </w:tcPr>
                <w:p w14:paraId="679D905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HW08</w:t>
                  </w:r>
                </w:p>
              </w:tc>
              <w:tc>
                <w:tcPr>
                  <w:tcW w:w="1145" w:type="dxa"/>
                  <w:shd w:val="clear" w:color="auto" w:fill="auto"/>
                  <w:noWrap/>
                  <w:tcMar>
                    <w:left w:w="0" w:type="dxa"/>
                    <w:right w:w="0" w:type="dxa"/>
                  </w:tcMar>
                  <w:vAlign w:val="center"/>
                </w:tcPr>
                <w:p w14:paraId="22B6DCF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900-249-08</w:t>
                  </w:r>
                </w:p>
              </w:tc>
              <w:tc>
                <w:tcPr>
                  <w:tcW w:w="676" w:type="dxa"/>
                  <w:shd w:val="clear" w:color="auto" w:fill="auto"/>
                  <w:noWrap/>
                  <w:tcMar>
                    <w:left w:w="0" w:type="dxa"/>
                    <w:right w:w="0" w:type="dxa"/>
                  </w:tcMar>
                  <w:vAlign w:val="center"/>
                </w:tcPr>
                <w:p w14:paraId="5C48435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0.1</w:t>
                  </w:r>
                </w:p>
              </w:tc>
              <w:tc>
                <w:tcPr>
                  <w:tcW w:w="756" w:type="dxa"/>
                  <w:shd w:val="clear" w:color="auto" w:fill="auto"/>
                  <w:noWrap/>
                  <w:tcMar>
                    <w:left w:w="0" w:type="dxa"/>
                    <w:right w:w="0" w:type="dxa"/>
                  </w:tcMar>
                  <w:vAlign w:val="center"/>
                </w:tcPr>
                <w:p w14:paraId="5B4BC58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设备使用、维护</w:t>
                  </w:r>
                </w:p>
              </w:tc>
              <w:tc>
                <w:tcPr>
                  <w:tcW w:w="584" w:type="dxa"/>
                  <w:shd w:val="clear" w:color="auto" w:fill="auto"/>
                  <w:noWrap/>
                  <w:tcMar>
                    <w:left w:w="0" w:type="dxa"/>
                    <w:right w:w="0" w:type="dxa"/>
                  </w:tcMar>
                  <w:vAlign w:val="center"/>
                </w:tcPr>
                <w:p w14:paraId="04E6C2D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液态</w:t>
                  </w:r>
                </w:p>
              </w:tc>
              <w:tc>
                <w:tcPr>
                  <w:tcW w:w="1088" w:type="dxa"/>
                  <w:shd w:val="clear" w:color="auto" w:fill="auto"/>
                  <w:noWrap/>
                  <w:tcMar>
                    <w:left w:w="0" w:type="dxa"/>
                    <w:right w:w="0" w:type="dxa"/>
                  </w:tcMar>
                  <w:vAlign w:val="center"/>
                </w:tcPr>
                <w:p w14:paraId="23CD54F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矿物油</w:t>
                  </w:r>
                </w:p>
              </w:tc>
              <w:tc>
                <w:tcPr>
                  <w:tcW w:w="584" w:type="dxa"/>
                  <w:shd w:val="clear" w:color="auto" w:fill="auto"/>
                  <w:noWrap/>
                  <w:tcMar>
                    <w:left w:w="0" w:type="dxa"/>
                    <w:right w:w="0" w:type="dxa"/>
                  </w:tcMar>
                  <w:vAlign w:val="center"/>
                </w:tcPr>
                <w:p w14:paraId="1740B38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r>
                    <w:rPr>
                      <w:rFonts w:hint="eastAsia" w:cs="Times New Roman"/>
                      <w:kern w:val="0"/>
                      <w:szCs w:val="21"/>
                      <w:highlight w:val="none"/>
                      <w:lang w:eastAsia="zh-CN"/>
                    </w:rPr>
                    <w:t xml:space="preserve">, </w:t>
                  </w:r>
                  <w:r>
                    <w:rPr>
                      <w:rFonts w:hint="default" w:ascii="Times New Roman" w:hAnsi="Times New Roman" w:cs="Times New Roman"/>
                      <w:kern w:val="0"/>
                      <w:szCs w:val="21"/>
                      <w:highlight w:val="none"/>
                    </w:rPr>
                    <w:t>I</w:t>
                  </w:r>
                </w:p>
              </w:tc>
              <w:tc>
                <w:tcPr>
                  <w:tcW w:w="595" w:type="dxa"/>
                  <w:shd w:val="clear" w:color="auto" w:fill="auto"/>
                  <w:noWrap/>
                  <w:tcMar>
                    <w:left w:w="0" w:type="dxa"/>
                    <w:right w:w="0" w:type="dxa"/>
                  </w:tcMar>
                  <w:vAlign w:val="center"/>
                </w:tcPr>
                <w:p w14:paraId="28337C2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225" w:type="dxa"/>
                  <w:vMerge w:val="continue"/>
                  <w:noWrap/>
                  <w:tcMar>
                    <w:left w:w="0" w:type="dxa"/>
                    <w:right w:w="0" w:type="dxa"/>
                  </w:tcMar>
                  <w:vAlign w:val="center"/>
                </w:tcPr>
                <w:p w14:paraId="5A2E127F">
                  <w:pPr>
                    <w:topLinePunct/>
                    <w:adjustRightInd w:val="0"/>
                    <w:snapToGrid w:val="0"/>
                    <w:jc w:val="center"/>
                    <w:rPr>
                      <w:rFonts w:hint="default" w:ascii="Times New Roman" w:hAnsi="Times New Roman" w:cs="Times New Roman"/>
                      <w:kern w:val="0"/>
                      <w:szCs w:val="21"/>
                      <w:highlight w:val="none"/>
                    </w:rPr>
                  </w:pPr>
                </w:p>
              </w:tc>
            </w:tr>
            <w:tr w14:paraId="1BD810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continue"/>
                  <w:noWrap/>
                  <w:tcMar>
                    <w:left w:w="0" w:type="dxa"/>
                    <w:right w:w="0" w:type="dxa"/>
                  </w:tcMar>
                  <w:vAlign w:val="center"/>
                </w:tcPr>
                <w:p w14:paraId="233130CF">
                  <w:pPr>
                    <w:topLinePunct/>
                    <w:adjustRightInd w:val="0"/>
                    <w:snapToGrid w:val="0"/>
                    <w:jc w:val="center"/>
                    <w:rPr>
                      <w:rFonts w:hint="default" w:ascii="Times New Roman" w:hAnsi="Times New Roman" w:cs="Times New Roman"/>
                      <w:kern w:val="0"/>
                      <w:szCs w:val="21"/>
                      <w:highlight w:val="none"/>
                    </w:rPr>
                  </w:pPr>
                </w:p>
              </w:tc>
              <w:tc>
                <w:tcPr>
                  <w:tcW w:w="1398" w:type="dxa"/>
                  <w:noWrap/>
                  <w:tcMar>
                    <w:left w:w="0" w:type="dxa"/>
                    <w:right w:w="0" w:type="dxa"/>
                  </w:tcMar>
                  <w:vAlign w:val="center"/>
                </w:tcPr>
                <w:p w14:paraId="312A3F4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废活性炭</w:t>
                  </w:r>
                </w:p>
              </w:tc>
              <w:tc>
                <w:tcPr>
                  <w:tcW w:w="630" w:type="dxa"/>
                  <w:shd w:val="clear" w:color="auto" w:fill="auto"/>
                  <w:noWrap/>
                  <w:tcMar>
                    <w:left w:w="0" w:type="dxa"/>
                    <w:right w:w="0" w:type="dxa"/>
                  </w:tcMar>
                  <w:vAlign w:val="center"/>
                </w:tcPr>
                <w:p w14:paraId="3CCB5F7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HW49</w:t>
                  </w:r>
                </w:p>
              </w:tc>
              <w:tc>
                <w:tcPr>
                  <w:tcW w:w="1145" w:type="dxa"/>
                  <w:shd w:val="clear" w:color="auto" w:fill="auto"/>
                  <w:noWrap/>
                  <w:tcMar>
                    <w:left w:w="0" w:type="dxa"/>
                    <w:right w:w="0" w:type="dxa"/>
                  </w:tcMar>
                  <w:vAlign w:val="center"/>
                </w:tcPr>
                <w:p w14:paraId="611A20A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900-039-49</w:t>
                  </w:r>
                </w:p>
              </w:tc>
              <w:tc>
                <w:tcPr>
                  <w:tcW w:w="676" w:type="dxa"/>
                  <w:shd w:val="clear" w:color="auto" w:fill="auto"/>
                  <w:noWrap/>
                  <w:tcMar>
                    <w:left w:w="0" w:type="dxa"/>
                    <w:right w:w="0" w:type="dxa"/>
                  </w:tcMar>
                  <w:vAlign w:val="center"/>
                </w:tcPr>
                <w:p w14:paraId="4264CC37">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5.719</w:t>
                  </w:r>
                </w:p>
              </w:tc>
              <w:tc>
                <w:tcPr>
                  <w:tcW w:w="756" w:type="dxa"/>
                  <w:shd w:val="clear" w:color="auto" w:fill="auto"/>
                  <w:noWrap/>
                  <w:tcMar>
                    <w:left w:w="0" w:type="dxa"/>
                    <w:right w:w="0" w:type="dxa"/>
                  </w:tcMar>
                  <w:vAlign w:val="center"/>
                </w:tcPr>
                <w:p w14:paraId="2FFB306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环保设备</w:t>
                  </w:r>
                </w:p>
              </w:tc>
              <w:tc>
                <w:tcPr>
                  <w:tcW w:w="584" w:type="dxa"/>
                  <w:shd w:val="clear" w:color="auto" w:fill="auto"/>
                  <w:noWrap/>
                  <w:tcMar>
                    <w:left w:w="0" w:type="dxa"/>
                    <w:right w:w="0" w:type="dxa"/>
                  </w:tcMar>
                  <w:vAlign w:val="center"/>
                </w:tcPr>
                <w:p w14:paraId="527B96E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1088" w:type="dxa"/>
                  <w:shd w:val="clear" w:color="auto" w:fill="auto"/>
                  <w:noWrap/>
                  <w:tcMar>
                    <w:left w:w="0" w:type="dxa"/>
                    <w:right w:w="0" w:type="dxa"/>
                  </w:tcMar>
                  <w:vAlign w:val="center"/>
                </w:tcPr>
                <w:p w14:paraId="6A593FC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活性炭</w:t>
                  </w:r>
                </w:p>
              </w:tc>
              <w:tc>
                <w:tcPr>
                  <w:tcW w:w="584" w:type="dxa"/>
                  <w:shd w:val="clear" w:color="auto" w:fill="auto"/>
                  <w:noWrap/>
                  <w:tcMar>
                    <w:left w:w="0" w:type="dxa"/>
                    <w:right w:w="0" w:type="dxa"/>
                  </w:tcMar>
                  <w:vAlign w:val="center"/>
                </w:tcPr>
                <w:p w14:paraId="7CF0E55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p>
              </w:tc>
              <w:tc>
                <w:tcPr>
                  <w:tcW w:w="595" w:type="dxa"/>
                  <w:shd w:val="clear" w:color="auto" w:fill="auto"/>
                  <w:noWrap/>
                  <w:tcMar>
                    <w:left w:w="0" w:type="dxa"/>
                    <w:right w:w="0" w:type="dxa"/>
                  </w:tcMar>
                  <w:vAlign w:val="center"/>
                </w:tcPr>
                <w:p w14:paraId="409C682B">
                  <w:pPr>
                    <w:topLinePunct/>
                    <w:adjustRightInd w:val="0"/>
                    <w:snapToGrid w:val="0"/>
                    <w:jc w:val="center"/>
                    <w:rPr>
                      <w:rFonts w:hint="default" w:ascii="Times New Roman" w:hAnsi="Times New Roman" w:cs="Times New Roman"/>
                      <w:kern w:val="0"/>
                      <w:szCs w:val="21"/>
                      <w:highlight w:val="none"/>
                    </w:rPr>
                  </w:pPr>
                  <w:r>
                    <w:rPr>
                      <w:rFonts w:hint="eastAsia" w:cs="Times New Roman"/>
                      <w:kern w:val="0"/>
                      <w:szCs w:val="21"/>
                      <w:highlight w:val="none"/>
                      <w:lang w:val="en-US" w:eastAsia="zh-CN"/>
                    </w:rPr>
                    <w:t>2</w:t>
                  </w:r>
                  <w:r>
                    <w:rPr>
                      <w:rFonts w:hint="default" w:ascii="Times New Roman" w:hAnsi="Times New Roman" w:cs="Times New Roman"/>
                      <w:kern w:val="0"/>
                      <w:szCs w:val="21"/>
                      <w:highlight w:val="none"/>
                    </w:rPr>
                    <w:t>次/a</w:t>
                  </w:r>
                </w:p>
              </w:tc>
              <w:tc>
                <w:tcPr>
                  <w:tcW w:w="1225" w:type="dxa"/>
                  <w:vMerge w:val="continue"/>
                  <w:noWrap/>
                  <w:tcMar>
                    <w:left w:w="0" w:type="dxa"/>
                    <w:right w:w="0" w:type="dxa"/>
                  </w:tcMar>
                  <w:vAlign w:val="center"/>
                </w:tcPr>
                <w:p w14:paraId="4B5520CC">
                  <w:pPr>
                    <w:topLinePunct/>
                    <w:adjustRightInd w:val="0"/>
                    <w:snapToGrid w:val="0"/>
                    <w:jc w:val="center"/>
                    <w:rPr>
                      <w:rFonts w:hint="default" w:ascii="Times New Roman" w:hAnsi="Times New Roman" w:cs="Times New Roman"/>
                      <w:kern w:val="0"/>
                      <w:szCs w:val="21"/>
                      <w:highlight w:val="none"/>
                    </w:rPr>
                  </w:pPr>
                </w:p>
              </w:tc>
            </w:tr>
          </w:tbl>
          <w:p w14:paraId="45CFE02F">
            <w:pPr>
              <w:pStyle w:val="121"/>
              <w:spacing w:line="360" w:lineRule="auto"/>
              <w:ind w:firstLine="504" w:firstLineChars="200"/>
              <w:jc w:val="left"/>
              <w:rPr>
                <w:rFonts w:hint="default" w:ascii="Times New Roman" w:hAnsi="Times New Roman" w:cs="Times New Roman"/>
                <w:szCs w:val="24"/>
                <w:highlight w:val="none"/>
              </w:rPr>
            </w:pPr>
            <w:r>
              <w:rPr>
                <w:rFonts w:hint="default" w:ascii="Times New Roman" w:hAnsi="Times New Roman" w:cs="Times New Roman"/>
                <w:szCs w:val="24"/>
                <w:highlight w:val="none"/>
              </w:rPr>
              <w:t>项目一般工业固体废物贮存必须符合相关环保要求：①防止雨水径流进入贮存场所；②设置围挡设施；③贮存场所应按《</w:t>
            </w:r>
            <w:r>
              <w:rPr>
                <w:rFonts w:hint="eastAsia" w:ascii="Times New Roman" w:cs="Times New Roman"/>
                <w:szCs w:val="24"/>
                <w:highlight w:val="none"/>
                <w:lang w:eastAsia="zh-CN"/>
              </w:rPr>
              <w:t>环境保护图形标志 固体废物贮存（处置）场</w:t>
            </w:r>
            <w:r>
              <w:rPr>
                <w:rFonts w:hint="default" w:ascii="Times New Roman" w:hAnsi="Times New Roman" w:cs="Times New Roman"/>
                <w:szCs w:val="24"/>
                <w:highlight w:val="none"/>
              </w:rPr>
              <w:t>》</w:t>
            </w:r>
            <w:r>
              <w:rPr>
                <w:rFonts w:hint="eastAsia" w:ascii="Times New Roman" w:cs="Times New Roman"/>
                <w:szCs w:val="24"/>
                <w:highlight w:val="none"/>
                <w:lang w:eastAsia="zh-CN"/>
              </w:rPr>
              <w:t>（GB 15562.2-1995）</w:t>
            </w:r>
            <w:r>
              <w:rPr>
                <w:rFonts w:hint="default" w:ascii="Times New Roman" w:hAnsi="Times New Roman" w:cs="Times New Roman"/>
                <w:szCs w:val="24"/>
                <w:highlight w:val="none"/>
              </w:rPr>
              <w:t>设置环境保护图形标志；④一般工业固体废物贮存场所，禁止危险废物和生活垃圾混入。⑤暂存场所地面按照一般防治区要求全部进行硬化，采用钢筋混凝土加防渗剂的防渗地坪，渗透系数小于1.0×10</w:t>
            </w:r>
            <w:r>
              <w:rPr>
                <w:rFonts w:hint="default" w:ascii="Times New Roman" w:hAnsi="Times New Roman" w:cs="Times New Roman"/>
                <w:szCs w:val="24"/>
                <w:highlight w:val="none"/>
                <w:vertAlign w:val="superscript"/>
              </w:rPr>
              <w:t>-7</w:t>
            </w:r>
            <w:r>
              <w:rPr>
                <w:rFonts w:hint="default" w:ascii="Times New Roman" w:hAnsi="Times New Roman" w:cs="Times New Roman"/>
                <w:szCs w:val="24"/>
                <w:highlight w:val="none"/>
              </w:rPr>
              <w:t>cm/s。</w:t>
            </w:r>
          </w:p>
          <w:p w14:paraId="52D83FBE">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8</w:t>
            </w:r>
            <w:r>
              <w:rPr>
                <w:rFonts w:hint="default" w:ascii="Times New Roman" w:hAnsi="Times New Roman" w:cs="Times New Roman"/>
                <w:b/>
                <w:bCs/>
                <w:color w:val="000000"/>
                <w:sz w:val="24"/>
                <w:highlight w:val="none"/>
              </w:rPr>
              <w:t xml:space="preserve">  危险废物产生及处理情况</w:t>
            </w:r>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720"/>
              <w:gridCol w:w="1103"/>
              <w:gridCol w:w="702"/>
              <w:gridCol w:w="974"/>
              <w:gridCol w:w="394"/>
              <w:gridCol w:w="746"/>
              <w:gridCol w:w="774"/>
              <w:gridCol w:w="1037"/>
              <w:gridCol w:w="1377"/>
            </w:tblGrid>
            <w:tr w14:paraId="7F00BE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noWrap/>
                  <w:tcMar>
                    <w:left w:w="0" w:type="dxa"/>
                    <w:right w:w="0" w:type="dxa"/>
                  </w:tcMar>
                  <w:vAlign w:val="center"/>
                </w:tcPr>
                <w:p w14:paraId="4D123F9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危险废物名称</w:t>
                  </w:r>
                </w:p>
              </w:tc>
              <w:tc>
                <w:tcPr>
                  <w:tcW w:w="720" w:type="dxa"/>
                  <w:noWrap/>
                  <w:tcMar>
                    <w:left w:w="0" w:type="dxa"/>
                    <w:right w:w="0" w:type="dxa"/>
                  </w:tcMar>
                  <w:vAlign w:val="center"/>
                </w:tcPr>
                <w:p w14:paraId="501EE02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危险废物类别</w:t>
                  </w:r>
                </w:p>
              </w:tc>
              <w:tc>
                <w:tcPr>
                  <w:tcW w:w="1103" w:type="dxa"/>
                  <w:noWrap/>
                  <w:tcMar>
                    <w:left w:w="0" w:type="dxa"/>
                    <w:right w:w="0" w:type="dxa"/>
                  </w:tcMar>
                  <w:vAlign w:val="center"/>
                </w:tcPr>
                <w:p w14:paraId="4B89C62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危险废物代码</w:t>
                  </w:r>
                </w:p>
              </w:tc>
              <w:tc>
                <w:tcPr>
                  <w:tcW w:w="702" w:type="dxa"/>
                  <w:noWrap/>
                  <w:tcMar>
                    <w:left w:w="0" w:type="dxa"/>
                    <w:right w:w="0" w:type="dxa"/>
                  </w:tcMar>
                  <w:vAlign w:val="center"/>
                </w:tcPr>
                <w:p w14:paraId="7F84AB4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产生量（t/a）</w:t>
                  </w:r>
                </w:p>
              </w:tc>
              <w:tc>
                <w:tcPr>
                  <w:tcW w:w="974" w:type="dxa"/>
                  <w:noWrap/>
                  <w:tcMar>
                    <w:left w:w="0" w:type="dxa"/>
                    <w:right w:w="0" w:type="dxa"/>
                  </w:tcMar>
                  <w:vAlign w:val="center"/>
                </w:tcPr>
                <w:p w14:paraId="1FAB911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产生工序及装置</w:t>
                  </w:r>
                </w:p>
              </w:tc>
              <w:tc>
                <w:tcPr>
                  <w:tcW w:w="394" w:type="dxa"/>
                  <w:noWrap/>
                  <w:tcMar>
                    <w:left w:w="0" w:type="dxa"/>
                    <w:right w:w="0" w:type="dxa"/>
                  </w:tcMar>
                  <w:vAlign w:val="center"/>
                </w:tcPr>
                <w:p w14:paraId="13EA188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形态</w:t>
                  </w:r>
                </w:p>
              </w:tc>
              <w:tc>
                <w:tcPr>
                  <w:tcW w:w="746" w:type="dxa"/>
                  <w:noWrap/>
                  <w:tcMar>
                    <w:left w:w="0" w:type="dxa"/>
                    <w:right w:w="0" w:type="dxa"/>
                  </w:tcMar>
                  <w:vAlign w:val="center"/>
                </w:tcPr>
                <w:p w14:paraId="16BB4EC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主要成分</w:t>
                  </w:r>
                </w:p>
              </w:tc>
              <w:tc>
                <w:tcPr>
                  <w:tcW w:w="774" w:type="dxa"/>
                  <w:noWrap/>
                  <w:tcMar>
                    <w:left w:w="0" w:type="dxa"/>
                    <w:right w:w="0" w:type="dxa"/>
                  </w:tcMar>
                  <w:vAlign w:val="center"/>
                </w:tcPr>
                <w:p w14:paraId="2ACA056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w:t>
                  </w:r>
                </w:p>
                <w:p w14:paraId="233F1E5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特性</w:t>
                  </w:r>
                </w:p>
              </w:tc>
              <w:tc>
                <w:tcPr>
                  <w:tcW w:w="1037" w:type="dxa"/>
                  <w:noWrap/>
                  <w:tcMar>
                    <w:left w:w="0" w:type="dxa"/>
                    <w:right w:w="0" w:type="dxa"/>
                  </w:tcMar>
                  <w:vAlign w:val="center"/>
                </w:tcPr>
                <w:p w14:paraId="477B86C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产废周期</w:t>
                  </w:r>
                </w:p>
              </w:tc>
              <w:tc>
                <w:tcPr>
                  <w:tcW w:w="1377" w:type="dxa"/>
                  <w:noWrap/>
                  <w:tcMar>
                    <w:left w:w="0" w:type="dxa"/>
                    <w:right w:w="0" w:type="dxa"/>
                  </w:tcMar>
                  <w:vAlign w:val="center"/>
                </w:tcPr>
                <w:p w14:paraId="68ED9F2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污染防治措施</w:t>
                  </w:r>
                </w:p>
              </w:tc>
            </w:tr>
            <w:tr w14:paraId="6EB6B6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noWrap/>
                  <w:tcMar>
                    <w:left w:w="0" w:type="dxa"/>
                    <w:right w:w="0" w:type="dxa"/>
                  </w:tcMar>
                  <w:vAlign w:val="center"/>
                </w:tcPr>
                <w:p w14:paraId="5AA0665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废润滑油</w:t>
                  </w:r>
                </w:p>
              </w:tc>
              <w:tc>
                <w:tcPr>
                  <w:tcW w:w="720" w:type="dxa"/>
                  <w:noWrap/>
                  <w:tcMar>
                    <w:left w:w="0" w:type="dxa"/>
                    <w:right w:w="0" w:type="dxa"/>
                  </w:tcMar>
                  <w:vAlign w:val="center"/>
                </w:tcPr>
                <w:p w14:paraId="5683E48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HW08</w:t>
                  </w:r>
                </w:p>
              </w:tc>
              <w:tc>
                <w:tcPr>
                  <w:tcW w:w="1103" w:type="dxa"/>
                  <w:noWrap/>
                  <w:tcMar>
                    <w:left w:w="0" w:type="dxa"/>
                    <w:right w:w="0" w:type="dxa"/>
                  </w:tcMar>
                  <w:vAlign w:val="center"/>
                </w:tcPr>
                <w:p w14:paraId="1CE2508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900-217-08</w:t>
                  </w:r>
                </w:p>
              </w:tc>
              <w:tc>
                <w:tcPr>
                  <w:tcW w:w="702" w:type="dxa"/>
                  <w:noWrap/>
                  <w:tcMar>
                    <w:left w:w="0" w:type="dxa"/>
                    <w:right w:w="0" w:type="dxa"/>
                  </w:tcMar>
                  <w:vAlign w:val="center"/>
                </w:tcPr>
                <w:p w14:paraId="31391EB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0.1</w:t>
                  </w:r>
                </w:p>
              </w:tc>
              <w:tc>
                <w:tcPr>
                  <w:tcW w:w="974" w:type="dxa"/>
                  <w:noWrap/>
                  <w:tcMar>
                    <w:left w:w="0" w:type="dxa"/>
                    <w:right w:w="0" w:type="dxa"/>
                  </w:tcMar>
                  <w:vAlign w:val="center"/>
                </w:tcPr>
                <w:p w14:paraId="775B549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设备使用、维护</w:t>
                  </w:r>
                </w:p>
              </w:tc>
              <w:tc>
                <w:tcPr>
                  <w:tcW w:w="394" w:type="dxa"/>
                  <w:noWrap/>
                  <w:tcMar>
                    <w:left w:w="0" w:type="dxa"/>
                    <w:right w:w="0" w:type="dxa"/>
                  </w:tcMar>
                  <w:vAlign w:val="center"/>
                </w:tcPr>
                <w:p w14:paraId="05C96BC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液态</w:t>
                  </w:r>
                </w:p>
              </w:tc>
              <w:tc>
                <w:tcPr>
                  <w:tcW w:w="746" w:type="dxa"/>
                  <w:noWrap/>
                  <w:tcMar>
                    <w:left w:w="0" w:type="dxa"/>
                    <w:right w:w="0" w:type="dxa"/>
                  </w:tcMar>
                  <w:vAlign w:val="center"/>
                </w:tcPr>
                <w:p w14:paraId="1B39081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矿物油</w:t>
                  </w:r>
                </w:p>
              </w:tc>
              <w:tc>
                <w:tcPr>
                  <w:tcW w:w="774" w:type="dxa"/>
                  <w:noWrap/>
                  <w:tcMar>
                    <w:left w:w="0" w:type="dxa"/>
                    <w:right w:w="0" w:type="dxa"/>
                  </w:tcMar>
                  <w:vAlign w:val="center"/>
                </w:tcPr>
                <w:p w14:paraId="75F9114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r>
                    <w:rPr>
                      <w:rFonts w:hint="eastAsia" w:cs="Times New Roman"/>
                      <w:kern w:val="0"/>
                      <w:szCs w:val="21"/>
                      <w:highlight w:val="none"/>
                      <w:lang w:eastAsia="zh-CN"/>
                    </w:rPr>
                    <w:t xml:space="preserve">, </w:t>
                  </w:r>
                  <w:r>
                    <w:rPr>
                      <w:rFonts w:hint="default" w:ascii="Times New Roman" w:hAnsi="Times New Roman" w:cs="Times New Roman"/>
                      <w:kern w:val="0"/>
                      <w:szCs w:val="21"/>
                      <w:highlight w:val="none"/>
                    </w:rPr>
                    <w:t>I</w:t>
                  </w:r>
                </w:p>
              </w:tc>
              <w:tc>
                <w:tcPr>
                  <w:tcW w:w="1037" w:type="dxa"/>
                  <w:noWrap/>
                  <w:tcMar>
                    <w:left w:w="0" w:type="dxa"/>
                    <w:right w:w="0" w:type="dxa"/>
                  </w:tcMar>
                  <w:vAlign w:val="center"/>
                </w:tcPr>
                <w:p w14:paraId="6F19D63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377" w:type="dxa"/>
                  <w:vMerge w:val="restart"/>
                  <w:noWrap/>
                  <w:tcMar>
                    <w:left w:w="0" w:type="dxa"/>
                    <w:right w:w="0" w:type="dxa"/>
                  </w:tcMar>
                  <w:vAlign w:val="center"/>
                </w:tcPr>
                <w:p w14:paraId="4D3B158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委托有资质的单位妥善处置</w:t>
                  </w:r>
                </w:p>
              </w:tc>
            </w:tr>
            <w:tr w14:paraId="7D09AF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shd w:val="clear" w:color="auto" w:fill="auto"/>
                  <w:noWrap/>
                  <w:tcMar>
                    <w:left w:w="0" w:type="dxa"/>
                    <w:right w:w="0" w:type="dxa"/>
                  </w:tcMar>
                  <w:vAlign w:val="center"/>
                </w:tcPr>
                <w:p w14:paraId="7292F52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废润滑油桶</w:t>
                  </w:r>
                </w:p>
              </w:tc>
              <w:tc>
                <w:tcPr>
                  <w:tcW w:w="720" w:type="dxa"/>
                  <w:shd w:val="clear" w:color="auto" w:fill="auto"/>
                  <w:noWrap/>
                  <w:tcMar>
                    <w:left w:w="0" w:type="dxa"/>
                    <w:right w:w="0" w:type="dxa"/>
                  </w:tcMar>
                  <w:vAlign w:val="center"/>
                </w:tcPr>
                <w:p w14:paraId="0AD4FA4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HW08</w:t>
                  </w:r>
                </w:p>
              </w:tc>
              <w:tc>
                <w:tcPr>
                  <w:tcW w:w="1103" w:type="dxa"/>
                  <w:shd w:val="clear" w:color="auto" w:fill="auto"/>
                  <w:noWrap/>
                  <w:tcMar>
                    <w:left w:w="0" w:type="dxa"/>
                    <w:right w:w="0" w:type="dxa"/>
                  </w:tcMar>
                  <w:vAlign w:val="center"/>
                </w:tcPr>
                <w:p w14:paraId="2792F09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900-249-08</w:t>
                  </w:r>
                </w:p>
              </w:tc>
              <w:tc>
                <w:tcPr>
                  <w:tcW w:w="702" w:type="dxa"/>
                  <w:shd w:val="clear" w:color="auto" w:fill="auto"/>
                  <w:noWrap/>
                  <w:tcMar>
                    <w:left w:w="0" w:type="dxa"/>
                    <w:right w:w="0" w:type="dxa"/>
                  </w:tcMar>
                  <w:vAlign w:val="center"/>
                </w:tcPr>
                <w:p w14:paraId="4B2435B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0.1</w:t>
                  </w:r>
                </w:p>
              </w:tc>
              <w:tc>
                <w:tcPr>
                  <w:tcW w:w="974" w:type="dxa"/>
                  <w:shd w:val="clear" w:color="auto" w:fill="auto"/>
                  <w:noWrap/>
                  <w:tcMar>
                    <w:left w:w="0" w:type="dxa"/>
                    <w:right w:w="0" w:type="dxa"/>
                  </w:tcMar>
                  <w:vAlign w:val="center"/>
                </w:tcPr>
                <w:p w14:paraId="472E2A3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设备使用、维护</w:t>
                  </w:r>
                </w:p>
              </w:tc>
              <w:tc>
                <w:tcPr>
                  <w:tcW w:w="394" w:type="dxa"/>
                  <w:shd w:val="clear" w:color="auto" w:fill="auto"/>
                  <w:noWrap/>
                  <w:tcMar>
                    <w:left w:w="0" w:type="dxa"/>
                    <w:right w:w="0" w:type="dxa"/>
                  </w:tcMar>
                  <w:vAlign w:val="center"/>
                </w:tcPr>
                <w:p w14:paraId="51164D4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液态</w:t>
                  </w:r>
                </w:p>
              </w:tc>
              <w:tc>
                <w:tcPr>
                  <w:tcW w:w="746" w:type="dxa"/>
                  <w:shd w:val="clear" w:color="auto" w:fill="auto"/>
                  <w:noWrap/>
                  <w:tcMar>
                    <w:left w:w="0" w:type="dxa"/>
                    <w:right w:w="0" w:type="dxa"/>
                  </w:tcMar>
                  <w:vAlign w:val="center"/>
                </w:tcPr>
                <w:p w14:paraId="5FA0948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矿物油</w:t>
                  </w:r>
                </w:p>
              </w:tc>
              <w:tc>
                <w:tcPr>
                  <w:tcW w:w="774" w:type="dxa"/>
                  <w:shd w:val="clear" w:color="auto" w:fill="auto"/>
                  <w:noWrap/>
                  <w:tcMar>
                    <w:left w:w="0" w:type="dxa"/>
                    <w:right w:w="0" w:type="dxa"/>
                  </w:tcMar>
                  <w:vAlign w:val="center"/>
                </w:tcPr>
                <w:p w14:paraId="2E70090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r>
                    <w:rPr>
                      <w:rFonts w:hint="eastAsia" w:cs="Times New Roman"/>
                      <w:kern w:val="0"/>
                      <w:szCs w:val="21"/>
                      <w:highlight w:val="none"/>
                      <w:lang w:eastAsia="zh-CN"/>
                    </w:rPr>
                    <w:t xml:space="preserve">, </w:t>
                  </w:r>
                  <w:r>
                    <w:rPr>
                      <w:rFonts w:hint="default" w:ascii="Times New Roman" w:hAnsi="Times New Roman" w:cs="Times New Roman"/>
                      <w:kern w:val="0"/>
                      <w:szCs w:val="21"/>
                      <w:highlight w:val="none"/>
                    </w:rPr>
                    <w:t>I</w:t>
                  </w:r>
                </w:p>
              </w:tc>
              <w:tc>
                <w:tcPr>
                  <w:tcW w:w="1037" w:type="dxa"/>
                  <w:shd w:val="clear" w:color="auto" w:fill="auto"/>
                  <w:noWrap/>
                  <w:tcMar>
                    <w:left w:w="0" w:type="dxa"/>
                    <w:right w:w="0" w:type="dxa"/>
                  </w:tcMar>
                  <w:vAlign w:val="center"/>
                </w:tcPr>
                <w:p w14:paraId="1B16BAD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377" w:type="dxa"/>
                  <w:vMerge w:val="continue"/>
                  <w:noWrap/>
                  <w:tcMar>
                    <w:left w:w="0" w:type="dxa"/>
                    <w:right w:w="0" w:type="dxa"/>
                  </w:tcMar>
                  <w:vAlign w:val="center"/>
                </w:tcPr>
                <w:p w14:paraId="520AA285">
                  <w:pPr>
                    <w:topLinePunct/>
                    <w:adjustRightInd w:val="0"/>
                    <w:snapToGrid w:val="0"/>
                    <w:jc w:val="center"/>
                    <w:rPr>
                      <w:rFonts w:hint="default" w:ascii="Times New Roman" w:hAnsi="Times New Roman" w:cs="Times New Roman"/>
                      <w:kern w:val="0"/>
                      <w:szCs w:val="21"/>
                      <w:highlight w:val="none"/>
                    </w:rPr>
                  </w:pPr>
                </w:p>
              </w:tc>
            </w:tr>
            <w:tr w14:paraId="0162A8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shd w:val="clear" w:color="auto" w:fill="auto"/>
                  <w:noWrap/>
                  <w:tcMar>
                    <w:left w:w="0" w:type="dxa"/>
                    <w:right w:w="0" w:type="dxa"/>
                  </w:tcMar>
                  <w:vAlign w:val="center"/>
                </w:tcPr>
                <w:p w14:paraId="3CA776A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废活性炭</w:t>
                  </w:r>
                </w:p>
              </w:tc>
              <w:tc>
                <w:tcPr>
                  <w:tcW w:w="720" w:type="dxa"/>
                  <w:shd w:val="clear" w:color="auto" w:fill="auto"/>
                  <w:noWrap/>
                  <w:tcMar>
                    <w:left w:w="0" w:type="dxa"/>
                    <w:right w:w="0" w:type="dxa"/>
                  </w:tcMar>
                  <w:vAlign w:val="center"/>
                </w:tcPr>
                <w:p w14:paraId="7F7F08B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HW49</w:t>
                  </w:r>
                </w:p>
              </w:tc>
              <w:tc>
                <w:tcPr>
                  <w:tcW w:w="1103" w:type="dxa"/>
                  <w:shd w:val="clear" w:color="auto" w:fill="auto"/>
                  <w:noWrap/>
                  <w:tcMar>
                    <w:left w:w="0" w:type="dxa"/>
                    <w:right w:w="0" w:type="dxa"/>
                  </w:tcMar>
                  <w:vAlign w:val="center"/>
                </w:tcPr>
                <w:p w14:paraId="477ECCA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900-039-49</w:t>
                  </w:r>
                </w:p>
              </w:tc>
              <w:tc>
                <w:tcPr>
                  <w:tcW w:w="702" w:type="dxa"/>
                  <w:shd w:val="clear" w:color="auto" w:fill="auto"/>
                  <w:noWrap/>
                  <w:tcMar>
                    <w:left w:w="0" w:type="dxa"/>
                    <w:right w:w="0" w:type="dxa"/>
                  </w:tcMar>
                  <w:vAlign w:val="center"/>
                </w:tcPr>
                <w:p w14:paraId="667DA031">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5.719</w:t>
                  </w:r>
                </w:p>
              </w:tc>
              <w:tc>
                <w:tcPr>
                  <w:tcW w:w="974" w:type="dxa"/>
                  <w:shd w:val="clear" w:color="auto" w:fill="auto"/>
                  <w:noWrap/>
                  <w:tcMar>
                    <w:left w:w="0" w:type="dxa"/>
                    <w:right w:w="0" w:type="dxa"/>
                  </w:tcMar>
                  <w:vAlign w:val="center"/>
                </w:tcPr>
                <w:p w14:paraId="7C77783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环保设备</w:t>
                  </w:r>
                </w:p>
              </w:tc>
              <w:tc>
                <w:tcPr>
                  <w:tcW w:w="394" w:type="dxa"/>
                  <w:shd w:val="clear" w:color="auto" w:fill="auto"/>
                  <w:noWrap/>
                  <w:tcMar>
                    <w:left w:w="0" w:type="dxa"/>
                    <w:right w:w="0" w:type="dxa"/>
                  </w:tcMar>
                  <w:vAlign w:val="center"/>
                </w:tcPr>
                <w:p w14:paraId="0E4C2FA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746" w:type="dxa"/>
                  <w:shd w:val="clear" w:color="auto" w:fill="auto"/>
                  <w:noWrap/>
                  <w:tcMar>
                    <w:left w:w="0" w:type="dxa"/>
                    <w:right w:w="0" w:type="dxa"/>
                  </w:tcMar>
                  <w:vAlign w:val="center"/>
                </w:tcPr>
                <w:p w14:paraId="1BCCC06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活性炭</w:t>
                  </w:r>
                </w:p>
              </w:tc>
              <w:tc>
                <w:tcPr>
                  <w:tcW w:w="774" w:type="dxa"/>
                  <w:shd w:val="clear" w:color="auto" w:fill="auto"/>
                  <w:noWrap/>
                  <w:tcMar>
                    <w:left w:w="0" w:type="dxa"/>
                    <w:right w:w="0" w:type="dxa"/>
                  </w:tcMar>
                  <w:vAlign w:val="center"/>
                </w:tcPr>
                <w:p w14:paraId="18FE2C1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p>
              </w:tc>
              <w:tc>
                <w:tcPr>
                  <w:tcW w:w="1037" w:type="dxa"/>
                  <w:shd w:val="clear" w:color="auto" w:fill="auto"/>
                  <w:noWrap/>
                  <w:tcMar>
                    <w:left w:w="0" w:type="dxa"/>
                    <w:right w:w="0" w:type="dxa"/>
                  </w:tcMar>
                  <w:vAlign w:val="center"/>
                </w:tcPr>
                <w:p w14:paraId="69EE9E82">
                  <w:pPr>
                    <w:topLinePunct/>
                    <w:adjustRightInd w:val="0"/>
                    <w:snapToGrid w:val="0"/>
                    <w:jc w:val="center"/>
                    <w:rPr>
                      <w:rFonts w:hint="default" w:ascii="Times New Roman" w:hAnsi="Times New Roman" w:cs="Times New Roman"/>
                      <w:kern w:val="0"/>
                      <w:szCs w:val="21"/>
                      <w:highlight w:val="none"/>
                    </w:rPr>
                  </w:pPr>
                  <w:r>
                    <w:rPr>
                      <w:rFonts w:hint="eastAsia" w:cs="Times New Roman"/>
                      <w:kern w:val="0"/>
                      <w:szCs w:val="21"/>
                      <w:highlight w:val="none"/>
                      <w:lang w:val="en-US" w:eastAsia="zh-CN"/>
                    </w:rPr>
                    <w:t>2</w:t>
                  </w:r>
                  <w:r>
                    <w:rPr>
                      <w:rFonts w:hint="default" w:ascii="Times New Roman" w:hAnsi="Times New Roman" w:cs="Times New Roman"/>
                      <w:kern w:val="0"/>
                      <w:szCs w:val="21"/>
                      <w:highlight w:val="none"/>
                    </w:rPr>
                    <w:t>次/a</w:t>
                  </w:r>
                </w:p>
              </w:tc>
              <w:tc>
                <w:tcPr>
                  <w:tcW w:w="1377" w:type="dxa"/>
                  <w:vMerge w:val="continue"/>
                  <w:noWrap/>
                  <w:tcMar>
                    <w:left w:w="0" w:type="dxa"/>
                    <w:right w:w="0" w:type="dxa"/>
                  </w:tcMar>
                  <w:vAlign w:val="center"/>
                </w:tcPr>
                <w:p w14:paraId="0243E2DB">
                  <w:pPr>
                    <w:topLinePunct/>
                    <w:adjustRightInd w:val="0"/>
                    <w:snapToGrid w:val="0"/>
                    <w:jc w:val="center"/>
                    <w:rPr>
                      <w:rFonts w:hint="default" w:ascii="Times New Roman" w:hAnsi="Times New Roman" w:cs="Times New Roman"/>
                      <w:kern w:val="0"/>
                      <w:szCs w:val="21"/>
                      <w:highlight w:val="none"/>
                    </w:rPr>
                  </w:pPr>
                </w:p>
              </w:tc>
            </w:tr>
          </w:tbl>
          <w:p w14:paraId="09B0D743">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w:t>
            </w:r>
            <w:r>
              <w:rPr>
                <w:rFonts w:hint="eastAsia" w:cs="Times New Roman"/>
                <w:b/>
                <w:bCs/>
                <w:color w:val="000000"/>
                <w:sz w:val="24"/>
                <w:highlight w:val="none"/>
                <w:lang w:val="en-US" w:eastAsia="zh-CN"/>
              </w:rPr>
              <w:t>9</w:t>
            </w:r>
            <w:r>
              <w:rPr>
                <w:rFonts w:hint="default" w:ascii="Times New Roman" w:hAnsi="Times New Roman" w:cs="Times New Roman"/>
                <w:b/>
                <w:bCs/>
                <w:color w:val="000000"/>
                <w:sz w:val="24"/>
                <w:highlight w:val="none"/>
              </w:rPr>
              <w:t xml:space="preserve">  建设项目危险废物贮存场所（设施）基本情况</w:t>
            </w:r>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1163"/>
              <w:gridCol w:w="846"/>
              <w:gridCol w:w="1303"/>
              <w:gridCol w:w="1053"/>
              <w:gridCol w:w="635"/>
              <w:gridCol w:w="813"/>
              <w:gridCol w:w="732"/>
              <w:gridCol w:w="1079"/>
            </w:tblGrid>
            <w:tr w14:paraId="5E3D4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6" w:type="dxa"/>
                  <w:noWrap/>
                  <w:tcMar>
                    <w:left w:w="0" w:type="dxa"/>
                    <w:right w:w="0" w:type="dxa"/>
                  </w:tcMar>
                  <w:vAlign w:val="center"/>
                </w:tcPr>
                <w:p w14:paraId="603EEB5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贮存场所（设施）</w:t>
                  </w:r>
                </w:p>
                <w:p w14:paraId="68D69BA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名称</w:t>
                  </w:r>
                </w:p>
              </w:tc>
              <w:tc>
                <w:tcPr>
                  <w:tcW w:w="1163" w:type="dxa"/>
                  <w:noWrap/>
                  <w:tcMar>
                    <w:left w:w="0" w:type="dxa"/>
                    <w:right w:w="0" w:type="dxa"/>
                  </w:tcMar>
                  <w:vAlign w:val="center"/>
                </w:tcPr>
                <w:p w14:paraId="0C1E40F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危险废物名称</w:t>
                  </w:r>
                </w:p>
              </w:tc>
              <w:tc>
                <w:tcPr>
                  <w:tcW w:w="846" w:type="dxa"/>
                  <w:noWrap/>
                  <w:tcMar>
                    <w:left w:w="0" w:type="dxa"/>
                    <w:right w:w="0" w:type="dxa"/>
                  </w:tcMar>
                  <w:vAlign w:val="center"/>
                </w:tcPr>
                <w:p w14:paraId="7FAF21C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危险废物类别</w:t>
                  </w:r>
                </w:p>
              </w:tc>
              <w:tc>
                <w:tcPr>
                  <w:tcW w:w="1303" w:type="dxa"/>
                  <w:noWrap/>
                  <w:tcMar>
                    <w:left w:w="0" w:type="dxa"/>
                    <w:right w:w="0" w:type="dxa"/>
                  </w:tcMar>
                  <w:vAlign w:val="center"/>
                </w:tcPr>
                <w:p w14:paraId="7CAF347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危险废物代码</w:t>
                  </w:r>
                </w:p>
              </w:tc>
              <w:tc>
                <w:tcPr>
                  <w:tcW w:w="1053" w:type="dxa"/>
                  <w:noWrap/>
                  <w:tcMar>
                    <w:left w:w="0" w:type="dxa"/>
                    <w:right w:w="0" w:type="dxa"/>
                  </w:tcMar>
                  <w:vAlign w:val="center"/>
                </w:tcPr>
                <w:p w14:paraId="687CB88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位置</w:t>
                  </w:r>
                </w:p>
              </w:tc>
              <w:tc>
                <w:tcPr>
                  <w:tcW w:w="635" w:type="dxa"/>
                  <w:noWrap/>
                  <w:tcMar>
                    <w:left w:w="0" w:type="dxa"/>
                    <w:right w:w="0" w:type="dxa"/>
                  </w:tcMar>
                  <w:vAlign w:val="center"/>
                </w:tcPr>
                <w:p w14:paraId="13C02AA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占地面积</w:t>
                  </w:r>
                </w:p>
              </w:tc>
              <w:tc>
                <w:tcPr>
                  <w:tcW w:w="813" w:type="dxa"/>
                  <w:noWrap/>
                  <w:tcMar>
                    <w:left w:w="0" w:type="dxa"/>
                    <w:right w:w="0" w:type="dxa"/>
                  </w:tcMar>
                  <w:vAlign w:val="center"/>
                </w:tcPr>
                <w:p w14:paraId="4E30013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贮存方式</w:t>
                  </w:r>
                </w:p>
              </w:tc>
              <w:tc>
                <w:tcPr>
                  <w:tcW w:w="732" w:type="dxa"/>
                  <w:noWrap/>
                  <w:tcMar>
                    <w:left w:w="0" w:type="dxa"/>
                    <w:right w:w="0" w:type="dxa"/>
                  </w:tcMar>
                  <w:vAlign w:val="center"/>
                </w:tcPr>
                <w:p w14:paraId="22AB3A3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w:t>
                  </w:r>
                </w:p>
                <w:p w14:paraId="1DE5931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能力</w:t>
                  </w:r>
                </w:p>
              </w:tc>
              <w:tc>
                <w:tcPr>
                  <w:tcW w:w="1079" w:type="dxa"/>
                  <w:noWrap/>
                  <w:tcMar>
                    <w:left w:w="0" w:type="dxa"/>
                    <w:right w:w="0" w:type="dxa"/>
                  </w:tcMar>
                  <w:vAlign w:val="center"/>
                </w:tcPr>
                <w:p w14:paraId="0B48D94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w:t>
                  </w:r>
                </w:p>
                <w:p w14:paraId="04C3952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周期</w:t>
                  </w:r>
                </w:p>
              </w:tc>
            </w:tr>
            <w:tr w14:paraId="5E34FC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6" w:type="dxa"/>
                  <w:vMerge w:val="restart"/>
                  <w:noWrap/>
                  <w:tcMar>
                    <w:left w:w="0" w:type="dxa"/>
                    <w:right w:w="0" w:type="dxa"/>
                  </w:tcMar>
                  <w:vAlign w:val="center"/>
                </w:tcPr>
                <w:p w14:paraId="703CF29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危废暂存间</w:t>
                  </w:r>
                </w:p>
              </w:tc>
              <w:tc>
                <w:tcPr>
                  <w:tcW w:w="1163" w:type="dxa"/>
                  <w:noWrap/>
                  <w:tcMar>
                    <w:left w:w="0" w:type="dxa"/>
                    <w:right w:w="0" w:type="dxa"/>
                  </w:tcMar>
                  <w:vAlign w:val="center"/>
                </w:tcPr>
                <w:p w14:paraId="6D3317F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废润滑油</w:t>
                  </w:r>
                </w:p>
              </w:tc>
              <w:tc>
                <w:tcPr>
                  <w:tcW w:w="846" w:type="dxa"/>
                  <w:noWrap/>
                  <w:tcMar>
                    <w:left w:w="0" w:type="dxa"/>
                    <w:right w:w="0" w:type="dxa"/>
                  </w:tcMar>
                  <w:vAlign w:val="center"/>
                </w:tcPr>
                <w:p w14:paraId="5C2B56D7">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HW08</w:t>
                  </w:r>
                </w:p>
              </w:tc>
              <w:tc>
                <w:tcPr>
                  <w:tcW w:w="1303" w:type="dxa"/>
                  <w:noWrap/>
                  <w:tcMar>
                    <w:left w:w="0" w:type="dxa"/>
                    <w:right w:w="0" w:type="dxa"/>
                  </w:tcMar>
                  <w:vAlign w:val="center"/>
                </w:tcPr>
                <w:p w14:paraId="05AF568B">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900-217-08</w:t>
                  </w:r>
                </w:p>
              </w:tc>
              <w:tc>
                <w:tcPr>
                  <w:tcW w:w="1053" w:type="dxa"/>
                  <w:vMerge w:val="restart"/>
                  <w:noWrap/>
                  <w:tcMar>
                    <w:left w:w="0" w:type="dxa"/>
                    <w:right w:w="0" w:type="dxa"/>
                  </w:tcMar>
                  <w:vAlign w:val="center"/>
                </w:tcPr>
                <w:p w14:paraId="3297BD35">
                  <w:pPr>
                    <w:topLinePunct/>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仓库东南</w:t>
                  </w:r>
                  <w:r>
                    <w:rPr>
                      <w:rFonts w:hint="default" w:ascii="Times New Roman" w:hAnsi="Times New Roman" w:cs="Times New Roman"/>
                      <w:szCs w:val="21"/>
                      <w:highlight w:val="none"/>
                    </w:rPr>
                    <w:t>角</w:t>
                  </w:r>
                </w:p>
              </w:tc>
              <w:tc>
                <w:tcPr>
                  <w:tcW w:w="635" w:type="dxa"/>
                  <w:vMerge w:val="restart"/>
                  <w:noWrap/>
                  <w:tcMar>
                    <w:left w:w="0" w:type="dxa"/>
                    <w:right w:w="0" w:type="dxa"/>
                  </w:tcMar>
                  <w:vAlign w:val="center"/>
                </w:tcPr>
                <w:p w14:paraId="0242624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15m</w:t>
                  </w:r>
                  <w:r>
                    <w:rPr>
                      <w:rFonts w:hint="default" w:ascii="Times New Roman" w:hAnsi="Times New Roman" w:cs="Times New Roman"/>
                      <w:kern w:val="0"/>
                      <w:szCs w:val="21"/>
                      <w:highlight w:val="none"/>
                      <w:vertAlign w:val="superscript"/>
                    </w:rPr>
                    <w:t>2</w:t>
                  </w:r>
                </w:p>
              </w:tc>
              <w:tc>
                <w:tcPr>
                  <w:tcW w:w="813" w:type="dxa"/>
                  <w:vMerge w:val="restart"/>
                  <w:noWrap/>
                  <w:tcMar>
                    <w:left w:w="0" w:type="dxa"/>
                    <w:right w:w="0" w:type="dxa"/>
                  </w:tcMar>
                  <w:vAlign w:val="center"/>
                </w:tcPr>
                <w:p w14:paraId="47C06D2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桶装</w:t>
                  </w:r>
                </w:p>
              </w:tc>
              <w:tc>
                <w:tcPr>
                  <w:tcW w:w="732" w:type="dxa"/>
                  <w:noWrap/>
                  <w:tcMar>
                    <w:left w:w="0" w:type="dxa"/>
                    <w:right w:w="0" w:type="dxa"/>
                  </w:tcMar>
                  <w:vAlign w:val="center"/>
                </w:tcPr>
                <w:p w14:paraId="3C28F9B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2t</w:t>
                  </w:r>
                </w:p>
              </w:tc>
              <w:tc>
                <w:tcPr>
                  <w:tcW w:w="1079" w:type="dxa"/>
                  <w:noWrap/>
                  <w:tcMar>
                    <w:left w:w="0" w:type="dxa"/>
                    <w:right w:w="0" w:type="dxa"/>
                  </w:tcMar>
                  <w:vAlign w:val="center"/>
                </w:tcPr>
                <w:p w14:paraId="0B01C6D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1年</w:t>
                  </w:r>
                </w:p>
              </w:tc>
            </w:tr>
            <w:tr w14:paraId="0DA05A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6" w:type="dxa"/>
                  <w:vMerge w:val="continue"/>
                  <w:noWrap/>
                  <w:tcMar>
                    <w:left w:w="0" w:type="dxa"/>
                    <w:right w:w="0" w:type="dxa"/>
                  </w:tcMar>
                  <w:vAlign w:val="center"/>
                </w:tcPr>
                <w:p w14:paraId="31D1D7ED">
                  <w:pPr>
                    <w:topLinePunct/>
                    <w:adjustRightInd w:val="0"/>
                    <w:snapToGrid w:val="0"/>
                    <w:jc w:val="center"/>
                    <w:rPr>
                      <w:rFonts w:hint="default" w:ascii="Times New Roman" w:hAnsi="Times New Roman" w:cs="Times New Roman"/>
                      <w:szCs w:val="21"/>
                      <w:highlight w:val="none"/>
                    </w:rPr>
                  </w:pPr>
                </w:p>
              </w:tc>
              <w:tc>
                <w:tcPr>
                  <w:tcW w:w="1163" w:type="dxa"/>
                  <w:shd w:val="clear" w:color="auto" w:fill="auto"/>
                  <w:noWrap/>
                  <w:tcMar>
                    <w:left w:w="0" w:type="dxa"/>
                    <w:right w:w="0" w:type="dxa"/>
                  </w:tcMar>
                  <w:vAlign w:val="center"/>
                </w:tcPr>
                <w:p w14:paraId="5A55681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废润滑油桶</w:t>
                  </w:r>
                </w:p>
              </w:tc>
              <w:tc>
                <w:tcPr>
                  <w:tcW w:w="846" w:type="dxa"/>
                  <w:shd w:val="clear" w:color="auto" w:fill="auto"/>
                  <w:noWrap/>
                  <w:tcMar>
                    <w:left w:w="0" w:type="dxa"/>
                    <w:right w:w="0" w:type="dxa"/>
                  </w:tcMar>
                  <w:vAlign w:val="center"/>
                </w:tcPr>
                <w:p w14:paraId="19869DF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HW08</w:t>
                  </w:r>
                </w:p>
              </w:tc>
              <w:tc>
                <w:tcPr>
                  <w:tcW w:w="1303" w:type="dxa"/>
                  <w:shd w:val="clear" w:color="auto" w:fill="auto"/>
                  <w:noWrap/>
                  <w:tcMar>
                    <w:left w:w="0" w:type="dxa"/>
                    <w:right w:w="0" w:type="dxa"/>
                  </w:tcMar>
                  <w:vAlign w:val="center"/>
                </w:tcPr>
                <w:p w14:paraId="5C669FE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900-249-08</w:t>
                  </w:r>
                </w:p>
              </w:tc>
              <w:tc>
                <w:tcPr>
                  <w:tcW w:w="1053" w:type="dxa"/>
                  <w:vMerge w:val="continue"/>
                  <w:noWrap/>
                  <w:tcMar>
                    <w:left w:w="0" w:type="dxa"/>
                    <w:right w:w="0" w:type="dxa"/>
                  </w:tcMar>
                  <w:vAlign w:val="center"/>
                </w:tcPr>
                <w:p w14:paraId="68119AAA">
                  <w:pPr>
                    <w:topLinePunct/>
                    <w:adjustRightInd w:val="0"/>
                    <w:snapToGrid w:val="0"/>
                    <w:jc w:val="center"/>
                    <w:rPr>
                      <w:rFonts w:hint="default" w:ascii="Times New Roman" w:hAnsi="Times New Roman" w:cs="Times New Roman"/>
                      <w:szCs w:val="21"/>
                      <w:highlight w:val="none"/>
                    </w:rPr>
                  </w:pPr>
                </w:p>
              </w:tc>
              <w:tc>
                <w:tcPr>
                  <w:tcW w:w="635" w:type="dxa"/>
                  <w:vMerge w:val="continue"/>
                  <w:noWrap/>
                  <w:tcMar>
                    <w:left w:w="0" w:type="dxa"/>
                    <w:right w:w="0" w:type="dxa"/>
                  </w:tcMar>
                  <w:vAlign w:val="center"/>
                </w:tcPr>
                <w:p w14:paraId="0667509D">
                  <w:pPr>
                    <w:topLinePunct/>
                    <w:adjustRightInd w:val="0"/>
                    <w:snapToGrid w:val="0"/>
                    <w:jc w:val="center"/>
                    <w:rPr>
                      <w:rFonts w:hint="default" w:ascii="Times New Roman" w:hAnsi="Times New Roman" w:cs="Times New Roman"/>
                      <w:kern w:val="0"/>
                      <w:szCs w:val="21"/>
                      <w:highlight w:val="none"/>
                    </w:rPr>
                  </w:pPr>
                </w:p>
              </w:tc>
              <w:tc>
                <w:tcPr>
                  <w:tcW w:w="813" w:type="dxa"/>
                  <w:vMerge w:val="continue"/>
                  <w:noWrap/>
                  <w:tcMar>
                    <w:left w:w="0" w:type="dxa"/>
                    <w:right w:w="0" w:type="dxa"/>
                  </w:tcMar>
                  <w:vAlign w:val="center"/>
                </w:tcPr>
                <w:p w14:paraId="448C5D3E">
                  <w:pPr>
                    <w:topLinePunct/>
                    <w:adjustRightInd w:val="0"/>
                    <w:snapToGrid w:val="0"/>
                    <w:jc w:val="center"/>
                    <w:rPr>
                      <w:rFonts w:hint="default" w:ascii="Times New Roman" w:hAnsi="Times New Roman" w:cs="Times New Roman"/>
                      <w:szCs w:val="21"/>
                      <w:highlight w:val="none"/>
                    </w:rPr>
                  </w:pPr>
                </w:p>
              </w:tc>
              <w:tc>
                <w:tcPr>
                  <w:tcW w:w="732" w:type="dxa"/>
                  <w:shd w:val="clear" w:color="auto" w:fill="auto"/>
                  <w:noWrap/>
                  <w:tcMar>
                    <w:left w:w="0" w:type="dxa"/>
                    <w:right w:w="0" w:type="dxa"/>
                  </w:tcMar>
                  <w:vAlign w:val="center"/>
                </w:tcPr>
                <w:p w14:paraId="57E1F4E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2t</w:t>
                  </w:r>
                </w:p>
              </w:tc>
              <w:tc>
                <w:tcPr>
                  <w:tcW w:w="1079" w:type="dxa"/>
                  <w:shd w:val="clear" w:color="auto" w:fill="auto"/>
                  <w:noWrap/>
                  <w:tcMar>
                    <w:left w:w="0" w:type="dxa"/>
                    <w:right w:w="0" w:type="dxa"/>
                  </w:tcMar>
                  <w:vAlign w:val="center"/>
                </w:tcPr>
                <w:p w14:paraId="127E2D6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1年</w:t>
                  </w:r>
                </w:p>
              </w:tc>
            </w:tr>
            <w:tr w14:paraId="1BDA5F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6" w:type="dxa"/>
                  <w:vMerge w:val="continue"/>
                  <w:noWrap/>
                  <w:tcMar>
                    <w:left w:w="0" w:type="dxa"/>
                    <w:right w:w="0" w:type="dxa"/>
                  </w:tcMar>
                  <w:vAlign w:val="center"/>
                </w:tcPr>
                <w:p w14:paraId="145B99D4">
                  <w:pPr>
                    <w:topLinePunct/>
                    <w:adjustRightInd w:val="0"/>
                    <w:snapToGrid w:val="0"/>
                    <w:jc w:val="center"/>
                    <w:rPr>
                      <w:rFonts w:hint="default" w:ascii="Times New Roman" w:hAnsi="Times New Roman" w:cs="Times New Roman"/>
                      <w:szCs w:val="21"/>
                      <w:highlight w:val="none"/>
                    </w:rPr>
                  </w:pPr>
                </w:p>
              </w:tc>
              <w:tc>
                <w:tcPr>
                  <w:tcW w:w="1163" w:type="dxa"/>
                  <w:shd w:val="clear" w:color="auto" w:fill="auto"/>
                  <w:noWrap/>
                  <w:tcMar>
                    <w:left w:w="0" w:type="dxa"/>
                    <w:right w:w="0" w:type="dxa"/>
                  </w:tcMar>
                  <w:vAlign w:val="center"/>
                </w:tcPr>
                <w:p w14:paraId="192915F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废活性炭</w:t>
                  </w:r>
                </w:p>
              </w:tc>
              <w:tc>
                <w:tcPr>
                  <w:tcW w:w="846" w:type="dxa"/>
                  <w:shd w:val="clear" w:color="auto" w:fill="auto"/>
                  <w:noWrap/>
                  <w:tcMar>
                    <w:left w:w="0" w:type="dxa"/>
                    <w:right w:w="0" w:type="dxa"/>
                  </w:tcMar>
                  <w:vAlign w:val="center"/>
                </w:tcPr>
                <w:p w14:paraId="583C54D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HW49</w:t>
                  </w:r>
                </w:p>
              </w:tc>
              <w:tc>
                <w:tcPr>
                  <w:tcW w:w="1303" w:type="dxa"/>
                  <w:shd w:val="clear" w:color="auto" w:fill="auto"/>
                  <w:noWrap/>
                  <w:tcMar>
                    <w:left w:w="0" w:type="dxa"/>
                    <w:right w:w="0" w:type="dxa"/>
                  </w:tcMar>
                  <w:vAlign w:val="center"/>
                </w:tcPr>
                <w:p w14:paraId="1D8F60B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900-039-49</w:t>
                  </w:r>
                </w:p>
              </w:tc>
              <w:tc>
                <w:tcPr>
                  <w:tcW w:w="1053" w:type="dxa"/>
                  <w:vMerge w:val="continue"/>
                  <w:noWrap/>
                  <w:tcMar>
                    <w:left w:w="0" w:type="dxa"/>
                    <w:right w:w="0" w:type="dxa"/>
                  </w:tcMar>
                  <w:vAlign w:val="center"/>
                </w:tcPr>
                <w:p w14:paraId="207F5269">
                  <w:pPr>
                    <w:topLinePunct/>
                    <w:adjustRightInd w:val="0"/>
                    <w:snapToGrid w:val="0"/>
                    <w:jc w:val="center"/>
                    <w:rPr>
                      <w:rFonts w:hint="default" w:ascii="Times New Roman" w:hAnsi="Times New Roman" w:cs="Times New Roman"/>
                      <w:szCs w:val="21"/>
                      <w:highlight w:val="none"/>
                    </w:rPr>
                  </w:pPr>
                </w:p>
              </w:tc>
              <w:tc>
                <w:tcPr>
                  <w:tcW w:w="635" w:type="dxa"/>
                  <w:vMerge w:val="continue"/>
                  <w:noWrap/>
                  <w:tcMar>
                    <w:left w:w="0" w:type="dxa"/>
                    <w:right w:w="0" w:type="dxa"/>
                  </w:tcMar>
                  <w:vAlign w:val="center"/>
                </w:tcPr>
                <w:p w14:paraId="4F894383">
                  <w:pPr>
                    <w:topLinePunct/>
                    <w:adjustRightInd w:val="0"/>
                    <w:snapToGrid w:val="0"/>
                    <w:jc w:val="center"/>
                    <w:rPr>
                      <w:rFonts w:hint="default" w:ascii="Times New Roman" w:hAnsi="Times New Roman" w:cs="Times New Roman"/>
                      <w:kern w:val="0"/>
                      <w:szCs w:val="21"/>
                      <w:highlight w:val="none"/>
                    </w:rPr>
                  </w:pPr>
                </w:p>
              </w:tc>
              <w:tc>
                <w:tcPr>
                  <w:tcW w:w="813" w:type="dxa"/>
                  <w:vMerge w:val="continue"/>
                  <w:noWrap/>
                  <w:tcMar>
                    <w:left w:w="0" w:type="dxa"/>
                    <w:right w:w="0" w:type="dxa"/>
                  </w:tcMar>
                  <w:vAlign w:val="center"/>
                </w:tcPr>
                <w:p w14:paraId="5FEFC95C">
                  <w:pPr>
                    <w:topLinePunct/>
                    <w:adjustRightInd w:val="0"/>
                    <w:snapToGrid w:val="0"/>
                    <w:jc w:val="center"/>
                    <w:rPr>
                      <w:rFonts w:hint="default" w:ascii="Times New Roman" w:hAnsi="Times New Roman" w:cs="Times New Roman"/>
                      <w:szCs w:val="21"/>
                      <w:highlight w:val="none"/>
                    </w:rPr>
                  </w:pPr>
                </w:p>
              </w:tc>
              <w:tc>
                <w:tcPr>
                  <w:tcW w:w="732" w:type="dxa"/>
                  <w:shd w:val="clear" w:color="auto" w:fill="auto"/>
                  <w:noWrap/>
                  <w:tcMar>
                    <w:left w:w="0" w:type="dxa"/>
                    <w:right w:w="0" w:type="dxa"/>
                  </w:tcMar>
                  <w:vAlign w:val="center"/>
                </w:tcPr>
                <w:p w14:paraId="0D0CC74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5t</w:t>
                  </w:r>
                </w:p>
              </w:tc>
              <w:tc>
                <w:tcPr>
                  <w:tcW w:w="1079" w:type="dxa"/>
                  <w:shd w:val="clear" w:color="auto" w:fill="auto"/>
                  <w:noWrap/>
                  <w:tcMar>
                    <w:left w:w="0" w:type="dxa"/>
                    <w:right w:w="0" w:type="dxa"/>
                  </w:tcMar>
                  <w:vAlign w:val="center"/>
                </w:tcPr>
                <w:p w14:paraId="3E45EE7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1年</w:t>
                  </w:r>
                </w:p>
              </w:tc>
            </w:tr>
          </w:tbl>
          <w:p w14:paraId="069BA2E6">
            <w:pPr>
              <w:autoSpaceDE w:val="0"/>
              <w:autoSpaceDN w:val="0"/>
              <w:spacing w:line="360" w:lineRule="auto"/>
              <w:ind w:firstLine="482" w:firstLineChars="200"/>
              <w:rPr>
                <w:rFonts w:hint="default" w:ascii="Times New Roman" w:hAnsi="Times New Roman" w:cs="Times New Roman"/>
                <w:b/>
                <w:bCs/>
                <w:kern w:val="21"/>
                <w:sz w:val="24"/>
                <w:highlight w:val="none"/>
              </w:rPr>
            </w:pPr>
            <w:r>
              <w:rPr>
                <w:rFonts w:hint="default" w:ascii="Times New Roman" w:hAnsi="Times New Roman" w:cs="Times New Roman"/>
                <w:b/>
                <w:bCs/>
                <w:kern w:val="21"/>
                <w:sz w:val="24"/>
                <w:highlight w:val="none"/>
              </w:rPr>
              <w:t>固体废物环境管理要求：</w:t>
            </w:r>
          </w:p>
          <w:p w14:paraId="1BC4FE4A">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（1）一般固体废物</w:t>
            </w:r>
          </w:p>
          <w:p w14:paraId="6F5C2137">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一般固体废物执行《一般工业固体废物贮存和填埋污染控制标准》（GB18599-2020）。贮存区采取防风防雨措施，各类固废应分类收集，贮存区按照《</w:t>
            </w:r>
            <w:r>
              <w:rPr>
                <w:rFonts w:hint="eastAsia" w:cs="Times New Roman"/>
                <w:kern w:val="21"/>
                <w:sz w:val="24"/>
                <w:highlight w:val="none"/>
                <w:lang w:eastAsia="zh-CN"/>
              </w:rPr>
              <w:t>环境保护图形标志 固体废物贮存（处置）场</w:t>
            </w:r>
            <w:r>
              <w:rPr>
                <w:rFonts w:hint="default" w:ascii="Times New Roman" w:hAnsi="Times New Roman" w:cs="Times New Roman"/>
                <w:kern w:val="21"/>
                <w:sz w:val="24"/>
                <w:highlight w:val="none"/>
              </w:rPr>
              <w:t>》（</w:t>
            </w:r>
            <w:r>
              <w:rPr>
                <w:rFonts w:hint="eastAsia" w:cs="Times New Roman"/>
                <w:kern w:val="21"/>
                <w:sz w:val="24"/>
                <w:highlight w:val="none"/>
                <w:lang w:eastAsia="zh-CN"/>
              </w:rPr>
              <w:t>GB 15562.2-1995</w:t>
            </w:r>
            <w:r>
              <w:rPr>
                <w:rFonts w:hint="default" w:ascii="Times New Roman" w:hAnsi="Times New Roman" w:cs="Times New Roman"/>
                <w:kern w:val="21"/>
                <w:sz w:val="24"/>
                <w:highlight w:val="none"/>
              </w:rPr>
              <w:t>）的要求设置环保图形标志；指定专人进行日常管理。</w:t>
            </w:r>
          </w:p>
          <w:p w14:paraId="3C732DFF">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对一般工业固体废物</w:t>
            </w:r>
            <w:r>
              <w:rPr>
                <w:rFonts w:hint="eastAsia" w:cs="Times New Roman"/>
                <w:kern w:val="21"/>
                <w:sz w:val="24"/>
                <w:highlight w:val="none"/>
                <w:lang w:eastAsia="zh-CN"/>
              </w:rPr>
              <w:t>，在</w:t>
            </w:r>
            <w:r>
              <w:rPr>
                <w:rFonts w:hint="default" w:ascii="Times New Roman" w:hAnsi="Times New Roman" w:cs="Times New Roman"/>
                <w:kern w:val="21"/>
                <w:sz w:val="24"/>
                <w:highlight w:val="none"/>
              </w:rPr>
              <w:t>暂存过程中根据《一般工业固体废物贮存和填埋污染控制标准》（GB18599-2020）及相关国家及地方法律法规，提出以下环境管理措施：</w:t>
            </w:r>
          </w:p>
          <w:p w14:paraId="29B86296">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①应防止雨水径流进入贮存、处置场内；②加强监督管理，贮存、处置应按GB15562.2设置环境保护图形标志；③对固体废物实行从产生、收集、运输、贮存直至最终处理实行全过程管理，加强固体废物运输过程的事故风险防范，按照有关法律、法规的要求，对固体废弃物全过程管理应报当地环保行政主管部门等批准。④加强固体废物规范化管理，固体废物分类定点堆放，堆放场所远离办公区和周围环境敏感点，固废暂存区不得露天储存，应置于车间内。</w:t>
            </w:r>
          </w:p>
          <w:p w14:paraId="21AACAE4">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（2）危险废物</w:t>
            </w:r>
          </w:p>
          <w:p w14:paraId="303661B9">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危险废物执行《危险废物贮存污染控制标准》（GB18597-2023）中标准。</w:t>
            </w:r>
          </w:p>
          <w:p w14:paraId="314FC854">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①贮存场所</w:t>
            </w:r>
          </w:p>
          <w:p w14:paraId="5CC51B5A">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危废暂存间建设按照《危险废物贮存污染控制标准》（GB18597-2023）相关标准要求进行建设。贮存场地进行防渗处理，采用2毫米厚高密度聚乙烯，渗透系数≤10</w:t>
            </w:r>
            <w:r>
              <w:rPr>
                <w:rFonts w:hint="default" w:ascii="Times New Roman" w:hAnsi="Times New Roman" w:cs="Times New Roman"/>
                <w:kern w:val="21"/>
                <w:sz w:val="24"/>
                <w:highlight w:val="none"/>
                <w:vertAlign w:val="superscript"/>
              </w:rPr>
              <w:t>-10</w:t>
            </w:r>
            <w:r>
              <w:rPr>
                <w:rFonts w:hint="default" w:ascii="Times New Roman" w:hAnsi="Times New Roman" w:cs="Times New Roman"/>
                <w:kern w:val="21"/>
                <w:sz w:val="24"/>
                <w:highlight w:val="none"/>
              </w:rPr>
              <w:t>cm/s，且做到防雨和防晒。</w:t>
            </w:r>
          </w:p>
          <w:p w14:paraId="10B72790">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项目危险废物贮存采取单独分类收集、独自通过桶装/袋装密闭储存。危废库内设置危废分区和桶架，并设置废液收集导流措施，用于各自桶装危废堆存。禁止混合收集、贮存、运输、处置性质不相容而未经安全性处置的危险废物。</w:t>
            </w:r>
          </w:p>
          <w:p w14:paraId="5D7566F3">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对危险废物的容器和包装物以及收集、贮存处置危险废物的设施、场所，必须设置危险废物识别标志、标识</w:t>
            </w:r>
            <w:r>
              <w:rPr>
                <w:rFonts w:hint="eastAsia" w:cs="Times New Roman"/>
                <w:kern w:val="21"/>
                <w:sz w:val="24"/>
                <w:highlight w:val="none"/>
                <w:lang w:eastAsia="zh-CN"/>
              </w:rPr>
              <w:t>，在</w:t>
            </w:r>
            <w:r>
              <w:rPr>
                <w:rFonts w:hint="default" w:ascii="Times New Roman" w:hAnsi="Times New Roman" w:cs="Times New Roman"/>
                <w:kern w:val="21"/>
                <w:sz w:val="24"/>
                <w:highlight w:val="none"/>
              </w:rPr>
              <w:t>危险废物容器和包装袋上设立危险废物明显标志。处置单位应及时将固废运走，危险废物在厂内存储不超过一年。</w:t>
            </w:r>
          </w:p>
          <w:p w14:paraId="7BFB557C">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危险废物暂存场所（危废间）应满足</w:t>
            </w:r>
            <w:r>
              <w:rPr>
                <w:rFonts w:hint="eastAsia" w:cs="Times New Roman"/>
                <w:kern w:val="21"/>
                <w:sz w:val="24"/>
                <w:highlight w:val="none"/>
                <w:lang w:eastAsia="zh-CN"/>
              </w:rPr>
              <w:t>“</w:t>
            </w:r>
            <w:r>
              <w:rPr>
                <w:rFonts w:hint="default" w:ascii="Times New Roman" w:hAnsi="Times New Roman" w:cs="Times New Roman"/>
                <w:kern w:val="21"/>
                <w:sz w:val="24"/>
                <w:highlight w:val="none"/>
              </w:rPr>
              <w:t>四防</w:t>
            </w:r>
            <w:r>
              <w:rPr>
                <w:rFonts w:hint="eastAsia" w:cs="Times New Roman"/>
                <w:kern w:val="21"/>
                <w:sz w:val="24"/>
                <w:highlight w:val="none"/>
                <w:lang w:eastAsia="zh-CN"/>
              </w:rPr>
              <w:t>”</w:t>
            </w:r>
            <w:r>
              <w:rPr>
                <w:rFonts w:hint="default" w:ascii="Times New Roman" w:hAnsi="Times New Roman" w:cs="Times New Roman"/>
                <w:kern w:val="21"/>
                <w:sz w:val="24"/>
                <w:highlight w:val="none"/>
              </w:rPr>
              <w:t>（防风、防雨、防晒、防渗漏）要求，采取防渗措施和渗漏收集措施，并设置警示标识。在采取严格防治措施的前提下，危险废物贮存场所不会造成不利环境影响。</w:t>
            </w:r>
          </w:p>
          <w:p w14:paraId="740B74BF">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②运输过程</w:t>
            </w:r>
          </w:p>
          <w:p w14:paraId="768AC995">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本项目危险废物产生及贮存场、运输通道均已采取硬化和防腐防渗措施，因此危险废物从</w:t>
            </w:r>
            <w:r>
              <w:rPr>
                <w:rFonts w:hint="eastAsia" w:cs="Times New Roman"/>
                <w:kern w:val="21"/>
                <w:sz w:val="24"/>
                <w:highlight w:val="none"/>
                <w:lang w:eastAsia="zh-CN"/>
              </w:rPr>
              <w:t>生产</w:t>
            </w:r>
            <w:r>
              <w:rPr>
                <w:rFonts w:hint="default" w:ascii="Times New Roman" w:hAnsi="Times New Roman" w:cs="Times New Roman"/>
                <w:kern w:val="21"/>
                <w:sz w:val="24"/>
                <w:highlight w:val="none"/>
              </w:rPr>
              <w:t>工艺环节运输到暂存场所的过程中产生散落和泄漏均会将影响控制在厂区内，不会对周边环境敏感点及地下水环境产生不利影响。</w:t>
            </w:r>
          </w:p>
          <w:p w14:paraId="45643F42">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③委托利用或者处置</w:t>
            </w:r>
          </w:p>
          <w:p w14:paraId="31DB90A2">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企业需建立完善危险废物管理台账，如实记录危险废物贮存、利用、处置相关情况，制定危险废物管理计划并报环保局备案，如实申报危险废物种类、产生量、流向、贮存、处置等有关情况。</w:t>
            </w:r>
          </w:p>
          <w:p w14:paraId="4F485F88">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危险废物委托必须委托具有相应危险废物经营资质的单位利用处置，签订委托处理协议，危险废物转移严格执行《危险废物转移联单制度》。</w:t>
            </w:r>
          </w:p>
          <w:p w14:paraId="2685C597">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项目危险废物暂存间按照《危险废物贮存污染控制标准》（GB18597-2023）和《危险废物污染防治技术政策》的要求规范建设，做好该暂存场防雨、防风、防渗、防漏等措施，并制定好危险废物转移运输途中的污染防治及事故应急措施。</w:t>
            </w:r>
          </w:p>
          <w:p w14:paraId="74F9FBE2">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综上所述，本项目固废可综合利用和妥善处置，可以满足《一般工业固体废物贮存和填埋污染控制标准》（GB18599-2020）要求；危废暂存间按照《危险废物贮存污染控制标准》</w:t>
            </w:r>
            <w:r>
              <w:rPr>
                <w:rFonts w:hint="default" w:ascii="Times New Roman" w:hAnsi="Times New Roman" w:cs="Times New Roman"/>
                <w:spacing w:val="-1"/>
                <w:highlight w:val="none"/>
              </w:rPr>
              <w:t>（</w:t>
            </w:r>
            <w:r>
              <w:rPr>
                <w:rFonts w:hint="default" w:ascii="Times New Roman" w:hAnsi="Times New Roman" w:cs="Times New Roman"/>
                <w:kern w:val="21"/>
                <w:sz w:val="24"/>
                <w:highlight w:val="none"/>
              </w:rPr>
              <w:t>GB18597-2023）要求，对周围环境影响较小。项目固废均处置措施完善、去向明确，固废对周围环境影响很小。</w:t>
            </w:r>
          </w:p>
          <w:p w14:paraId="3540F8A0">
            <w:pPr>
              <w:pStyle w:val="23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五、地下水、土壤</w:t>
            </w:r>
          </w:p>
          <w:p w14:paraId="188EDEC8">
            <w:pPr>
              <w:pStyle w:val="230"/>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1、地下水及土壤污染源、污染物类型及污染途径</w:t>
            </w:r>
          </w:p>
          <w:p w14:paraId="3C054B2A">
            <w:pPr>
              <w:pStyle w:val="230"/>
              <w:jc w:val="both"/>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本项目原辅材料、产品不属于易燃易爆危险物质，项目工艺不属于高温高压等危险工艺，项目无工艺废水排放，项目正常工况下无对区域地下水、土壤产生污染的重大污染源、污染物及污染途径。项目可能对地下水、土壤产生影响的情况为事故状态下危废暂存间、化粪池等防渗不当，造成废水污染物下渗污染地下水、土壤；污染物主要为CODcr、氨氮、颗粒物等。</w:t>
            </w:r>
          </w:p>
          <w:p w14:paraId="3221600D">
            <w:pPr>
              <w:pStyle w:val="230"/>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2、污染防治措施</w:t>
            </w:r>
          </w:p>
          <w:p w14:paraId="456EABBD">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为了防止突发事故废水泄漏污染地下水和土壤，企业已按照防渗分区要求建设了完善的地下水污染防渗措施，危废暂存间采取严格的硬化及防渗处理。生产区域及与生产区域紧邻区域地面均进行硬化处理，生产过程中的各种物料及污染物均与天然土壤隔离，不会通过裸露区</w:t>
            </w:r>
            <w:r>
              <w:rPr>
                <w:rFonts w:hint="eastAsia" w:cs="Times New Roman"/>
                <w:kern w:val="0"/>
                <w:sz w:val="24"/>
                <w:highlight w:val="none"/>
                <w:lang w:eastAsia="zh-CN"/>
              </w:rPr>
              <w:t>渗入</w:t>
            </w:r>
            <w:r>
              <w:rPr>
                <w:rFonts w:hint="default" w:ascii="Times New Roman" w:hAnsi="Times New Roman" w:cs="Times New Roman"/>
                <w:kern w:val="0"/>
                <w:sz w:val="24"/>
                <w:highlight w:val="none"/>
              </w:rPr>
              <w:t>土壤中，减少或杜绝对土壤环境的影响。</w:t>
            </w:r>
          </w:p>
          <w:p w14:paraId="41BF4368">
            <w:pPr>
              <w:pStyle w:val="230"/>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3、小结</w:t>
            </w:r>
          </w:p>
          <w:p w14:paraId="6189CD23">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本项目运营期对土壤环境影响较小；在严格落实土壤环境保护措施的条件下，项目对土壤环境影响风险较小。从土壤保护的角度考虑，项目建设基本可行。</w:t>
            </w:r>
          </w:p>
          <w:p w14:paraId="7E8FA82E">
            <w:pPr>
              <w:pStyle w:val="230"/>
              <w:ind w:firstLine="480" w:firstLineChars="200"/>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4、跟踪监测要求</w:t>
            </w:r>
          </w:p>
          <w:p w14:paraId="6833DF33">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根据以上分析，本项目正常工况下无污染地下水、土壤环境等重大危险源，且项目500米范围内无地下水集中式饮用水水源和热水、矿泉水、温泉等特殊地下水资源。企业运营期正常工况下不需要针对地下水、土壤环境污染进行跟踪监测。</w:t>
            </w:r>
          </w:p>
          <w:p w14:paraId="29069659">
            <w:pPr>
              <w:pStyle w:val="230"/>
              <w:ind w:firstLineChars="20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六、生态</w:t>
            </w:r>
          </w:p>
          <w:p w14:paraId="7CC2A09B">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本项目用地范围内无珍稀动植物物种，生态环境质量一般，用地范围内无生态环境保护目标。项目占地内原有生物物种在项目周围地域广泛存在，基本不影响评价区域的生物多样性，项目运营对周围生态环境基本上没有产生明显的影响。</w:t>
            </w:r>
          </w:p>
          <w:p w14:paraId="51985710">
            <w:pPr>
              <w:pStyle w:val="230"/>
              <w:ind w:firstLineChars="20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七、电磁辐射</w:t>
            </w:r>
          </w:p>
          <w:p w14:paraId="5C50EB49">
            <w:pPr>
              <w:pStyle w:val="230"/>
              <w:ind w:firstLine="48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本项目不属于新建或改建、扩建广播电台、差转台、电视塔台、卫星地球上行站、雷达等电磁辐射类项目，本项目不需要分析电磁辐射对环境目标的影响。</w:t>
            </w:r>
          </w:p>
          <w:p w14:paraId="275F2DA2">
            <w:pPr>
              <w:pStyle w:val="23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八、环境风险</w:t>
            </w:r>
          </w:p>
          <w:p w14:paraId="096658B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1、危险物质及评价等级</w:t>
            </w:r>
          </w:p>
          <w:p w14:paraId="366685E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162AC5F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（1）环境风险潜势初判</w:t>
            </w:r>
          </w:p>
          <w:p w14:paraId="01F90AD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根据《建设项目环境风险评价技术导则》（HJ169-2018）附录C，当只涉及一种危险物质时，计算该物质的总量与其临界量比值，即为Q；当存在多种危险物质时，则按下式计算物质总量与其临界量比值（Q）：</w:t>
            </w:r>
          </w:p>
          <w:p w14:paraId="4A21B4D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object>
                <v:shape id="_x0000_i1036" o:spt="75" type="#_x0000_t75" style="height:33.3pt;width:101.2pt;" o:ole="t" filled="f" o:preferrelative="t" stroked="f" coordsize="21600,21600">
                  <v:path/>
                  <v:fill on="f" focussize="0,0"/>
                  <v:stroke on="f" joinstyle="miter"/>
                  <v:imagedata r:id="rId41" o:title=""/>
                  <o:lock v:ext="edit" aspectratio="t"/>
                  <w10:wrap type="none"/>
                  <w10:anchorlock/>
                </v:shape>
                <o:OLEObject Type="Embed" ProgID="Equation.3" ShapeID="_x0000_i1036" DrawAspect="Content" ObjectID="_1468075736" r:id="rId40">
                  <o:LockedField>false</o:LockedField>
                </o:OLEObject>
              </w:object>
            </w:r>
          </w:p>
          <w:p w14:paraId="0A239B0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式中：q1，q2……qn—每种危险物质的最大存在量，t；</w:t>
            </w:r>
          </w:p>
          <w:p w14:paraId="12FF8D9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Q1，Q2…Qn—每种危险物质的临界量，t。</w:t>
            </w:r>
          </w:p>
          <w:p w14:paraId="70E70A0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当Q&lt;1时，该项目环境风险潜势为I。</w:t>
            </w:r>
          </w:p>
          <w:p w14:paraId="6A79AA2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当Q≧1时，将Q值划分为：（1）1≦Q&lt;10；（2）10≦Q&lt;100；（3）Q≧100。</w:t>
            </w:r>
          </w:p>
          <w:p w14:paraId="5880955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根据《建设项目环境风险评价技术导则》（HJ 169-2018）中附录B要求，本项目选取废润滑油等进行计算。</w:t>
            </w:r>
          </w:p>
          <w:p w14:paraId="57ED42C1">
            <w:pPr>
              <w:spacing w:line="360" w:lineRule="auto"/>
              <w:jc w:val="center"/>
              <w:rPr>
                <w:rFonts w:hint="default" w:ascii="Times New Roman" w:hAnsi="Times New Roman" w:cs="Times New Roman"/>
                <w:b/>
                <w:bCs/>
                <w:color w:val="000000"/>
                <w:sz w:val="24"/>
                <w:highlight w:val="none"/>
              </w:rPr>
            </w:pPr>
            <w:bookmarkStart w:id="13" w:name="_Ref32309007"/>
            <w:r>
              <w:rPr>
                <w:rFonts w:hint="default" w:ascii="Times New Roman" w:hAnsi="Times New Roman" w:cs="Times New Roman"/>
                <w:b/>
                <w:bCs/>
                <w:color w:val="000000"/>
                <w:sz w:val="24"/>
                <w:highlight w:val="none"/>
              </w:rPr>
              <w:t>表</w:t>
            </w:r>
            <w:bookmarkEnd w:id="13"/>
            <w:r>
              <w:rPr>
                <w:rFonts w:hint="default" w:ascii="Times New Roman" w:hAnsi="Times New Roman" w:cs="Times New Roman"/>
                <w:b/>
                <w:bCs/>
                <w:color w:val="000000"/>
                <w:sz w:val="24"/>
                <w:highlight w:val="none"/>
              </w:rPr>
              <w:t>4-1</w:t>
            </w:r>
            <w:r>
              <w:rPr>
                <w:rFonts w:hint="eastAsia" w:cs="Times New Roman"/>
                <w:b/>
                <w:bCs/>
                <w:color w:val="000000"/>
                <w:sz w:val="24"/>
                <w:highlight w:val="none"/>
                <w:lang w:val="en-US" w:eastAsia="zh-CN"/>
              </w:rPr>
              <w:t>0</w:t>
            </w:r>
            <w:r>
              <w:rPr>
                <w:rFonts w:hint="default" w:ascii="Times New Roman" w:hAnsi="Times New Roman" w:cs="Times New Roman"/>
                <w:b/>
                <w:bCs/>
                <w:color w:val="000000"/>
                <w:sz w:val="24"/>
                <w:highlight w:val="none"/>
              </w:rPr>
              <w:t xml:space="preserve">  最大危险物质分布及存在数量一览表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1511"/>
              <w:gridCol w:w="1906"/>
              <w:gridCol w:w="1938"/>
              <w:gridCol w:w="1660"/>
              <w:gridCol w:w="1035"/>
            </w:tblGrid>
            <w:tr w14:paraId="0D8C9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restart"/>
                  <w:vAlign w:val="center"/>
                </w:tcPr>
                <w:p w14:paraId="4426C965">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时期</w:t>
                  </w:r>
                </w:p>
              </w:tc>
              <w:tc>
                <w:tcPr>
                  <w:tcW w:w="820" w:type="pct"/>
                  <w:vMerge w:val="restart"/>
                  <w:vAlign w:val="center"/>
                </w:tcPr>
                <w:p w14:paraId="1F08F505">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危险物质</w:t>
                  </w:r>
                </w:p>
              </w:tc>
              <w:tc>
                <w:tcPr>
                  <w:tcW w:w="1034" w:type="pct"/>
                  <w:vMerge w:val="restart"/>
                  <w:vAlign w:val="center"/>
                </w:tcPr>
                <w:p w14:paraId="35AC85AD">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存储设施名称</w:t>
                  </w:r>
                </w:p>
              </w:tc>
              <w:tc>
                <w:tcPr>
                  <w:tcW w:w="1052" w:type="pct"/>
                  <w:vAlign w:val="center"/>
                </w:tcPr>
                <w:p w14:paraId="369114EA">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最大</w:t>
                  </w:r>
                  <w:r>
                    <w:rPr>
                      <w:rFonts w:hint="default" w:ascii="Times New Roman" w:hAnsi="Times New Roman" w:eastAsia="宋体" w:cs="Times New Roman"/>
                      <w:color w:val="000000"/>
                      <w:highlight w:val="none"/>
                    </w:rPr>
                    <w:t>在线</w:t>
                  </w:r>
                  <w:r>
                    <w:rPr>
                      <w:rFonts w:hint="default" w:ascii="Times New Roman" w:hAnsi="Times New Roman" w:cs="Times New Roman"/>
                      <w:color w:val="000000"/>
                      <w:highlight w:val="none"/>
                    </w:rPr>
                    <w:t>量</w:t>
                  </w:r>
                </w:p>
              </w:tc>
              <w:tc>
                <w:tcPr>
                  <w:tcW w:w="901" w:type="pct"/>
                  <w:vAlign w:val="center"/>
                </w:tcPr>
                <w:p w14:paraId="76DC3164">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临界量</w:t>
                  </w:r>
                </w:p>
              </w:tc>
              <w:tc>
                <w:tcPr>
                  <w:tcW w:w="561" w:type="pct"/>
                  <w:vMerge w:val="restart"/>
                  <w:vAlign w:val="center"/>
                </w:tcPr>
                <w:p w14:paraId="785FC81B">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Q</w:t>
                  </w:r>
                </w:p>
              </w:tc>
            </w:tr>
            <w:tr w14:paraId="28CAF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661154CE">
                  <w:pPr>
                    <w:pStyle w:val="98"/>
                    <w:rPr>
                      <w:rFonts w:hint="default" w:ascii="Times New Roman" w:hAnsi="Times New Roman" w:cs="Times New Roman"/>
                      <w:color w:val="000000"/>
                      <w:highlight w:val="none"/>
                    </w:rPr>
                  </w:pPr>
                </w:p>
              </w:tc>
              <w:tc>
                <w:tcPr>
                  <w:tcW w:w="820" w:type="pct"/>
                  <w:vMerge w:val="continue"/>
                  <w:vAlign w:val="center"/>
                </w:tcPr>
                <w:p w14:paraId="41EF5746">
                  <w:pPr>
                    <w:pStyle w:val="98"/>
                    <w:rPr>
                      <w:rFonts w:hint="default" w:ascii="Times New Roman" w:hAnsi="Times New Roman" w:cs="Times New Roman"/>
                      <w:color w:val="000000"/>
                      <w:highlight w:val="none"/>
                    </w:rPr>
                  </w:pPr>
                </w:p>
              </w:tc>
              <w:tc>
                <w:tcPr>
                  <w:tcW w:w="1034" w:type="pct"/>
                  <w:vMerge w:val="continue"/>
                  <w:vAlign w:val="center"/>
                </w:tcPr>
                <w:p w14:paraId="15F3FC9D">
                  <w:pPr>
                    <w:pStyle w:val="98"/>
                    <w:rPr>
                      <w:rFonts w:hint="default" w:ascii="Times New Roman" w:hAnsi="Times New Roman" w:cs="Times New Roman"/>
                      <w:color w:val="000000"/>
                      <w:highlight w:val="none"/>
                    </w:rPr>
                  </w:pPr>
                </w:p>
              </w:tc>
              <w:tc>
                <w:tcPr>
                  <w:tcW w:w="1052" w:type="pct"/>
                  <w:vAlign w:val="center"/>
                </w:tcPr>
                <w:p w14:paraId="4C2EC0E4">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qi（t）</w:t>
                  </w:r>
                </w:p>
              </w:tc>
              <w:tc>
                <w:tcPr>
                  <w:tcW w:w="901" w:type="pct"/>
                  <w:vAlign w:val="center"/>
                </w:tcPr>
                <w:p w14:paraId="38AACAF6">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Qi（t）</w:t>
                  </w:r>
                </w:p>
              </w:tc>
              <w:tc>
                <w:tcPr>
                  <w:tcW w:w="561" w:type="pct"/>
                  <w:vMerge w:val="continue"/>
                  <w:vAlign w:val="center"/>
                </w:tcPr>
                <w:p w14:paraId="0B391AEF">
                  <w:pPr>
                    <w:pStyle w:val="98"/>
                    <w:rPr>
                      <w:rFonts w:hint="default" w:ascii="Times New Roman" w:hAnsi="Times New Roman" w:cs="Times New Roman"/>
                      <w:color w:val="000000"/>
                      <w:highlight w:val="none"/>
                    </w:rPr>
                  </w:pPr>
                </w:p>
              </w:tc>
            </w:tr>
            <w:tr w14:paraId="08FDF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Align w:val="center"/>
                </w:tcPr>
                <w:p w14:paraId="0D23FBF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营运</w:t>
                  </w:r>
                  <w:r>
                    <w:rPr>
                      <w:rFonts w:hint="default" w:ascii="Times New Roman" w:hAnsi="Times New Roman" w:cs="Times New Roman"/>
                      <w:color w:val="000000"/>
                      <w:highlight w:val="none"/>
                    </w:rPr>
                    <w:t>期</w:t>
                  </w:r>
                </w:p>
              </w:tc>
              <w:tc>
                <w:tcPr>
                  <w:tcW w:w="820" w:type="pct"/>
                  <w:shd w:val="clear" w:color="auto" w:fill="auto"/>
                  <w:vAlign w:val="center"/>
                </w:tcPr>
                <w:p w14:paraId="3886564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废润滑油</w:t>
                  </w:r>
                </w:p>
              </w:tc>
              <w:tc>
                <w:tcPr>
                  <w:tcW w:w="1034" w:type="pct"/>
                  <w:shd w:val="clear" w:color="auto" w:fill="auto"/>
                  <w:vAlign w:val="center"/>
                </w:tcPr>
                <w:p w14:paraId="14A98F7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危废间</w:t>
                  </w:r>
                </w:p>
              </w:tc>
              <w:tc>
                <w:tcPr>
                  <w:tcW w:w="1052" w:type="pct"/>
                  <w:shd w:val="clear" w:color="auto" w:fill="auto"/>
                  <w:vAlign w:val="center"/>
                </w:tcPr>
                <w:p w14:paraId="47F139E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0.1</w:t>
                  </w:r>
                </w:p>
              </w:tc>
              <w:tc>
                <w:tcPr>
                  <w:tcW w:w="901" w:type="pct"/>
                  <w:shd w:val="clear" w:color="auto" w:fill="auto"/>
                  <w:vAlign w:val="center"/>
                </w:tcPr>
                <w:p w14:paraId="0C47D1F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2500</w:t>
                  </w:r>
                </w:p>
              </w:tc>
              <w:tc>
                <w:tcPr>
                  <w:tcW w:w="561" w:type="pct"/>
                  <w:shd w:val="clear" w:color="auto" w:fill="auto"/>
                  <w:vAlign w:val="center"/>
                </w:tcPr>
                <w:p w14:paraId="3A4F22F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0.00004</w:t>
                  </w:r>
                </w:p>
              </w:tc>
            </w:tr>
            <w:tr w14:paraId="6C116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438" w:type="pct"/>
                  <w:gridSpan w:val="5"/>
                  <w:vAlign w:val="center"/>
                </w:tcPr>
                <w:p w14:paraId="5BC66EF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合计</w:t>
                  </w:r>
                </w:p>
              </w:tc>
              <w:tc>
                <w:tcPr>
                  <w:tcW w:w="561" w:type="pct"/>
                  <w:vAlign w:val="center"/>
                </w:tcPr>
                <w:p w14:paraId="669B3A1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0.0</w:t>
                  </w:r>
                  <w:r>
                    <w:rPr>
                      <w:rFonts w:hint="eastAsia" w:eastAsia="宋体" w:cs="Times New Roman"/>
                      <w:color w:val="000000"/>
                      <w:highlight w:val="none"/>
                      <w:lang w:val="en-US" w:eastAsia="zh-CN"/>
                    </w:rPr>
                    <w:t>0</w:t>
                  </w:r>
                  <w:r>
                    <w:rPr>
                      <w:rFonts w:hint="default" w:ascii="Times New Roman" w:hAnsi="Times New Roman" w:eastAsia="宋体" w:cs="Times New Roman"/>
                      <w:color w:val="000000"/>
                      <w:highlight w:val="none"/>
                    </w:rPr>
                    <w:t>004</w:t>
                  </w:r>
                </w:p>
              </w:tc>
            </w:tr>
          </w:tbl>
          <w:p w14:paraId="71FF546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从上表可以看出，本项目危险物质数量与临界量比值Qmax为0.0</w:t>
            </w:r>
            <w:r>
              <w:rPr>
                <w:rFonts w:hint="eastAsia" w:cs="Times New Roman"/>
                <w:sz w:val="24"/>
                <w:highlight w:val="none"/>
                <w:lang w:val="en-US" w:eastAsia="zh-CN"/>
              </w:rPr>
              <w:t>0</w:t>
            </w:r>
            <w:r>
              <w:rPr>
                <w:rFonts w:hint="default" w:ascii="Times New Roman" w:hAnsi="Times New Roman" w:cs="Times New Roman"/>
                <w:sz w:val="24"/>
                <w:highlight w:val="none"/>
              </w:rPr>
              <w:t>004＜1。根据《建设项目环境风险评价技术导则》（HJ 169-2018）中附录C要求，当Qmax＜1，则直接判定该项目环境风险潜势为I。</w:t>
            </w:r>
          </w:p>
          <w:p w14:paraId="6B56CE42">
            <w:pPr>
              <w:spacing w:line="360" w:lineRule="auto"/>
              <w:ind w:firstLine="480" w:firstLineChars="200"/>
              <w:rPr>
                <w:rFonts w:hint="default" w:ascii="Times New Roman" w:hAnsi="Times New Roman" w:cs="Times New Roman"/>
                <w:sz w:val="24"/>
                <w:highlight w:val="none"/>
              </w:rPr>
            </w:pPr>
            <w:bookmarkStart w:id="14" w:name="_Toc25705"/>
            <w:r>
              <w:rPr>
                <w:rFonts w:hint="default" w:ascii="Times New Roman" w:hAnsi="Times New Roman" w:cs="Times New Roman"/>
                <w:sz w:val="24"/>
                <w:highlight w:val="none"/>
              </w:rPr>
              <w:t>（2）评价等级</w:t>
            </w:r>
            <w:bookmarkEnd w:id="14"/>
          </w:p>
          <w:p w14:paraId="7C33B32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环境风险评价工作等级划分为一级、二级、三级。根据建设项目涉及的物质及工艺系统危险性和所在地的环境敏感性确定环境风险潜势，按照下表确定评价工作等级。风险潜势为Ⅳ及以上，进行一级评价；风险潜势为Ⅲ，进行二级评价；风险潜势为Ⅱ，进行三级评价；风险潜势为I，可开展简单分析。</w:t>
            </w:r>
          </w:p>
          <w:p w14:paraId="666C149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风险评价工作级别划分情况见下表。</w:t>
            </w:r>
          </w:p>
          <w:p w14:paraId="5B5FAF37">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w:t>
            </w:r>
            <w:r>
              <w:rPr>
                <w:rFonts w:hint="eastAsia" w:cs="Times New Roman"/>
                <w:b/>
                <w:bCs/>
                <w:color w:val="000000"/>
                <w:sz w:val="24"/>
                <w:highlight w:val="none"/>
                <w:lang w:val="en-US" w:eastAsia="zh-CN"/>
              </w:rPr>
              <w:t>1</w:t>
            </w:r>
            <w:r>
              <w:rPr>
                <w:rFonts w:hint="default" w:ascii="Times New Roman" w:hAnsi="Times New Roman" w:cs="Times New Roman"/>
                <w:b/>
                <w:bCs/>
                <w:color w:val="000000"/>
                <w:sz w:val="24"/>
                <w:highlight w:val="none"/>
              </w:rPr>
              <w:t xml:space="preserve">  风险评价工作级别划分</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0"/>
              <w:gridCol w:w="1841"/>
              <w:gridCol w:w="1841"/>
              <w:gridCol w:w="1841"/>
              <w:gridCol w:w="1843"/>
            </w:tblGrid>
            <w:tr w14:paraId="6803C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00D1A53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环境风险潜势</w:t>
                  </w:r>
                </w:p>
              </w:tc>
              <w:tc>
                <w:tcPr>
                  <w:tcW w:w="1000" w:type="pct"/>
                  <w:vAlign w:val="center"/>
                </w:tcPr>
                <w:p w14:paraId="05BB75AA">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eastAsia="zh-CN"/>
                    </w:rPr>
                    <w:t>Ⅳ</w:t>
                  </w:r>
                  <w:r>
                    <w:rPr>
                      <w:rFonts w:hint="default" w:ascii="Times New Roman" w:hAnsi="Times New Roman" w:eastAsia="宋体" w:cs="Times New Roman"/>
                      <w:color w:val="000000"/>
                      <w:highlight w:val="none"/>
                    </w:rPr>
                    <w:t>+、</w:t>
                  </w:r>
                  <w:r>
                    <w:rPr>
                      <w:rFonts w:hint="eastAsia" w:eastAsia="宋体" w:cs="Times New Roman"/>
                      <w:color w:val="000000"/>
                      <w:highlight w:val="none"/>
                      <w:lang w:eastAsia="zh-CN"/>
                    </w:rPr>
                    <w:t>Ⅳ</w:t>
                  </w:r>
                </w:p>
              </w:tc>
              <w:tc>
                <w:tcPr>
                  <w:tcW w:w="1000" w:type="pct"/>
                  <w:vAlign w:val="center"/>
                </w:tcPr>
                <w:p w14:paraId="039DAFF6">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eastAsia="zh-CN"/>
                    </w:rPr>
                    <w:t>Ⅲ</w:t>
                  </w:r>
                </w:p>
              </w:tc>
              <w:tc>
                <w:tcPr>
                  <w:tcW w:w="1000" w:type="pct"/>
                  <w:vAlign w:val="center"/>
                </w:tcPr>
                <w:p w14:paraId="53742DF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II</w:t>
                  </w:r>
                </w:p>
              </w:tc>
              <w:tc>
                <w:tcPr>
                  <w:tcW w:w="1000" w:type="pct"/>
                  <w:vAlign w:val="center"/>
                </w:tcPr>
                <w:p w14:paraId="2B1537A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I</w:t>
                  </w:r>
                </w:p>
              </w:tc>
            </w:tr>
            <w:tr w14:paraId="36A1B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752A8B4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评价工作等级</w:t>
                  </w:r>
                </w:p>
              </w:tc>
              <w:tc>
                <w:tcPr>
                  <w:tcW w:w="1000" w:type="pct"/>
                  <w:vAlign w:val="center"/>
                </w:tcPr>
                <w:p w14:paraId="7C2DD1B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w:t>
                  </w:r>
                </w:p>
              </w:tc>
              <w:tc>
                <w:tcPr>
                  <w:tcW w:w="1000" w:type="pct"/>
                  <w:vAlign w:val="center"/>
                </w:tcPr>
                <w:p w14:paraId="04D28EC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二</w:t>
                  </w:r>
                </w:p>
              </w:tc>
              <w:tc>
                <w:tcPr>
                  <w:tcW w:w="1000" w:type="pct"/>
                  <w:vAlign w:val="center"/>
                </w:tcPr>
                <w:p w14:paraId="1CBC3E8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三</w:t>
                  </w:r>
                </w:p>
              </w:tc>
              <w:tc>
                <w:tcPr>
                  <w:tcW w:w="1000" w:type="pct"/>
                  <w:vAlign w:val="center"/>
                </w:tcPr>
                <w:p w14:paraId="7CB7EA3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简单分析a</w:t>
                  </w:r>
                </w:p>
              </w:tc>
            </w:tr>
            <w:tr w14:paraId="1BBC7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14:paraId="753C0C9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a是相对于详细评价工作而言，在描述危险物质、环境影响途径、环境危害后果、风险防范措施等方面给出定性说明。</w:t>
                  </w:r>
                </w:p>
              </w:tc>
            </w:tr>
          </w:tbl>
          <w:p w14:paraId="286C04D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本项目环境风险潜势为I，风险评价工作等级为简单分析。</w:t>
            </w:r>
          </w:p>
          <w:p w14:paraId="5303665B">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2、环境风险识别</w:t>
            </w:r>
          </w:p>
          <w:p w14:paraId="447A834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①主要危险物质及其分布</w:t>
            </w:r>
          </w:p>
          <w:p w14:paraId="2B0A386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根据《建设项目环境风险评价技术导则》（HJ169-2018）中附录B，项目生产中涉及风险物质为废润滑油。</w:t>
            </w:r>
          </w:p>
          <w:p w14:paraId="4223389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②可能影响环境的途径</w:t>
            </w:r>
          </w:p>
          <w:p w14:paraId="5C3FAD6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项目事故的风险通常划分为火灾、污水泄漏类型，事故风险都可能引起环境灾害。根据危险物质及危险装置的识别结果，可以分析出风险的发生事故以及环境事故、风险物质进入环境的途径。</w:t>
            </w:r>
          </w:p>
          <w:p w14:paraId="11EC6ED6">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3、环境风险分析</w:t>
            </w:r>
          </w:p>
          <w:p w14:paraId="3664CB7A">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项目可能发生的风险是遇火发生火灾事故，事故引起的危害主要表现在：</w:t>
            </w:r>
          </w:p>
          <w:p w14:paraId="53DEE8F3">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①大气</w:t>
            </w:r>
          </w:p>
          <w:p w14:paraId="299BA61E">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大气污染物主要为燃烧不充分的情况下，产生的CO、氮氧化物和烟尘，对大气环境会造成局部污染。</w:t>
            </w:r>
          </w:p>
          <w:p w14:paraId="53409FB1">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②地表水</w:t>
            </w:r>
          </w:p>
          <w:p w14:paraId="713B3E7C">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本项目可能的次生危险性主要包括救火过</w:t>
            </w:r>
            <w:r>
              <w:rPr>
                <w:rFonts w:hint="eastAsia" w:cs="Times New Roman"/>
                <w:bCs/>
                <w:sz w:val="24"/>
                <w:highlight w:val="none"/>
                <w:lang w:eastAsia="zh-CN"/>
              </w:rPr>
              <w:t>程中</w:t>
            </w:r>
            <w:r>
              <w:rPr>
                <w:rFonts w:hint="default" w:ascii="Times New Roman" w:hAnsi="Times New Roman" w:cs="Times New Roman"/>
                <w:bCs/>
                <w:sz w:val="24"/>
                <w:highlight w:val="none"/>
              </w:rPr>
              <w:t>产生的消防污水如没有得到有效控制，可能会进入附近水体，造成排水区域的水体污染。</w:t>
            </w:r>
          </w:p>
          <w:p w14:paraId="08D91E8D">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③地下水</w:t>
            </w:r>
          </w:p>
          <w:p w14:paraId="0C75B24F">
            <w:pPr>
              <w:spacing w:line="360" w:lineRule="auto"/>
              <w:ind w:firstLine="480" w:firstLineChars="200"/>
              <w:rPr>
                <w:rFonts w:hint="default" w:ascii="Times New Roman" w:hAnsi="Times New Roman" w:cs="Times New Roman"/>
                <w:b/>
                <w:sz w:val="24"/>
                <w:highlight w:val="none"/>
              </w:rPr>
            </w:pPr>
            <w:r>
              <w:rPr>
                <w:rFonts w:hint="default" w:ascii="Times New Roman" w:hAnsi="Times New Roman" w:cs="Times New Roman"/>
                <w:bCs/>
                <w:sz w:val="24"/>
                <w:highlight w:val="none"/>
              </w:rPr>
              <w:t>火灾爆炸后破坏地表覆盖物，会有部分受污染消防水进入土壤，污染地下水。</w:t>
            </w:r>
          </w:p>
          <w:p w14:paraId="1A464530">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4、环境风险防范措施及应急要求</w:t>
            </w:r>
          </w:p>
          <w:p w14:paraId="14D8F6AA">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项目主要的风险是火灾事故，根据该企业生产过程中存在的各种风险事故因素，提出如下防范措施：</w:t>
            </w:r>
          </w:p>
          <w:p w14:paraId="627BA26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1）总图布置严格控制各建、构筑物的安全防护距离。</w:t>
            </w:r>
          </w:p>
          <w:p w14:paraId="3C11868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2）按有关规范设计设置了有效的消防系统，做到</w:t>
            </w:r>
            <w:r>
              <w:rPr>
                <w:rFonts w:hint="eastAsia" w:cs="Times New Roman"/>
                <w:sz w:val="24"/>
                <w:highlight w:val="none"/>
                <w:lang w:eastAsia="zh-CN"/>
              </w:rPr>
              <w:t>预防为主</w:t>
            </w:r>
            <w:r>
              <w:rPr>
                <w:rFonts w:hint="default" w:ascii="Times New Roman" w:hAnsi="Times New Roman" w:cs="Times New Roman"/>
                <w:sz w:val="24"/>
                <w:highlight w:val="none"/>
              </w:rPr>
              <w:t>，安全可靠。</w:t>
            </w:r>
          </w:p>
          <w:p w14:paraId="0761FB34">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3）工艺设备、运输设施及工艺系统选用了高质、高效可靠性的产品。</w:t>
            </w:r>
          </w:p>
          <w:p w14:paraId="54EEA26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4）项目的土建结构设计单位在进行结构设计时，采取了较大的抗震结构保险系数，增加了抗震能力。</w:t>
            </w:r>
          </w:p>
          <w:p w14:paraId="61DA13B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5）加强职工的安全教育，增强安全防范风险的意识。</w:t>
            </w:r>
          </w:p>
          <w:p w14:paraId="0632ADA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6）针对运营中可能发生的异常现象和存在的安全隐患，设置合理可行的技术措施，制定严格的操作规程。</w:t>
            </w:r>
          </w:p>
          <w:p w14:paraId="613C50D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7）应急预案</w:t>
            </w:r>
          </w:p>
          <w:p w14:paraId="2F3554B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企业建成后</w:t>
            </w:r>
            <w:r>
              <w:rPr>
                <w:rFonts w:hint="eastAsia" w:cs="Times New Roman"/>
                <w:sz w:val="24"/>
                <w:highlight w:val="none"/>
                <w:lang w:val="en-US" w:eastAsia="zh-CN"/>
              </w:rPr>
              <w:t>应</w:t>
            </w:r>
            <w:r>
              <w:rPr>
                <w:rFonts w:hint="default" w:ascii="Times New Roman" w:hAnsi="Times New Roman" w:cs="Times New Roman"/>
                <w:sz w:val="24"/>
                <w:highlight w:val="none"/>
              </w:rPr>
              <w:t>按要求编制环境应急预案并定期演练。</w:t>
            </w:r>
          </w:p>
          <w:p w14:paraId="6713C957">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5、分析结论</w:t>
            </w:r>
          </w:p>
          <w:p w14:paraId="7D200E0E">
            <w:pPr>
              <w:adjustRightInd w:val="0"/>
              <w:spacing w:line="360" w:lineRule="auto"/>
              <w:ind w:firstLine="470" w:firstLineChars="196"/>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风险评价技术导则》（HJ169-2018）中辨识、分析，本项目环境风险潜势为Ⅰ。企业在生产过程中须加强防范措施，切实防范火灾、爆炸等环境风险事故的发生，企业在严格按照风险防范措施处理情况下，本项目的环境风险是可控的。</w:t>
            </w:r>
          </w:p>
          <w:p w14:paraId="51C82E2A">
            <w:pPr>
              <w:pStyle w:val="23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九、环境管理与监测计划</w:t>
            </w:r>
          </w:p>
          <w:p w14:paraId="079FDD80">
            <w:pPr>
              <w:spacing w:line="360" w:lineRule="auto"/>
              <w:ind w:firstLine="480" w:firstLineChars="200"/>
              <w:rPr>
                <w:rFonts w:hint="default" w:ascii="Times New Roman" w:hAnsi="Times New Roman" w:cs="Times New Roman"/>
                <w:sz w:val="24"/>
                <w:highlight w:val="none"/>
              </w:rPr>
            </w:pPr>
            <w:bookmarkStart w:id="15" w:name="_Toc444089942"/>
            <w:bookmarkStart w:id="16" w:name="_Toc484695471"/>
            <w:r>
              <w:rPr>
                <w:rFonts w:hint="default" w:ascii="Times New Roman" w:hAnsi="Times New Roman" w:cs="Times New Roman"/>
                <w:sz w:val="24"/>
                <w:highlight w:val="none"/>
              </w:rPr>
              <w:t>（1）环境管理</w:t>
            </w:r>
            <w:bookmarkEnd w:id="15"/>
            <w:bookmarkEnd w:id="16"/>
          </w:p>
          <w:p w14:paraId="1B011B9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1）环境保护机构的设置</w:t>
            </w:r>
          </w:p>
          <w:p w14:paraId="148D450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项目在建设及运行过程中必须加强环境管理和监测计划，使各种污染物的排放达到国家有关排放标准要求，不断提高企业的管理水平，使企业得以最优化发展。根据《排污单位自行监测技术指南 总则》（HJ 819-2017），企业应进行自行监测或委托其它有资质的检（监）测机构代其开展监测。</w:t>
            </w:r>
          </w:p>
          <w:p w14:paraId="0A9D119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2）环境管理要点</w:t>
            </w:r>
          </w:p>
          <w:p w14:paraId="46B828E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w:t>
            </w:r>
            <w:r>
              <w:rPr>
                <w:rFonts w:hint="eastAsia" w:cs="Times New Roman"/>
                <w:sz w:val="24"/>
                <w:highlight w:val="none"/>
                <w:lang w:eastAsia="zh-CN"/>
              </w:rPr>
              <w:t>“</w:t>
            </w:r>
            <w:r>
              <w:rPr>
                <w:rFonts w:hint="default" w:ascii="Times New Roman" w:hAnsi="Times New Roman" w:cs="Times New Roman"/>
                <w:sz w:val="24"/>
                <w:highlight w:val="none"/>
              </w:rPr>
              <w:t>三同时</w:t>
            </w:r>
            <w:r>
              <w:rPr>
                <w:rFonts w:hint="eastAsia" w:cs="Times New Roman"/>
                <w:sz w:val="24"/>
                <w:highlight w:val="none"/>
                <w:lang w:eastAsia="zh-CN"/>
              </w:rPr>
              <w:t>”</w:t>
            </w:r>
            <w:r>
              <w:rPr>
                <w:rFonts w:hint="default" w:ascii="Times New Roman" w:hAnsi="Times New Roman" w:cs="Times New Roman"/>
                <w:sz w:val="24"/>
                <w:highlight w:val="none"/>
              </w:rPr>
              <w:t>验收</w:t>
            </w:r>
          </w:p>
          <w:p w14:paraId="2206842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根据《建设项目环境保护管理条例》及其修改决定（国务院令第682号），建设项目竣工后，建设单位应进行竣工验收，验收通过后项目方可正式投产运行。</w:t>
            </w:r>
          </w:p>
          <w:p w14:paraId="6F08C2A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②制定环境管理文件及实施细则</w:t>
            </w:r>
          </w:p>
          <w:p w14:paraId="3E1F7AFF">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根据国家、地方政府对企业环境管理的基本要求，结合项目的具体情况，制定环境管理文件和实施细则。</w:t>
            </w:r>
          </w:p>
          <w:p w14:paraId="58BE60A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③信息公开</w:t>
            </w:r>
          </w:p>
          <w:p w14:paraId="1A8FB71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根据《建设项目环境保护事中事后监督管理办法（试行）》要求，建设单位应当主动向社会公开建设项目环境影响评价文件、污染防治设施建设运行情况、污染物排放情况、突发环境事件应对情况等环境信息。</w:t>
            </w:r>
          </w:p>
          <w:p w14:paraId="1670034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（2）环境监测</w:t>
            </w:r>
          </w:p>
          <w:p w14:paraId="623AF31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1）监测仪器的配备</w:t>
            </w:r>
          </w:p>
          <w:p w14:paraId="0A8D997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建议建设单位依托社会监测机构。</w:t>
            </w:r>
          </w:p>
          <w:p w14:paraId="7544723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2）监测计划</w:t>
            </w:r>
          </w:p>
          <w:p w14:paraId="5DDDC27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根据项目特点拟定的监测计划见下表。</w:t>
            </w:r>
          </w:p>
          <w:p w14:paraId="1F79B156">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w:t>
            </w:r>
            <w:r>
              <w:rPr>
                <w:rFonts w:hint="eastAsia" w:cs="Times New Roman"/>
                <w:b/>
                <w:bCs/>
                <w:color w:val="000000"/>
                <w:sz w:val="24"/>
                <w:highlight w:val="none"/>
                <w:lang w:val="en-US" w:eastAsia="zh-CN"/>
              </w:rPr>
              <w:t>2</w:t>
            </w:r>
            <w:r>
              <w:rPr>
                <w:rFonts w:hint="default" w:ascii="Times New Roman" w:hAnsi="Times New Roman" w:cs="Times New Roman"/>
                <w:b/>
                <w:bCs/>
                <w:color w:val="000000"/>
                <w:sz w:val="24"/>
                <w:highlight w:val="none"/>
              </w:rPr>
              <w:t xml:space="preserve">  项目污染源监测计划表</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112"/>
              <w:gridCol w:w="2547"/>
              <w:gridCol w:w="1823"/>
              <w:gridCol w:w="2996"/>
            </w:tblGrid>
            <w:tr w14:paraId="62F51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Align w:val="center"/>
                </w:tcPr>
                <w:p w14:paraId="1A94F7E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项目</w:t>
                  </w:r>
                </w:p>
              </w:tc>
              <w:tc>
                <w:tcPr>
                  <w:tcW w:w="603" w:type="pct"/>
                  <w:vAlign w:val="center"/>
                </w:tcPr>
                <w:p w14:paraId="5FF618B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监测点位</w:t>
                  </w:r>
                </w:p>
              </w:tc>
              <w:tc>
                <w:tcPr>
                  <w:tcW w:w="1383" w:type="pct"/>
                  <w:vAlign w:val="center"/>
                </w:tcPr>
                <w:p w14:paraId="7F1F74E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监测项目</w:t>
                  </w:r>
                </w:p>
              </w:tc>
              <w:tc>
                <w:tcPr>
                  <w:tcW w:w="990" w:type="pct"/>
                  <w:vAlign w:val="center"/>
                </w:tcPr>
                <w:p w14:paraId="74D5B4B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监测频率</w:t>
                  </w:r>
                </w:p>
              </w:tc>
              <w:tc>
                <w:tcPr>
                  <w:tcW w:w="1627" w:type="pct"/>
                  <w:vAlign w:val="center"/>
                </w:tcPr>
                <w:p w14:paraId="45838E4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监测方式</w:t>
                  </w:r>
                </w:p>
              </w:tc>
            </w:tr>
            <w:tr w14:paraId="19DD5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restart"/>
                  <w:vAlign w:val="center"/>
                </w:tcPr>
                <w:p w14:paraId="6F11F88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废气</w:t>
                  </w:r>
                </w:p>
              </w:tc>
              <w:tc>
                <w:tcPr>
                  <w:tcW w:w="603" w:type="pct"/>
                  <w:vAlign w:val="center"/>
                </w:tcPr>
                <w:p w14:paraId="1F7811E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DA001</w:t>
                  </w:r>
                </w:p>
              </w:tc>
              <w:tc>
                <w:tcPr>
                  <w:tcW w:w="1383" w:type="pct"/>
                  <w:shd w:val="clear" w:color="auto" w:fill="auto"/>
                  <w:vAlign w:val="center"/>
                </w:tcPr>
                <w:p w14:paraId="5C53DA6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990" w:type="pct"/>
                  <w:vAlign w:val="center"/>
                </w:tcPr>
                <w:p w14:paraId="17EE9B8E">
                  <w:pPr>
                    <w:pStyle w:val="98"/>
                    <w:rPr>
                      <w:rFonts w:hint="eastAsia" w:ascii="Times New Roman" w:hAnsi="Times New Roman" w:eastAsia="宋体" w:cs="Times New Roman"/>
                      <w:color w:val="000000"/>
                      <w:highlight w:val="none"/>
                      <w:lang w:eastAsia="zh-CN"/>
                    </w:rPr>
                  </w:pPr>
                  <w:r>
                    <w:rPr>
                      <w:rFonts w:hint="default" w:ascii="Times New Roman" w:hAnsi="Times New Roman" w:eastAsia="宋体" w:cs="Times New Roman"/>
                      <w:color w:val="000000"/>
                      <w:highlight w:val="none"/>
                    </w:rPr>
                    <w:t>每年</w:t>
                  </w:r>
                </w:p>
              </w:tc>
              <w:tc>
                <w:tcPr>
                  <w:tcW w:w="1627" w:type="pct"/>
                  <w:vAlign w:val="center"/>
                </w:tcPr>
                <w:p w14:paraId="37D24CE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委托监测</w:t>
                  </w:r>
                </w:p>
              </w:tc>
            </w:tr>
            <w:tr w14:paraId="1C5B3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14:paraId="5DABDD53">
                  <w:pPr>
                    <w:pStyle w:val="98"/>
                    <w:rPr>
                      <w:rFonts w:hint="default" w:ascii="Times New Roman" w:hAnsi="Times New Roman" w:eastAsia="宋体" w:cs="Times New Roman"/>
                      <w:color w:val="000000"/>
                      <w:highlight w:val="none"/>
                    </w:rPr>
                  </w:pPr>
                </w:p>
              </w:tc>
              <w:tc>
                <w:tcPr>
                  <w:tcW w:w="603" w:type="pct"/>
                  <w:vAlign w:val="center"/>
                </w:tcPr>
                <w:p w14:paraId="2556B15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厂界</w:t>
                  </w:r>
                </w:p>
              </w:tc>
              <w:tc>
                <w:tcPr>
                  <w:tcW w:w="1383" w:type="pct"/>
                  <w:shd w:val="clear" w:color="auto" w:fill="auto"/>
                  <w:vAlign w:val="center"/>
                </w:tcPr>
                <w:p w14:paraId="09DE1792">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VOCs</w:t>
                  </w:r>
                  <w:r>
                    <w:rPr>
                      <w:rFonts w:hint="eastAsia" w:cs="Times New Roman"/>
                      <w:szCs w:val="21"/>
                      <w:highlight w:val="none"/>
                      <w:lang w:eastAsia="zh-CN"/>
                    </w:rPr>
                    <w:t>、</w:t>
                  </w:r>
                  <w:r>
                    <w:rPr>
                      <w:rFonts w:hint="eastAsia" w:cs="Times New Roman"/>
                      <w:szCs w:val="21"/>
                      <w:highlight w:val="none"/>
                      <w:lang w:val="en-US" w:eastAsia="zh-CN"/>
                    </w:rPr>
                    <w:t>颗粒物</w:t>
                  </w:r>
                </w:p>
              </w:tc>
              <w:tc>
                <w:tcPr>
                  <w:tcW w:w="990" w:type="pct"/>
                  <w:vAlign w:val="center"/>
                </w:tcPr>
                <w:p w14:paraId="283B020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每年</w:t>
                  </w:r>
                </w:p>
              </w:tc>
              <w:tc>
                <w:tcPr>
                  <w:tcW w:w="1627" w:type="pct"/>
                  <w:vAlign w:val="center"/>
                </w:tcPr>
                <w:p w14:paraId="7AC96CA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委托监测</w:t>
                  </w:r>
                </w:p>
              </w:tc>
            </w:tr>
            <w:tr w14:paraId="43204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shd w:val="clear" w:color="auto" w:fill="auto"/>
                  <w:vAlign w:val="center"/>
                </w:tcPr>
                <w:p w14:paraId="491BA04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603" w:type="pct"/>
                  <w:shd w:val="clear" w:color="auto" w:fill="auto"/>
                  <w:vAlign w:val="center"/>
                </w:tcPr>
                <w:p w14:paraId="43E13A4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厂界外1m处</w:t>
                  </w:r>
                </w:p>
              </w:tc>
              <w:tc>
                <w:tcPr>
                  <w:tcW w:w="1383" w:type="pct"/>
                  <w:shd w:val="clear" w:color="auto" w:fill="auto"/>
                  <w:vAlign w:val="center"/>
                </w:tcPr>
                <w:p w14:paraId="3286B31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等效连续A声级</w:t>
                  </w:r>
                </w:p>
              </w:tc>
              <w:tc>
                <w:tcPr>
                  <w:tcW w:w="990" w:type="pct"/>
                  <w:shd w:val="clear" w:color="auto" w:fill="auto"/>
                  <w:vAlign w:val="center"/>
                </w:tcPr>
                <w:p w14:paraId="7491D47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每季度1次，每次监测两天，每天昼间监测一次</w:t>
                  </w:r>
                </w:p>
              </w:tc>
              <w:tc>
                <w:tcPr>
                  <w:tcW w:w="1627" w:type="pct"/>
                  <w:shd w:val="clear" w:color="auto" w:fill="auto"/>
                  <w:vAlign w:val="center"/>
                </w:tcPr>
                <w:p w14:paraId="198FF7C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委托监测</w:t>
                  </w:r>
                </w:p>
              </w:tc>
            </w:tr>
            <w:tr w14:paraId="6E8EE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Align w:val="center"/>
                </w:tcPr>
                <w:p w14:paraId="4974393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固体废物</w:t>
                  </w:r>
                </w:p>
              </w:tc>
              <w:tc>
                <w:tcPr>
                  <w:tcW w:w="1987" w:type="pct"/>
                  <w:gridSpan w:val="2"/>
                  <w:vAlign w:val="center"/>
                </w:tcPr>
                <w:p w14:paraId="0AC3F9E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统计厂内固体废物种类、产生量、处理方式（去向）等。</w:t>
                  </w:r>
                </w:p>
              </w:tc>
              <w:tc>
                <w:tcPr>
                  <w:tcW w:w="990" w:type="pct"/>
                  <w:vAlign w:val="center"/>
                </w:tcPr>
                <w:p w14:paraId="1B57D81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每月统计一次</w:t>
                  </w:r>
                </w:p>
              </w:tc>
              <w:tc>
                <w:tcPr>
                  <w:tcW w:w="1627" w:type="pct"/>
                  <w:vAlign w:val="center"/>
                </w:tcPr>
                <w:p w14:paraId="140A69F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r>
          </w:tbl>
          <w:p w14:paraId="0CFC92FF">
            <w:pPr>
              <w:pStyle w:val="45"/>
              <w:ind w:firstLine="0" w:firstLineChars="0"/>
              <w:rPr>
                <w:rFonts w:hint="default" w:ascii="Times New Roman" w:hAnsi="Times New Roman" w:cs="Times New Roman"/>
                <w:bCs/>
                <w:highlight w:val="none"/>
              </w:rPr>
            </w:pPr>
          </w:p>
        </w:tc>
      </w:tr>
    </w:tbl>
    <w:p w14:paraId="1D9BBE27">
      <w:pPr>
        <w:adjustRightInd w:val="0"/>
        <w:snapToGrid w:val="0"/>
        <w:spacing w:line="360" w:lineRule="auto"/>
        <w:rPr>
          <w:rFonts w:hint="default" w:ascii="Times New Roman" w:hAnsi="Times New Roman" w:cs="Times New Roman"/>
          <w:b/>
          <w:kern w:val="0"/>
          <w:sz w:val="28"/>
          <w:szCs w:val="28"/>
          <w:highlight w:val="none"/>
        </w:rPr>
        <w:sectPr>
          <w:pgSz w:w="11907" w:h="16840"/>
          <w:pgMar w:top="1440" w:right="1077" w:bottom="1440" w:left="1077" w:header="851" w:footer="850" w:gutter="0"/>
          <w:cols w:space="0" w:num="1"/>
          <w:docGrid w:linePitch="312" w:charSpace="0"/>
        </w:sectPr>
      </w:pPr>
    </w:p>
    <w:p w14:paraId="7ADAAEDD">
      <w:pPr>
        <w:pStyle w:val="42"/>
        <w:spacing w:before="0" w:beforeAutospacing="0" w:after="0" w:afterAutospacing="0" w:line="360" w:lineRule="auto"/>
        <w:outlineLvl w:val="0"/>
        <w:rPr>
          <w:rFonts w:hint="default" w:ascii="Times New Roman" w:hAnsi="Times New Roman" w:eastAsia="黑体" w:cs="Times New Roman"/>
          <w:snapToGrid w:val="0"/>
          <w:sz w:val="32"/>
          <w:szCs w:val="32"/>
          <w:highlight w:val="none"/>
        </w:rPr>
      </w:pPr>
      <w:r>
        <w:rPr>
          <w:rFonts w:hint="default" w:ascii="Times New Roman" w:hAnsi="Times New Roman" w:eastAsia="黑体" w:cs="Times New Roman"/>
          <w:snapToGrid w:val="0"/>
          <w:sz w:val="32"/>
          <w:szCs w:val="32"/>
          <w:highlight w:val="none"/>
        </w:rPr>
        <w:t>五、环境保护措施监督检查清单</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2"/>
        <w:gridCol w:w="1730"/>
        <w:gridCol w:w="1305"/>
        <w:gridCol w:w="2370"/>
        <w:gridCol w:w="3732"/>
      </w:tblGrid>
      <w:tr w14:paraId="7A317A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B5809C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要素</w:t>
            </w:r>
          </w:p>
        </w:tc>
        <w:tc>
          <w:tcPr>
            <w:tcW w:w="867" w:type="pct"/>
            <w:tcBorders>
              <w:tl2br w:val="nil"/>
              <w:tr2bl w:val="nil"/>
            </w:tcBorders>
            <w:vAlign w:val="center"/>
          </w:tcPr>
          <w:p w14:paraId="6A70EDC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排放口</w:t>
            </w:r>
          </w:p>
          <w:p w14:paraId="4B7C2AE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（编号、名称）</w:t>
            </w:r>
          </w:p>
        </w:tc>
        <w:tc>
          <w:tcPr>
            <w:tcW w:w="654" w:type="pct"/>
            <w:tcBorders>
              <w:tl2br w:val="nil"/>
              <w:tr2bl w:val="nil"/>
            </w:tcBorders>
            <w:vAlign w:val="center"/>
          </w:tcPr>
          <w:p w14:paraId="7586B34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污染物项目</w:t>
            </w:r>
          </w:p>
        </w:tc>
        <w:tc>
          <w:tcPr>
            <w:tcW w:w="1188" w:type="pct"/>
            <w:tcBorders>
              <w:tl2br w:val="nil"/>
              <w:tr2bl w:val="nil"/>
            </w:tcBorders>
            <w:vAlign w:val="center"/>
          </w:tcPr>
          <w:p w14:paraId="4B99E44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环境保护措施</w:t>
            </w:r>
          </w:p>
        </w:tc>
        <w:tc>
          <w:tcPr>
            <w:tcW w:w="1871" w:type="pct"/>
            <w:tcBorders>
              <w:tl2br w:val="nil"/>
              <w:tr2bl w:val="nil"/>
            </w:tcBorders>
            <w:vAlign w:val="center"/>
          </w:tcPr>
          <w:p w14:paraId="69D70D9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执行标准</w:t>
            </w:r>
          </w:p>
        </w:tc>
      </w:tr>
      <w:tr w14:paraId="08D25E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vMerge w:val="restart"/>
            <w:tcBorders>
              <w:tl2br w:val="nil"/>
              <w:tr2bl w:val="nil"/>
            </w:tcBorders>
            <w:vAlign w:val="center"/>
          </w:tcPr>
          <w:p w14:paraId="5746AA5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大气环境</w:t>
            </w:r>
          </w:p>
        </w:tc>
        <w:tc>
          <w:tcPr>
            <w:tcW w:w="867" w:type="pct"/>
            <w:tcBorders>
              <w:tl2br w:val="nil"/>
              <w:tr2bl w:val="nil"/>
            </w:tcBorders>
            <w:vAlign w:val="center"/>
          </w:tcPr>
          <w:p w14:paraId="4D01EBB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DA001排气筒（15m/0.3</w:t>
            </w:r>
            <w:r>
              <w:rPr>
                <w:rFonts w:hint="eastAsia" w:eastAsia="宋体" w:cs="Times New Roman"/>
                <w:color w:val="000000"/>
                <w:highlight w:val="none"/>
                <w:lang w:val="en-US" w:eastAsia="zh-CN"/>
              </w:rPr>
              <w:t>5</w:t>
            </w:r>
            <w:r>
              <w:rPr>
                <w:rFonts w:hint="default" w:ascii="Times New Roman" w:hAnsi="Times New Roman" w:eastAsia="宋体" w:cs="Times New Roman"/>
                <w:color w:val="000000"/>
                <w:highlight w:val="none"/>
              </w:rPr>
              <w:t>m）</w:t>
            </w:r>
          </w:p>
        </w:tc>
        <w:tc>
          <w:tcPr>
            <w:tcW w:w="654" w:type="pct"/>
            <w:tcBorders>
              <w:tl2br w:val="nil"/>
              <w:tr2bl w:val="nil"/>
            </w:tcBorders>
            <w:shd w:val="clear" w:color="auto" w:fill="auto"/>
            <w:vAlign w:val="center"/>
          </w:tcPr>
          <w:p w14:paraId="5DBD1EC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1188" w:type="pct"/>
            <w:tcBorders>
              <w:tl2br w:val="nil"/>
              <w:tr2bl w:val="nil"/>
            </w:tcBorders>
            <w:shd w:val="clear" w:color="auto" w:fill="auto"/>
            <w:vAlign w:val="center"/>
          </w:tcPr>
          <w:p w14:paraId="3B529AD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2级活性炭吸附</w:t>
            </w:r>
          </w:p>
        </w:tc>
        <w:tc>
          <w:tcPr>
            <w:tcW w:w="1871" w:type="pct"/>
            <w:tcBorders>
              <w:bottom w:val="single" w:color="auto" w:sz="4" w:space="0"/>
              <w:tl2br w:val="nil"/>
              <w:tr2bl w:val="nil"/>
            </w:tcBorders>
            <w:shd w:val="clear" w:color="auto" w:fill="auto"/>
            <w:vAlign w:val="center"/>
          </w:tcPr>
          <w:p w14:paraId="6B0A6505">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《挥发性有机物排放标准 第6部分：有机化工行业》（DB37 2801.6—2018）表1</w:t>
            </w:r>
            <w:r>
              <w:rPr>
                <w:rFonts w:hint="eastAsia" w:cs="Times New Roman"/>
                <w:szCs w:val="21"/>
                <w:highlight w:val="none"/>
                <w:lang w:val="en-US" w:eastAsia="zh-CN"/>
              </w:rPr>
              <w:t>其他</w:t>
            </w:r>
            <w:r>
              <w:rPr>
                <w:rFonts w:hint="eastAsia" w:ascii="Times New Roman" w:hAnsi="Times New Roman" w:cs="Times New Roman"/>
                <w:szCs w:val="21"/>
                <w:highlight w:val="none"/>
                <w:lang w:val="en-US" w:eastAsia="zh-CN"/>
              </w:rPr>
              <w:t>行业</w:t>
            </w:r>
            <w:r>
              <w:rPr>
                <w:rFonts w:hint="default" w:ascii="Times New Roman" w:hAnsi="Times New Roman" w:cs="Times New Roman"/>
                <w:szCs w:val="21"/>
                <w:highlight w:val="none"/>
              </w:rPr>
              <w:t>排放浓度、排放速率</w:t>
            </w:r>
            <w:r>
              <w:rPr>
                <w:rFonts w:hint="eastAsia" w:ascii="Times New Roman" w:hAnsi="Times New Roman" w:cs="Times New Roman"/>
                <w:szCs w:val="21"/>
                <w:highlight w:val="none"/>
                <w:lang w:val="en-US" w:eastAsia="zh-CN"/>
              </w:rPr>
              <w:t>限值</w:t>
            </w:r>
          </w:p>
        </w:tc>
      </w:tr>
      <w:tr w14:paraId="1EE72B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417" w:type="pct"/>
            <w:vMerge w:val="continue"/>
            <w:tcBorders>
              <w:tl2br w:val="nil"/>
              <w:tr2bl w:val="nil"/>
            </w:tcBorders>
            <w:vAlign w:val="center"/>
          </w:tcPr>
          <w:p w14:paraId="7295E7BD">
            <w:pPr>
              <w:pStyle w:val="98"/>
              <w:rPr>
                <w:rFonts w:hint="default" w:ascii="Times New Roman" w:hAnsi="Times New Roman" w:eastAsia="宋体" w:cs="Times New Roman"/>
                <w:color w:val="000000"/>
                <w:highlight w:val="none"/>
              </w:rPr>
            </w:pPr>
          </w:p>
        </w:tc>
        <w:tc>
          <w:tcPr>
            <w:tcW w:w="867" w:type="pct"/>
            <w:vMerge w:val="restart"/>
            <w:tcBorders>
              <w:tl2br w:val="nil"/>
              <w:tr2bl w:val="nil"/>
            </w:tcBorders>
            <w:vAlign w:val="center"/>
          </w:tcPr>
          <w:p w14:paraId="7BE83B2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无组织排放</w:t>
            </w:r>
          </w:p>
        </w:tc>
        <w:tc>
          <w:tcPr>
            <w:tcW w:w="654" w:type="pct"/>
            <w:tcBorders>
              <w:tl2br w:val="nil"/>
              <w:tr2bl w:val="nil"/>
            </w:tcBorders>
            <w:vAlign w:val="center"/>
          </w:tcPr>
          <w:p w14:paraId="17329DB1">
            <w:pPr>
              <w:adjustRightInd w:val="0"/>
              <w:jc w:val="center"/>
              <w:rPr>
                <w:rFonts w:hint="default" w:ascii="Times New Roman" w:hAnsi="Times New Roman" w:cs="Times New Roman"/>
                <w:color w:val="000000"/>
                <w:highlight w:val="none"/>
              </w:rPr>
            </w:pPr>
            <w:r>
              <w:rPr>
                <w:rFonts w:hint="default" w:ascii="Times New Roman" w:hAnsi="Times New Roman" w:cs="Times New Roman"/>
                <w:szCs w:val="21"/>
                <w:highlight w:val="none"/>
              </w:rPr>
              <w:t>VOCs</w:t>
            </w:r>
          </w:p>
        </w:tc>
        <w:tc>
          <w:tcPr>
            <w:tcW w:w="1188" w:type="pct"/>
            <w:tcBorders>
              <w:tl2br w:val="nil"/>
              <w:tr2bl w:val="nil"/>
            </w:tcBorders>
            <w:vAlign w:val="center"/>
          </w:tcPr>
          <w:p w14:paraId="0BD84447">
            <w:pPr>
              <w:pStyle w:val="98"/>
              <w:rPr>
                <w:rFonts w:hint="default" w:ascii="Times New Roman" w:hAnsi="Times New Roman" w:eastAsia="宋体" w:cs="Times New Roman"/>
                <w:color w:val="000000"/>
                <w:highlight w:val="none"/>
              </w:rPr>
            </w:pPr>
            <w:r>
              <w:rPr>
                <w:rFonts w:hint="default" w:ascii="Times New Roman" w:hAnsi="Times New Roman" w:cs="Times New Roman"/>
                <w:szCs w:val="21"/>
                <w:highlight w:val="none"/>
              </w:rPr>
              <w:t>车间</w:t>
            </w:r>
            <w:r>
              <w:rPr>
                <w:rFonts w:hint="eastAsia" w:cs="Times New Roman"/>
                <w:szCs w:val="21"/>
                <w:highlight w:val="none"/>
                <w:lang w:val="en-US" w:eastAsia="zh-CN"/>
              </w:rPr>
              <w:t>密闭，加强收集</w:t>
            </w:r>
          </w:p>
        </w:tc>
        <w:tc>
          <w:tcPr>
            <w:tcW w:w="1871" w:type="pct"/>
            <w:tcBorders>
              <w:tl2br w:val="nil"/>
              <w:tr2bl w:val="nil"/>
            </w:tcBorders>
            <w:vAlign w:val="center"/>
          </w:tcPr>
          <w:p w14:paraId="02C01B62">
            <w:pPr>
              <w:pStyle w:val="98"/>
              <w:rPr>
                <w:rFonts w:hint="default" w:ascii="Times New Roman" w:hAnsi="Times New Roman" w:eastAsia="宋体" w:cs="Times New Roman"/>
                <w:color w:val="000000"/>
                <w:highlight w:val="none"/>
              </w:rPr>
            </w:pPr>
            <w:r>
              <w:rPr>
                <w:rFonts w:hint="eastAsia" w:ascii="Times New Roman" w:hAnsi="Times New Roman" w:cs="Times New Roman"/>
                <w:szCs w:val="21"/>
                <w:highlight w:val="none"/>
                <w:lang w:val="en-US" w:eastAsia="zh-CN"/>
              </w:rPr>
              <w:t>《挥发性有机物排放标准 第6部分：有机化工行业》（DB37 2801.6—2018）表</w:t>
            </w:r>
            <w:r>
              <w:rPr>
                <w:rFonts w:hint="eastAsia" w:cs="Times New Roman"/>
                <w:szCs w:val="21"/>
                <w:highlight w:val="none"/>
                <w:lang w:val="en-US" w:eastAsia="zh-CN"/>
              </w:rPr>
              <w:t>3</w:t>
            </w:r>
            <w:r>
              <w:rPr>
                <w:rFonts w:hint="eastAsia" w:ascii="Times New Roman" w:hAnsi="Times New Roman" w:cs="Times New Roman"/>
                <w:szCs w:val="21"/>
                <w:highlight w:val="none"/>
                <w:lang w:val="en-US" w:eastAsia="zh-CN"/>
              </w:rPr>
              <w:t>厂界监控点浓度限值</w:t>
            </w:r>
          </w:p>
        </w:tc>
      </w:tr>
      <w:tr w14:paraId="1EAF08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417" w:type="pct"/>
            <w:vMerge w:val="continue"/>
            <w:tcBorders>
              <w:tl2br w:val="nil"/>
              <w:tr2bl w:val="nil"/>
            </w:tcBorders>
            <w:vAlign w:val="center"/>
          </w:tcPr>
          <w:p w14:paraId="696E8401">
            <w:pPr>
              <w:pStyle w:val="98"/>
              <w:rPr>
                <w:rFonts w:hint="default" w:ascii="Times New Roman" w:hAnsi="Times New Roman" w:eastAsia="宋体" w:cs="Times New Roman"/>
                <w:color w:val="000000"/>
                <w:highlight w:val="none"/>
              </w:rPr>
            </w:pPr>
          </w:p>
        </w:tc>
        <w:tc>
          <w:tcPr>
            <w:tcW w:w="867" w:type="pct"/>
            <w:vMerge w:val="continue"/>
            <w:tcBorders>
              <w:tl2br w:val="nil"/>
              <w:tr2bl w:val="nil"/>
            </w:tcBorders>
            <w:vAlign w:val="center"/>
          </w:tcPr>
          <w:p w14:paraId="331E597D">
            <w:pPr>
              <w:pStyle w:val="98"/>
              <w:rPr>
                <w:rFonts w:hint="default" w:ascii="Times New Roman" w:hAnsi="Times New Roman" w:eastAsia="宋体" w:cs="Times New Roman"/>
                <w:color w:val="000000"/>
                <w:highlight w:val="none"/>
              </w:rPr>
            </w:pPr>
          </w:p>
        </w:tc>
        <w:tc>
          <w:tcPr>
            <w:tcW w:w="654" w:type="pct"/>
            <w:tcBorders>
              <w:tl2br w:val="nil"/>
              <w:tr2bl w:val="nil"/>
            </w:tcBorders>
            <w:vAlign w:val="center"/>
          </w:tcPr>
          <w:p w14:paraId="2535DD60">
            <w:pPr>
              <w:adjustRightIn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颗粒物</w:t>
            </w:r>
          </w:p>
        </w:tc>
        <w:tc>
          <w:tcPr>
            <w:tcW w:w="1188" w:type="pct"/>
            <w:tcBorders>
              <w:tl2br w:val="nil"/>
              <w:tr2bl w:val="nil"/>
            </w:tcBorders>
            <w:vAlign w:val="center"/>
          </w:tcPr>
          <w:p w14:paraId="010F04D7">
            <w:pPr>
              <w:pStyle w:val="98"/>
              <w:rPr>
                <w:rFonts w:hint="default" w:ascii="Times New Roman" w:hAnsi="Times New Roman" w:cs="Times New Roman"/>
                <w:szCs w:val="21"/>
                <w:highlight w:val="none"/>
              </w:rPr>
            </w:pPr>
            <w:r>
              <w:rPr>
                <w:rFonts w:hint="eastAsia" w:cs="Times New Roman"/>
                <w:szCs w:val="21"/>
                <w:highlight w:val="none"/>
                <w:lang w:val="en-US" w:eastAsia="zh-CN"/>
              </w:rPr>
              <w:t>车间阻挡、自然沉降</w:t>
            </w:r>
          </w:p>
        </w:tc>
        <w:tc>
          <w:tcPr>
            <w:tcW w:w="1871" w:type="pct"/>
            <w:tcBorders>
              <w:tl2br w:val="nil"/>
              <w:tr2bl w:val="nil"/>
            </w:tcBorders>
            <w:vAlign w:val="center"/>
          </w:tcPr>
          <w:p w14:paraId="75CC626E">
            <w:pPr>
              <w:pStyle w:val="98"/>
              <w:rPr>
                <w:rFonts w:hint="eastAsia" w:ascii="Times New Roman" w:hAnsi="Times New Roman" w:cs="Times New Roman"/>
                <w:szCs w:val="21"/>
                <w:highlight w:val="none"/>
                <w:lang w:val="en-US" w:eastAsia="zh-CN"/>
              </w:rPr>
            </w:pPr>
            <w:r>
              <w:rPr>
                <w:rFonts w:hint="default" w:ascii="Times New Roman" w:hAnsi="Times New Roman" w:cs="Times New Roman"/>
                <w:color w:val="000000"/>
                <w:szCs w:val="21"/>
                <w:highlight w:val="none"/>
                <w:lang w:val="en-US"/>
              </w:rPr>
              <w:t>《大气污染物综合排放标准》（GB16297-1996）表2</w:t>
            </w:r>
            <w:r>
              <w:rPr>
                <w:rFonts w:hint="eastAsia" w:ascii="Times New Roman" w:hAnsi="Times New Roman" w:cs="Times New Roman"/>
                <w:color w:val="000000"/>
                <w:szCs w:val="21"/>
                <w:highlight w:val="none"/>
                <w:lang w:val="en-US" w:eastAsia="zh-CN"/>
              </w:rPr>
              <w:t>无组织</w:t>
            </w:r>
            <w:r>
              <w:rPr>
                <w:rFonts w:hint="default" w:ascii="Times New Roman" w:hAnsi="Times New Roman" w:cs="Times New Roman"/>
                <w:color w:val="000000"/>
                <w:szCs w:val="21"/>
                <w:highlight w:val="none"/>
                <w:lang w:val="en-US"/>
              </w:rPr>
              <w:t>排放</w:t>
            </w:r>
            <w:r>
              <w:rPr>
                <w:rFonts w:hint="eastAsia" w:ascii="Times New Roman" w:hAnsi="Times New Roman" w:cs="Times New Roman"/>
                <w:color w:val="000000"/>
                <w:szCs w:val="21"/>
                <w:highlight w:val="none"/>
                <w:lang w:val="en-US" w:eastAsia="zh-CN"/>
              </w:rPr>
              <w:t>监控</w:t>
            </w:r>
            <w:r>
              <w:rPr>
                <w:rFonts w:hint="default" w:ascii="Times New Roman" w:hAnsi="Times New Roman" w:cs="Times New Roman"/>
                <w:color w:val="000000"/>
                <w:szCs w:val="21"/>
                <w:highlight w:val="none"/>
                <w:lang w:val="en-US"/>
              </w:rPr>
              <w:t>浓度限值</w:t>
            </w:r>
          </w:p>
        </w:tc>
      </w:tr>
      <w:tr w14:paraId="17F0FB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0F84DA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地表水环境</w:t>
            </w:r>
          </w:p>
        </w:tc>
        <w:tc>
          <w:tcPr>
            <w:tcW w:w="867" w:type="pct"/>
            <w:tcBorders>
              <w:tl2br w:val="nil"/>
              <w:tr2bl w:val="nil"/>
            </w:tcBorders>
            <w:vAlign w:val="center"/>
          </w:tcPr>
          <w:p w14:paraId="10C6F701">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654" w:type="pct"/>
            <w:tcBorders>
              <w:tl2br w:val="nil"/>
              <w:tr2bl w:val="nil"/>
            </w:tcBorders>
            <w:vAlign w:val="center"/>
          </w:tcPr>
          <w:p w14:paraId="3BFE88DA">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1188" w:type="pct"/>
            <w:tcBorders>
              <w:tl2br w:val="nil"/>
              <w:tr2bl w:val="nil"/>
            </w:tcBorders>
            <w:vAlign w:val="center"/>
          </w:tcPr>
          <w:p w14:paraId="2ED4E279">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1871" w:type="pct"/>
            <w:tcBorders>
              <w:tl2br w:val="nil"/>
              <w:tr2bl w:val="nil"/>
            </w:tcBorders>
            <w:vAlign w:val="center"/>
          </w:tcPr>
          <w:p w14:paraId="3800F62D">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r>
      <w:tr w14:paraId="1DE9DD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2E7B83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声环境</w:t>
            </w:r>
          </w:p>
        </w:tc>
        <w:tc>
          <w:tcPr>
            <w:tcW w:w="867" w:type="pct"/>
            <w:tcBorders>
              <w:tl2br w:val="nil"/>
              <w:tr2bl w:val="nil"/>
            </w:tcBorders>
            <w:vAlign w:val="center"/>
          </w:tcPr>
          <w:p w14:paraId="5E91D30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厂界</w:t>
            </w:r>
          </w:p>
        </w:tc>
        <w:tc>
          <w:tcPr>
            <w:tcW w:w="654" w:type="pct"/>
            <w:tcBorders>
              <w:tl2br w:val="nil"/>
              <w:tr2bl w:val="nil"/>
            </w:tcBorders>
            <w:vAlign w:val="center"/>
          </w:tcPr>
          <w:p w14:paraId="1B59288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1188" w:type="pct"/>
            <w:tcBorders>
              <w:tl2br w:val="nil"/>
              <w:tr2bl w:val="nil"/>
            </w:tcBorders>
            <w:vAlign w:val="center"/>
          </w:tcPr>
          <w:p w14:paraId="4674A85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选用低噪声设备，同时采用合理的布局进行车间隔声及距离衰减</w:t>
            </w:r>
          </w:p>
        </w:tc>
        <w:tc>
          <w:tcPr>
            <w:tcW w:w="1871" w:type="pct"/>
            <w:tcBorders>
              <w:tl2br w:val="nil"/>
              <w:tr2bl w:val="nil"/>
            </w:tcBorders>
            <w:vAlign w:val="center"/>
          </w:tcPr>
          <w:p w14:paraId="046B27F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《工业企业厂界环境噪声排放标准》（GB12348-2008）2类标准</w:t>
            </w:r>
          </w:p>
        </w:tc>
      </w:tr>
      <w:tr w14:paraId="7D3ACC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FE6CB0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电磁辐射</w:t>
            </w:r>
          </w:p>
        </w:tc>
        <w:tc>
          <w:tcPr>
            <w:tcW w:w="867" w:type="pct"/>
            <w:tcBorders>
              <w:tl2br w:val="nil"/>
              <w:tr2bl w:val="nil"/>
            </w:tcBorders>
            <w:vAlign w:val="center"/>
          </w:tcPr>
          <w:p w14:paraId="440808A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p w14:paraId="034126EC">
            <w:pPr>
              <w:pStyle w:val="98"/>
              <w:rPr>
                <w:rFonts w:hint="default" w:ascii="Times New Roman" w:hAnsi="Times New Roman" w:eastAsia="宋体" w:cs="Times New Roman"/>
                <w:color w:val="000000"/>
                <w:highlight w:val="none"/>
              </w:rPr>
            </w:pPr>
          </w:p>
        </w:tc>
        <w:tc>
          <w:tcPr>
            <w:tcW w:w="654" w:type="pct"/>
            <w:tcBorders>
              <w:tl2br w:val="nil"/>
              <w:tr2bl w:val="nil"/>
            </w:tcBorders>
            <w:vAlign w:val="center"/>
          </w:tcPr>
          <w:p w14:paraId="757ED1F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188" w:type="pct"/>
            <w:tcBorders>
              <w:tl2br w:val="nil"/>
              <w:tr2bl w:val="nil"/>
            </w:tcBorders>
            <w:vAlign w:val="center"/>
          </w:tcPr>
          <w:p w14:paraId="1D49232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871" w:type="pct"/>
            <w:tcBorders>
              <w:tl2br w:val="nil"/>
              <w:tr2bl w:val="nil"/>
            </w:tcBorders>
            <w:vAlign w:val="center"/>
          </w:tcPr>
          <w:p w14:paraId="19D78CA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r>
      <w:tr w14:paraId="132CFF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53B357E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固体废物</w:t>
            </w:r>
          </w:p>
        </w:tc>
        <w:tc>
          <w:tcPr>
            <w:tcW w:w="4582" w:type="pct"/>
            <w:gridSpan w:val="4"/>
            <w:tcBorders>
              <w:tl2br w:val="nil"/>
              <w:tr2bl w:val="nil"/>
            </w:tcBorders>
            <w:vAlign w:val="center"/>
          </w:tcPr>
          <w:p w14:paraId="22402DE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一般固体废物执行《一般工业固体废物贮存和填埋污染控制标准》（GB18599-2020）。危险废物执行《危险废物贮存污染控制标准》（GB18597-2023），转移按照《危险废物转移管理办法》（2022年1月1日）执行。</w:t>
            </w:r>
          </w:p>
        </w:tc>
      </w:tr>
      <w:tr w14:paraId="26E038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04C3D9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生态保护措施</w:t>
            </w:r>
          </w:p>
        </w:tc>
        <w:tc>
          <w:tcPr>
            <w:tcW w:w="4582" w:type="pct"/>
            <w:gridSpan w:val="4"/>
            <w:tcBorders>
              <w:tl2br w:val="nil"/>
              <w:tr2bl w:val="nil"/>
            </w:tcBorders>
            <w:vAlign w:val="center"/>
          </w:tcPr>
          <w:p w14:paraId="47E492CA">
            <w:pPr>
              <w:pStyle w:val="98"/>
              <w:rPr>
                <w:rFonts w:hint="default" w:ascii="Times New Roman" w:hAnsi="Times New Roman" w:eastAsia="宋体" w:cs="Times New Roman"/>
                <w:color w:val="000000"/>
                <w:highlight w:val="none"/>
              </w:rPr>
            </w:pPr>
            <w:r>
              <w:rPr>
                <w:rFonts w:hint="default" w:ascii="Times New Roman" w:hAnsi="Times New Roman" w:cs="Times New Roman"/>
                <w:color w:val="000000"/>
                <w:highlight w:val="none"/>
              </w:rPr>
              <w:t>加强绿化带的绿化，建设整洁、优美的厂区</w:t>
            </w:r>
          </w:p>
        </w:tc>
      </w:tr>
      <w:tr w14:paraId="27256F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2EA66B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环境风险</w:t>
            </w:r>
          </w:p>
          <w:p w14:paraId="7574351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防范措施</w:t>
            </w:r>
          </w:p>
        </w:tc>
        <w:tc>
          <w:tcPr>
            <w:tcW w:w="4582" w:type="pct"/>
            <w:gridSpan w:val="4"/>
            <w:tcBorders>
              <w:tl2br w:val="nil"/>
              <w:tr2bl w:val="nil"/>
            </w:tcBorders>
            <w:vAlign w:val="center"/>
          </w:tcPr>
          <w:p w14:paraId="06261B7D">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项目存在发生火灾危险，在生产过程中需做出相应的防范措施。</w:t>
            </w:r>
          </w:p>
          <w:p w14:paraId="7EF94A52">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1）加强管理，严格操作规范，制定一系列的防泄漏规章制度。</w:t>
            </w:r>
          </w:p>
          <w:p w14:paraId="3CA529AB">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2）严格执行劳动部《生产设备安全卫生设计总则》等有关法规。</w:t>
            </w:r>
          </w:p>
          <w:p w14:paraId="273C64F5">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3）操作人员必须经过专门培训，做到持证上岗，并且严格遵守操作规程。</w:t>
            </w:r>
          </w:p>
          <w:p w14:paraId="52F9CAB1">
            <w:pPr>
              <w:adjustRightInd w:val="0"/>
              <w:snapToGrid w:val="0"/>
              <w:ind w:firstLine="420" w:firstLineChars="200"/>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4）加强日常巡检工作，及时发现、处理故障，保证安全生产，严格落实各项安全与环保措施，防止事故造成的环境污染。</w:t>
            </w:r>
          </w:p>
          <w:p w14:paraId="53E1D146">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5）各种生产设备应定期检修保养，确保设备正常运行。</w:t>
            </w:r>
          </w:p>
          <w:p w14:paraId="192656A1">
            <w:pPr>
              <w:adjustRightInd w:val="0"/>
              <w:snapToGrid w:val="0"/>
              <w:ind w:firstLine="420" w:firstLineChars="200"/>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6）对安全及环保管理人员进行安全与环保知识培训，熟悉国家安全生产方针、政策、法规、标准，增强安全意识和</w:t>
            </w:r>
            <w:r>
              <w:rPr>
                <w:rFonts w:hint="eastAsia" w:cs="Times New Roman"/>
                <w:color w:val="000000"/>
                <w:szCs w:val="21"/>
                <w:highlight w:val="none"/>
                <w:lang w:eastAsia="zh-CN"/>
              </w:rPr>
              <w:t>法治观念</w:t>
            </w:r>
            <w:r>
              <w:rPr>
                <w:rFonts w:hint="default" w:ascii="Times New Roman" w:hAnsi="Times New Roman" w:cs="Times New Roman"/>
                <w:color w:val="000000"/>
                <w:szCs w:val="21"/>
                <w:highlight w:val="none"/>
              </w:rPr>
              <w:t>，掌握安全卫生基本知识，具有一定的安全管理和决策能力。</w:t>
            </w:r>
          </w:p>
          <w:p w14:paraId="6ED61D0D">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为了避免事故状态下，消防废水排放对地表水体影响，建设单位应参照《事故状态下水体污染的预防与控制技术要求》（Q</w:t>
            </w:r>
            <w:r>
              <w:rPr>
                <w:rFonts w:hint="eastAsia" w:cs="Times New Roman"/>
                <w:color w:val="000000"/>
                <w:highlight w:val="none"/>
                <w:lang w:val="en-US" w:eastAsia="zh-CN"/>
              </w:rPr>
              <w:t>/</w:t>
            </w:r>
            <w:r>
              <w:rPr>
                <w:rFonts w:hint="default" w:ascii="Times New Roman" w:hAnsi="Times New Roman" w:cs="Times New Roman"/>
                <w:color w:val="000000"/>
                <w:highlight w:val="none"/>
              </w:rPr>
              <w:t>SY1190-2013），建立水环境风险三级防控体系。</w:t>
            </w:r>
          </w:p>
        </w:tc>
      </w:tr>
      <w:tr w14:paraId="3AD8C2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622A3AC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其他环境</w:t>
            </w:r>
          </w:p>
          <w:p w14:paraId="091DAB2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管理要求</w:t>
            </w:r>
          </w:p>
        </w:tc>
        <w:tc>
          <w:tcPr>
            <w:tcW w:w="4582" w:type="pct"/>
            <w:gridSpan w:val="4"/>
            <w:tcBorders>
              <w:tl2br w:val="nil"/>
              <w:tr2bl w:val="nil"/>
            </w:tcBorders>
            <w:vAlign w:val="center"/>
          </w:tcPr>
          <w:p w14:paraId="523CB0BE">
            <w:pPr>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1、管理制度</w:t>
            </w:r>
          </w:p>
          <w:p w14:paraId="7D55493A">
            <w:pPr>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为了缓解建设项目生产运行期对环境构成的不良影响，在采取环保治理工程措施解决建设项目环境影响的同时，必须制定全面的企业环境管理计划，配备专职环保人员1名，负责环境监督管理工作，同时要加强对管理人员的环保培训，不断提高管理水平。</w:t>
            </w:r>
          </w:p>
          <w:p w14:paraId="4BE73EF7">
            <w:pPr>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企业排污发生重大变化、污染治理设施改变或生产运行计划改变等都必须向当地环保部门申报，经审批同意后方可实施。对污染治理设施和管理必须与生产经营活动一起纳入企业的日常管理中，要建立岗位责任制，制定操作规程，建立管理台账。</w:t>
            </w:r>
          </w:p>
          <w:p w14:paraId="01675E2E">
            <w:pPr>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2、建设项目竣工环境保护验收</w:t>
            </w:r>
          </w:p>
          <w:p w14:paraId="7594B305">
            <w:pPr>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建设项目环境保护管理条例》要求，编制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编制环境影响报告表的建设项目，其配套建设的环境保护设施经验收合格，方可投入生产或者使用；未经验收或者验收不合格的，不得投入生产或者使用。</w:t>
            </w:r>
          </w:p>
          <w:p w14:paraId="64A4BC61">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表5-1  环境保护</w:t>
            </w:r>
            <w:r>
              <w:rPr>
                <w:rFonts w:hint="eastAsia" w:cs="Times New Roman"/>
                <w:b/>
                <w:bCs/>
                <w:color w:val="000000"/>
                <w:sz w:val="24"/>
                <w:highlight w:val="none"/>
                <w:lang w:eastAsia="zh-CN"/>
              </w:rPr>
              <w:t>“</w:t>
            </w:r>
            <w:r>
              <w:rPr>
                <w:rFonts w:hint="default" w:ascii="Times New Roman" w:hAnsi="Times New Roman" w:cs="Times New Roman"/>
                <w:b/>
                <w:bCs/>
                <w:color w:val="000000"/>
                <w:sz w:val="24"/>
                <w:highlight w:val="none"/>
              </w:rPr>
              <w:t>三同时</w:t>
            </w:r>
            <w:r>
              <w:rPr>
                <w:rFonts w:hint="eastAsia" w:cs="Times New Roman"/>
                <w:b/>
                <w:bCs/>
                <w:color w:val="000000"/>
                <w:sz w:val="24"/>
                <w:highlight w:val="none"/>
                <w:lang w:eastAsia="zh-CN"/>
              </w:rPr>
              <w:t>”</w:t>
            </w:r>
            <w:r>
              <w:rPr>
                <w:rFonts w:hint="default" w:ascii="Times New Roman" w:hAnsi="Times New Roman" w:cs="Times New Roman"/>
                <w:b/>
                <w:bCs/>
                <w:color w:val="000000"/>
                <w:sz w:val="24"/>
                <w:highlight w:val="none"/>
              </w:rPr>
              <w:t>验收一览表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620"/>
              <w:gridCol w:w="835"/>
              <w:gridCol w:w="1740"/>
              <w:gridCol w:w="1545"/>
              <w:gridCol w:w="3206"/>
            </w:tblGrid>
            <w:tr w14:paraId="2A89C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1EDBBA7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项目</w:t>
                  </w:r>
                </w:p>
              </w:tc>
              <w:tc>
                <w:tcPr>
                  <w:tcW w:w="620" w:type="dxa"/>
                  <w:vAlign w:val="center"/>
                </w:tcPr>
                <w:p w14:paraId="6E8D504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污染源</w:t>
                  </w:r>
                </w:p>
              </w:tc>
              <w:tc>
                <w:tcPr>
                  <w:tcW w:w="835" w:type="dxa"/>
                  <w:vAlign w:val="center"/>
                </w:tcPr>
                <w:p w14:paraId="3E4DA6F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污染物种类</w:t>
                  </w:r>
                </w:p>
              </w:tc>
              <w:tc>
                <w:tcPr>
                  <w:tcW w:w="1740" w:type="dxa"/>
                  <w:vAlign w:val="center"/>
                </w:tcPr>
                <w:p w14:paraId="440AE5E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治理措施</w:t>
                  </w:r>
                </w:p>
              </w:tc>
              <w:tc>
                <w:tcPr>
                  <w:tcW w:w="1545" w:type="dxa"/>
                  <w:vAlign w:val="center"/>
                </w:tcPr>
                <w:p w14:paraId="712209F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验收指标</w:t>
                  </w:r>
                </w:p>
              </w:tc>
              <w:tc>
                <w:tcPr>
                  <w:tcW w:w="3206" w:type="dxa"/>
                  <w:vAlign w:val="center"/>
                </w:tcPr>
                <w:p w14:paraId="41E5DE3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验收标准</w:t>
                  </w:r>
                </w:p>
              </w:tc>
            </w:tr>
            <w:tr w14:paraId="734E4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restart"/>
                  <w:vAlign w:val="center"/>
                </w:tcPr>
                <w:p w14:paraId="02EF199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废气</w:t>
                  </w:r>
                </w:p>
              </w:tc>
              <w:tc>
                <w:tcPr>
                  <w:tcW w:w="620" w:type="dxa"/>
                  <w:vAlign w:val="center"/>
                </w:tcPr>
                <w:p w14:paraId="29B5DE1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DA001</w:t>
                  </w:r>
                </w:p>
              </w:tc>
              <w:tc>
                <w:tcPr>
                  <w:tcW w:w="835" w:type="dxa"/>
                  <w:shd w:val="clear" w:color="auto" w:fill="auto"/>
                  <w:vAlign w:val="center"/>
                </w:tcPr>
                <w:p w14:paraId="41152A1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rPr>
                    <w:t>VOCs</w:t>
                  </w:r>
                </w:p>
              </w:tc>
              <w:tc>
                <w:tcPr>
                  <w:tcW w:w="1740" w:type="dxa"/>
                  <w:shd w:val="clear" w:color="auto" w:fill="auto"/>
                  <w:vAlign w:val="center"/>
                </w:tcPr>
                <w:p w14:paraId="63FB8A44">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rPr>
                    <w:t>2级活性炭吸附+15m高排气筒DA00</w:t>
                  </w:r>
                  <w:r>
                    <w:rPr>
                      <w:rFonts w:hint="eastAsia" w:ascii="Times New Roman" w:hAnsi="Times New Roman" w:cs="Times New Roman"/>
                      <w:szCs w:val="21"/>
                      <w:highlight w:val="none"/>
                      <w:lang w:val="en-US" w:eastAsia="zh-CN"/>
                    </w:rPr>
                    <w:t>1</w:t>
                  </w:r>
                </w:p>
              </w:tc>
              <w:tc>
                <w:tcPr>
                  <w:tcW w:w="1545" w:type="dxa"/>
                  <w:vAlign w:val="center"/>
                </w:tcPr>
                <w:p w14:paraId="42BAB856">
                  <w:pPr>
                    <w:pStyle w:val="98"/>
                    <w:rPr>
                      <w:rFonts w:hint="default" w:ascii="Times New Roman" w:hAnsi="Times New Roman" w:eastAsia="宋体" w:cs="Times New Roman"/>
                      <w:highlight w:val="none"/>
                      <w:vertAlign w:val="superscript"/>
                    </w:rPr>
                  </w:pPr>
                  <w:r>
                    <w:rPr>
                      <w:rFonts w:hint="eastAsia" w:ascii="Times New Roman" w:hAnsi="Times New Roman" w:eastAsia="宋体" w:cs="Times New Roman"/>
                      <w:color w:val="000000"/>
                      <w:highlight w:val="none"/>
                      <w:lang w:val="en-US" w:eastAsia="zh-CN"/>
                    </w:rPr>
                    <w:t>60</w:t>
                  </w:r>
                  <w:r>
                    <w:rPr>
                      <w:rFonts w:hint="default" w:ascii="Times New Roman" w:hAnsi="Times New Roman" w:eastAsia="宋体" w:cs="Times New Roman"/>
                      <w:highlight w:val="none"/>
                    </w:rPr>
                    <w:t>mg/m</w:t>
                  </w:r>
                  <w:r>
                    <w:rPr>
                      <w:rFonts w:hint="default" w:ascii="Times New Roman" w:hAnsi="Times New Roman" w:eastAsia="宋体" w:cs="Times New Roman"/>
                      <w:highlight w:val="none"/>
                      <w:vertAlign w:val="superscript"/>
                    </w:rPr>
                    <w:t>3</w:t>
                  </w:r>
                </w:p>
                <w:p w14:paraId="43F44678">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highlight w:val="none"/>
                      <w:lang w:val="en-US" w:eastAsia="zh-CN"/>
                    </w:rPr>
                    <w:t>3</w:t>
                  </w:r>
                  <w:r>
                    <w:rPr>
                      <w:rFonts w:hint="default" w:ascii="Times New Roman" w:hAnsi="Times New Roman" w:eastAsia="宋体" w:cs="Times New Roman"/>
                      <w:highlight w:val="none"/>
                    </w:rPr>
                    <w:t>kg/h</w:t>
                  </w:r>
                </w:p>
              </w:tc>
              <w:tc>
                <w:tcPr>
                  <w:tcW w:w="3206" w:type="dxa"/>
                  <w:shd w:val="clear" w:color="auto" w:fill="auto"/>
                  <w:vAlign w:val="center"/>
                </w:tcPr>
                <w:p w14:paraId="0D40356D">
                  <w:pPr>
                    <w:adjustRightIn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《挥发性有机物排放标准 第6部分：有机化工行业》（DB37 2801.6—2018）表1</w:t>
                  </w:r>
                  <w:r>
                    <w:rPr>
                      <w:rFonts w:hint="eastAsia" w:cs="Times New Roman"/>
                      <w:szCs w:val="21"/>
                      <w:highlight w:val="none"/>
                      <w:lang w:val="en-US" w:eastAsia="zh-CN"/>
                    </w:rPr>
                    <w:t>其他</w:t>
                  </w:r>
                  <w:r>
                    <w:rPr>
                      <w:rFonts w:hint="eastAsia" w:ascii="Times New Roman" w:hAnsi="Times New Roman" w:cs="Times New Roman"/>
                      <w:szCs w:val="21"/>
                      <w:highlight w:val="none"/>
                      <w:lang w:val="en-US" w:eastAsia="zh-CN"/>
                    </w:rPr>
                    <w:t>行业</w:t>
                  </w:r>
                  <w:r>
                    <w:rPr>
                      <w:rFonts w:hint="default" w:ascii="Times New Roman" w:hAnsi="Times New Roman" w:cs="Times New Roman"/>
                      <w:szCs w:val="21"/>
                      <w:highlight w:val="none"/>
                    </w:rPr>
                    <w:t>排放浓度、排放速率</w:t>
                  </w:r>
                  <w:r>
                    <w:rPr>
                      <w:rFonts w:hint="eastAsia" w:ascii="Times New Roman" w:hAnsi="Times New Roman" w:cs="Times New Roman"/>
                      <w:szCs w:val="21"/>
                      <w:highlight w:val="none"/>
                      <w:lang w:val="en-US" w:eastAsia="zh-CN"/>
                    </w:rPr>
                    <w:t>限值</w:t>
                  </w:r>
                </w:p>
              </w:tc>
            </w:tr>
            <w:tr w14:paraId="5C102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49C23B5E">
                  <w:pPr>
                    <w:pStyle w:val="98"/>
                    <w:rPr>
                      <w:rFonts w:hint="default" w:ascii="Times New Roman" w:hAnsi="Times New Roman" w:eastAsia="宋体" w:cs="Times New Roman"/>
                      <w:color w:val="000000"/>
                      <w:highlight w:val="none"/>
                    </w:rPr>
                  </w:pPr>
                </w:p>
              </w:tc>
              <w:tc>
                <w:tcPr>
                  <w:tcW w:w="620" w:type="dxa"/>
                  <w:vMerge w:val="restart"/>
                  <w:vAlign w:val="center"/>
                </w:tcPr>
                <w:p w14:paraId="3B6C729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无组织</w:t>
                  </w:r>
                </w:p>
              </w:tc>
              <w:tc>
                <w:tcPr>
                  <w:tcW w:w="835" w:type="dxa"/>
                  <w:shd w:val="clear" w:color="auto" w:fill="auto"/>
                  <w:vAlign w:val="center"/>
                </w:tcPr>
                <w:p w14:paraId="4A75FFB3">
                  <w:pPr>
                    <w:adjustRightInd w:val="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szCs w:val="21"/>
                      <w:highlight w:val="none"/>
                    </w:rPr>
                    <w:t>VOCs</w:t>
                  </w:r>
                </w:p>
              </w:tc>
              <w:tc>
                <w:tcPr>
                  <w:tcW w:w="1740" w:type="dxa"/>
                  <w:shd w:val="clear" w:color="auto" w:fill="auto"/>
                  <w:vAlign w:val="center"/>
                </w:tcPr>
                <w:p w14:paraId="2BDF49E0">
                  <w:pPr>
                    <w:pStyle w:val="98"/>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cs="Times New Roman"/>
                      <w:szCs w:val="21"/>
                      <w:highlight w:val="none"/>
                    </w:rPr>
                    <w:t>车间</w:t>
                  </w:r>
                  <w:r>
                    <w:rPr>
                      <w:rFonts w:hint="eastAsia" w:cs="Times New Roman"/>
                      <w:szCs w:val="21"/>
                      <w:highlight w:val="none"/>
                      <w:lang w:val="en-US" w:eastAsia="zh-CN"/>
                    </w:rPr>
                    <w:t>密闭，加强收集</w:t>
                  </w:r>
                </w:p>
              </w:tc>
              <w:tc>
                <w:tcPr>
                  <w:tcW w:w="1545" w:type="dxa"/>
                  <w:shd w:val="clear" w:color="auto" w:fill="auto"/>
                  <w:vAlign w:val="center"/>
                </w:tcPr>
                <w:p w14:paraId="3021D3AB">
                  <w:pPr>
                    <w:pStyle w:val="98"/>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highlight w:val="none"/>
                      <w:lang w:val="en-US" w:eastAsia="zh-CN"/>
                    </w:rPr>
                    <w:t>2.0</w:t>
                  </w:r>
                  <w:r>
                    <w:rPr>
                      <w:rFonts w:hint="default" w:ascii="Times New Roman" w:hAnsi="Times New Roman" w:eastAsia="宋体" w:cs="Times New Roman"/>
                      <w:highlight w:val="none"/>
                    </w:rPr>
                    <w:t>mg/m</w:t>
                  </w:r>
                  <w:r>
                    <w:rPr>
                      <w:rFonts w:hint="default" w:ascii="Times New Roman" w:hAnsi="Times New Roman" w:eastAsia="宋体" w:cs="Times New Roman"/>
                      <w:highlight w:val="none"/>
                      <w:vertAlign w:val="superscript"/>
                    </w:rPr>
                    <w:t>3</w:t>
                  </w:r>
                </w:p>
              </w:tc>
              <w:tc>
                <w:tcPr>
                  <w:tcW w:w="3206" w:type="dxa"/>
                  <w:shd w:val="clear" w:color="auto" w:fill="auto"/>
                  <w:vAlign w:val="center"/>
                </w:tcPr>
                <w:p w14:paraId="1CC210EE">
                  <w:pPr>
                    <w:pStyle w:val="98"/>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szCs w:val="21"/>
                      <w:highlight w:val="none"/>
                      <w:lang w:val="en-US" w:eastAsia="zh-CN"/>
                    </w:rPr>
                    <w:t>《挥发性有机物排放标准 第6部分：有机化工行业》（DB37 2801.6—2018）表</w:t>
                  </w:r>
                  <w:r>
                    <w:rPr>
                      <w:rFonts w:hint="eastAsia" w:cs="Times New Roman"/>
                      <w:szCs w:val="21"/>
                      <w:highlight w:val="none"/>
                      <w:lang w:val="en-US" w:eastAsia="zh-CN"/>
                    </w:rPr>
                    <w:t>3</w:t>
                  </w:r>
                  <w:r>
                    <w:rPr>
                      <w:rFonts w:hint="eastAsia" w:ascii="Times New Roman" w:hAnsi="Times New Roman" w:cs="Times New Roman"/>
                      <w:szCs w:val="21"/>
                      <w:highlight w:val="none"/>
                      <w:lang w:val="en-US" w:eastAsia="zh-CN"/>
                    </w:rPr>
                    <w:t>厂界监控点浓度限值</w:t>
                  </w:r>
                </w:p>
              </w:tc>
            </w:tr>
            <w:tr w14:paraId="3C9F7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21B4994C">
                  <w:pPr>
                    <w:pStyle w:val="98"/>
                    <w:rPr>
                      <w:rFonts w:hint="default" w:ascii="Times New Roman" w:hAnsi="Times New Roman" w:eastAsia="宋体" w:cs="Times New Roman"/>
                      <w:color w:val="000000"/>
                      <w:highlight w:val="none"/>
                    </w:rPr>
                  </w:pPr>
                </w:p>
              </w:tc>
              <w:tc>
                <w:tcPr>
                  <w:tcW w:w="620" w:type="dxa"/>
                  <w:vMerge w:val="continue"/>
                  <w:vAlign w:val="center"/>
                </w:tcPr>
                <w:p w14:paraId="1C6E83CB">
                  <w:pPr>
                    <w:pStyle w:val="98"/>
                    <w:rPr>
                      <w:rFonts w:hint="default" w:ascii="Times New Roman" w:hAnsi="Times New Roman" w:eastAsia="宋体" w:cs="Times New Roman"/>
                      <w:color w:val="000000"/>
                      <w:highlight w:val="none"/>
                    </w:rPr>
                  </w:pPr>
                </w:p>
              </w:tc>
              <w:tc>
                <w:tcPr>
                  <w:tcW w:w="835" w:type="dxa"/>
                  <w:shd w:val="clear" w:color="auto" w:fill="auto"/>
                  <w:vAlign w:val="center"/>
                </w:tcPr>
                <w:p w14:paraId="2DB992B2">
                  <w:pPr>
                    <w:adjustRightIn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颗粒物</w:t>
                  </w:r>
                </w:p>
              </w:tc>
              <w:tc>
                <w:tcPr>
                  <w:tcW w:w="1740" w:type="dxa"/>
                  <w:shd w:val="clear" w:color="auto" w:fill="auto"/>
                  <w:vAlign w:val="center"/>
                </w:tcPr>
                <w:p w14:paraId="41F1347C">
                  <w:pPr>
                    <w:pStyle w:val="98"/>
                    <w:rPr>
                      <w:rFonts w:hint="default" w:ascii="Times New Roman" w:hAnsi="Times New Roman" w:eastAsia="Times New Roman" w:cs="Times New Roman"/>
                      <w:kern w:val="0"/>
                      <w:sz w:val="21"/>
                      <w:szCs w:val="21"/>
                      <w:highlight w:val="none"/>
                      <w:lang w:val="en-US" w:eastAsia="zh-CN" w:bidi="ar-SA"/>
                    </w:rPr>
                  </w:pPr>
                  <w:r>
                    <w:rPr>
                      <w:rFonts w:hint="eastAsia" w:cs="Times New Roman"/>
                      <w:szCs w:val="21"/>
                      <w:highlight w:val="none"/>
                      <w:lang w:val="en-US" w:eastAsia="zh-CN"/>
                    </w:rPr>
                    <w:t>车间阻挡、自然沉降</w:t>
                  </w:r>
                </w:p>
              </w:tc>
              <w:tc>
                <w:tcPr>
                  <w:tcW w:w="1545" w:type="dxa"/>
                  <w:shd w:val="clear" w:color="auto" w:fill="auto"/>
                  <w:vAlign w:val="center"/>
                </w:tcPr>
                <w:p w14:paraId="1B7CDB56">
                  <w:pPr>
                    <w:pStyle w:val="98"/>
                    <w:rPr>
                      <w:rFonts w:hint="default" w:ascii="Times New Roman" w:hAnsi="Times New Roman" w:eastAsia="Times New Roman" w:cs="Times New Roman"/>
                      <w:kern w:val="0"/>
                      <w:sz w:val="21"/>
                      <w:szCs w:val="21"/>
                      <w:highlight w:val="none"/>
                      <w:lang w:val="en-US" w:eastAsia="zh-CN" w:bidi="ar-SA"/>
                    </w:rPr>
                  </w:pPr>
                  <w:r>
                    <w:rPr>
                      <w:rFonts w:hint="eastAsia" w:ascii="Times New Roman" w:hAnsi="Times New Roman" w:eastAsia="宋体" w:cs="Times New Roman"/>
                      <w:highlight w:val="none"/>
                      <w:lang w:val="en-US" w:eastAsia="zh-CN"/>
                    </w:rPr>
                    <w:t>1.0</w:t>
                  </w:r>
                  <w:r>
                    <w:rPr>
                      <w:rFonts w:hint="default" w:ascii="Times New Roman" w:hAnsi="Times New Roman" w:eastAsia="宋体" w:cs="Times New Roman"/>
                      <w:highlight w:val="none"/>
                    </w:rPr>
                    <w:t>mg/m</w:t>
                  </w:r>
                  <w:r>
                    <w:rPr>
                      <w:rFonts w:hint="default" w:ascii="Times New Roman" w:hAnsi="Times New Roman" w:eastAsia="宋体" w:cs="Times New Roman"/>
                      <w:highlight w:val="none"/>
                      <w:vertAlign w:val="superscript"/>
                    </w:rPr>
                    <w:t>3</w:t>
                  </w:r>
                </w:p>
              </w:tc>
              <w:tc>
                <w:tcPr>
                  <w:tcW w:w="3206" w:type="dxa"/>
                  <w:shd w:val="clear" w:color="auto" w:fill="auto"/>
                  <w:vAlign w:val="center"/>
                </w:tcPr>
                <w:p w14:paraId="73063862">
                  <w:pPr>
                    <w:pStyle w:val="98"/>
                    <w:rPr>
                      <w:rFonts w:hint="eastAsia" w:ascii="Times New Roman" w:hAnsi="Times New Roman" w:eastAsia="Times New Roman" w:cs="Times New Roman"/>
                      <w:kern w:val="0"/>
                      <w:sz w:val="21"/>
                      <w:szCs w:val="21"/>
                      <w:highlight w:val="none"/>
                      <w:lang w:val="en-US" w:eastAsia="zh-CN" w:bidi="ar-SA"/>
                    </w:rPr>
                  </w:pPr>
                  <w:r>
                    <w:rPr>
                      <w:rFonts w:hint="default" w:ascii="Times New Roman" w:hAnsi="Times New Roman" w:cs="Times New Roman"/>
                      <w:color w:val="000000"/>
                      <w:szCs w:val="21"/>
                      <w:highlight w:val="none"/>
                      <w:lang w:val="en-US"/>
                    </w:rPr>
                    <w:t>《大气污染物综合排放标准》（GB16297-1996）表2</w:t>
                  </w:r>
                  <w:r>
                    <w:rPr>
                      <w:rFonts w:hint="eastAsia" w:ascii="Times New Roman" w:hAnsi="Times New Roman" w:cs="Times New Roman"/>
                      <w:color w:val="000000"/>
                      <w:szCs w:val="21"/>
                      <w:highlight w:val="none"/>
                      <w:lang w:val="en-US" w:eastAsia="zh-CN"/>
                    </w:rPr>
                    <w:t>无组织</w:t>
                  </w:r>
                  <w:r>
                    <w:rPr>
                      <w:rFonts w:hint="default" w:ascii="Times New Roman" w:hAnsi="Times New Roman" w:cs="Times New Roman"/>
                      <w:color w:val="000000"/>
                      <w:szCs w:val="21"/>
                      <w:highlight w:val="none"/>
                      <w:lang w:val="en-US"/>
                    </w:rPr>
                    <w:t>排放</w:t>
                  </w:r>
                  <w:r>
                    <w:rPr>
                      <w:rFonts w:hint="eastAsia" w:ascii="Times New Roman" w:hAnsi="Times New Roman" w:cs="Times New Roman"/>
                      <w:color w:val="000000"/>
                      <w:szCs w:val="21"/>
                      <w:highlight w:val="none"/>
                      <w:lang w:val="en-US" w:eastAsia="zh-CN"/>
                    </w:rPr>
                    <w:t>监控</w:t>
                  </w:r>
                  <w:r>
                    <w:rPr>
                      <w:rFonts w:hint="default" w:ascii="Times New Roman" w:hAnsi="Times New Roman" w:cs="Times New Roman"/>
                      <w:color w:val="000000"/>
                      <w:szCs w:val="21"/>
                      <w:highlight w:val="none"/>
                      <w:lang w:val="en-US"/>
                    </w:rPr>
                    <w:t>浓度限值</w:t>
                  </w:r>
                </w:p>
              </w:tc>
            </w:tr>
            <w:tr w14:paraId="71AF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753803E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废水</w:t>
                  </w:r>
                </w:p>
              </w:tc>
              <w:tc>
                <w:tcPr>
                  <w:tcW w:w="7946" w:type="dxa"/>
                  <w:gridSpan w:val="5"/>
                  <w:vAlign w:val="center"/>
                </w:tcPr>
                <w:p w14:paraId="2981C000">
                  <w:pPr>
                    <w:pStyle w:val="98"/>
                    <w:rPr>
                      <w:rFonts w:hint="eastAsia" w:ascii="Times New Roman" w:hAnsi="Times New Roman" w:eastAsia="宋体" w:cs="Times New Roman"/>
                      <w:color w:val="000000"/>
                      <w:highlight w:val="none"/>
                      <w:lang w:val="en-US" w:eastAsia="zh-CN"/>
                    </w:rPr>
                  </w:pPr>
                  <w:r>
                    <w:rPr>
                      <w:rFonts w:hint="eastAsia"/>
                      <w:highlight w:val="none"/>
                    </w:rPr>
                    <w:t>项目生活污水经厂区化粪池处理后由环卫部门定期处理。</w:t>
                  </w:r>
                </w:p>
              </w:tc>
            </w:tr>
            <w:tr w14:paraId="44443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1DC1E56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620" w:type="dxa"/>
                  <w:vAlign w:val="center"/>
                </w:tcPr>
                <w:p w14:paraId="328A714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机械设备</w:t>
                  </w:r>
                </w:p>
              </w:tc>
              <w:tc>
                <w:tcPr>
                  <w:tcW w:w="835" w:type="dxa"/>
                  <w:vAlign w:val="center"/>
                </w:tcPr>
                <w:p w14:paraId="0428172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1740" w:type="dxa"/>
                  <w:vAlign w:val="center"/>
                </w:tcPr>
                <w:p w14:paraId="110DA1D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选用低噪声设备，基础减振、车间安装隔声、隔音门窗</w:t>
                  </w:r>
                </w:p>
              </w:tc>
              <w:tc>
                <w:tcPr>
                  <w:tcW w:w="1545" w:type="dxa"/>
                  <w:vAlign w:val="center"/>
                </w:tcPr>
                <w:p w14:paraId="5305968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昼间≤60dB（A）</w:t>
                  </w:r>
                </w:p>
              </w:tc>
              <w:tc>
                <w:tcPr>
                  <w:tcW w:w="3206" w:type="dxa"/>
                  <w:vAlign w:val="center"/>
                </w:tcPr>
                <w:p w14:paraId="186DB84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《工业企业厂界环境噪声排放标准》（GB12348-2008）中的2类区噪声排放限值</w:t>
                  </w:r>
                </w:p>
              </w:tc>
            </w:tr>
            <w:tr w14:paraId="32F52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restart"/>
                  <w:vAlign w:val="center"/>
                </w:tcPr>
                <w:p w14:paraId="093E862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一般固废</w:t>
                  </w:r>
                </w:p>
              </w:tc>
              <w:tc>
                <w:tcPr>
                  <w:tcW w:w="1455" w:type="dxa"/>
                  <w:gridSpan w:val="2"/>
                  <w:shd w:val="clear" w:color="auto" w:fill="auto"/>
                  <w:vAlign w:val="center"/>
                </w:tcPr>
                <w:p w14:paraId="3EAD840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生活垃圾</w:t>
                  </w:r>
                </w:p>
              </w:tc>
              <w:tc>
                <w:tcPr>
                  <w:tcW w:w="1740" w:type="dxa"/>
                  <w:shd w:val="clear" w:color="auto" w:fill="auto"/>
                  <w:vAlign w:val="center"/>
                </w:tcPr>
                <w:p w14:paraId="21AFA03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委托环卫部门定期清运</w:t>
                  </w:r>
                </w:p>
              </w:tc>
              <w:tc>
                <w:tcPr>
                  <w:tcW w:w="1545" w:type="dxa"/>
                  <w:vMerge w:val="restart"/>
                  <w:vAlign w:val="center"/>
                </w:tcPr>
                <w:p w14:paraId="69A15DD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3206" w:type="dxa"/>
                  <w:vMerge w:val="restart"/>
                  <w:vAlign w:val="center"/>
                </w:tcPr>
                <w:p w14:paraId="6E9A5D2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r>
                    <w:rPr>
                      <w:rFonts w:hint="eastAsia" w:eastAsia="宋体" w:cs="Times New Roman"/>
                      <w:color w:val="000000"/>
                      <w:highlight w:val="none"/>
                      <w:lang w:eastAsia="zh-CN"/>
                    </w:rPr>
                    <w:t>一般工业固体废物贮存和填埋污染控制标准</w:t>
                  </w:r>
                  <w:r>
                    <w:rPr>
                      <w:rFonts w:hint="default" w:ascii="Times New Roman" w:hAnsi="Times New Roman" w:eastAsia="宋体" w:cs="Times New Roman"/>
                      <w:color w:val="000000"/>
                      <w:highlight w:val="none"/>
                    </w:rPr>
                    <w:t>》（</w:t>
                  </w:r>
                  <w:r>
                    <w:rPr>
                      <w:rFonts w:hint="eastAsia" w:eastAsia="宋体" w:cs="Times New Roman"/>
                      <w:color w:val="000000"/>
                      <w:highlight w:val="none"/>
                      <w:lang w:eastAsia="zh-CN"/>
                    </w:rPr>
                    <w:t>GB 18599-2020</w:t>
                  </w:r>
                  <w:r>
                    <w:rPr>
                      <w:rFonts w:hint="default" w:ascii="Times New Roman" w:hAnsi="Times New Roman" w:eastAsia="宋体" w:cs="Times New Roman"/>
                      <w:color w:val="000000"/>
                      <w:highlight w:val="none"/>
                    </w:rPr>
                    <w:t>）及修改单中有关规定</w:t>
                  </w:r>
                </w:p>
              </w:tc>
            </w:tr>
            <w:tr w14:paraId="78FCC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01DF04DC">
                  <w:pPr>
                    <w:pStyle w:val="98"/>
                    <w:rPr>
                      <w:rFonts w:hint="default" w:ascii="Times New Roman" w:hAnsi="Times New Roman" w:eastAsia="宋体" w:cs="Times New Roman"/>
                      <w:color w:val="000000"/>
                      <w:highlight w:val="none"/>
                    </w:rPr>
                  </w:pPr>
                </w:p>
              </w:tc>
              <w:tc>
                <w:tcPr>
                  <w:tcW w:w="1455" w:type="dxa"/>
                  <w:gridSpan w:val="2"/>
                  <w:shd w:val="clear" w:color="auto" w:fill="auto"/>
                  <w:vAlign w:val="center"/>
                </w:tcPr>
                <w:p w14:paraId="63CA12BC">
                  <w:pPr>
                    <w:topLinePunct/>
                    <w:adjustRightInd w:val="0"/>
                    <w:snapToGrid w:val="0"/>
                    <w:jc w:val="center"/>
                    <w:rPr>
                      <w:rFonts w:hint="eastAsia"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废包装材料</w:t>
                  </w:r>
                </w:p>
              </w:tc>
              <w:tc>
                <w:tcPr>
                  <w:tcW w:w="1740" w:type="dxa"/>
                  <w:vMerge w:val="restart"/>
                  <w:shd w:val="clear" w:color="auto" w:fill="auto"/>
                  <w:vAlign w:val="center"/>
                </w:tcPr>
                <w:p w14:paraId="5A3D939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收集后外售</w:t>
                  </w:r>
                </w:p>
              </w:tc>
              <w:tc>
                <w:tcPr>
                  <w:tcW w:w="1545" w:type="dxa"/>
                  <w:vMerge w:val="continue"/>
                  <w:vAlign w:val="center"/>
                </w:tcPr>
                <w:p w14:paraId="0753B172">
                  <w:pPr>
                    <w:pStyle w:val="98"/>
                    <w:rPr>
                      <w:rFonts w:hint="default" w:ascii="Times New Roman" w:hAnsi="Times New Roman" w:eastAsia="宋体" w:cs="Times New Roman"/>
                      <w:color w:val="000000"/>
                      <w:highlight w:val="none"/>
                    </w:rPr>
                  </w:pPr>
                </w:p>
              </w:tc>
              <w:tc>
                <w:tcPr>
                  <w:tcW w:w="3206" w:type="dxa"/>
                  <w:vMerge w:val="continue"/>
                  <w:vAlign w:val="center"/>
                </w:tcPr>
                <w:p w14:paraId="30CB0E9F">
                  <w:pPr>
                    <w:pStyle w:val="98"/>
                    <w:rPr>
                      <w:rFonts w:hint="default" w:ascii="Times New Roman" w:hAnsi="Times New Roman" w:eastAsia="宋体" w:cs="Times New Roman"/>
                      <w:color w:val="000000"/>
                      <w:highlight w:val="none"/>
                    </w:rPr>
                  </w:pPr>
                </w:p>
              </w:tc>
            </w:tr>
            <w:tr w14:paraId="67F6A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14DFF180">
                  <w:pPr>
                    <w:pStyle w:val="98"/>
                    <w:rPr>
                      <w:rFonts w:hint="default" w:ascii="Times New Roman" w:hAnsi="Times New Roman" w:eastAsia="宋体" w:cs="Times New Roman"/>
                      <w:color w:val="000000"/>
                      <w:highlight w:val="none"/>
                    </w:rPr>
                  </w:pPr>
                </w:p>
              </w:tc>
              <w:tc>
                <w:tcPr>
                  <w:tcW w:w="1455" w:type="dxa"/>
                  <w:gridSpan w:val="2"/>
                  <w:shd w:val="clear" w:color="auto" w:fill="auto"/>
                  <w:vAlign w:val="center"/>
                </w:tcPr>
                <w:p w14:paraId="6E40656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边角料</w:t>
                  </w:r>
                </w:p>
              </w:tc>
              <w:tc>
                <w:tcPr>
                  <w:tcW w:w="1740" w:type="dxa"/>
                  <w:vMerge w:val="continue"/>
                  <w:vAlign w:val="center"/>
                </w:tcPr>
                <w:p w14:paraId="377E4F0C">
                  <w:pPr>
                    <w:pStyle w:val="98"/>
                    <w:rPr>
                      <w:rFonts w:hint="default" w:ascii="Times New Roman" w:hAnsi="Times New Roman" w:eastAsia="宋体" w:cs="Times New Roman"/>
                      <w:color w:val="000000"/>
                      <w:highlight w:val="none"/>
                    </w:rPr>
                  </w:pPr>
                </w:p>
              </w:tc>
              <w:tc>
                <w:tcPr>
                  <w:tcW w:w="1545" w:type="dxa"/>
                  <w:vMerge w:val="continue"/>
                  <w:vAlign w:val="center"/>
                </w:tcPr>
                <w:p w14:paraId="03AB4F50">
                  <w:pPr>
                    <w:pStyle w:val="98"/>
                    <w:rPr>
                      <w:rFonts w:hint="default" w:ascii="Times New Roman" w:hAnsi="Times New Roman" w:eastAsia="宋体" w:cs="Times New Roman"/>
                      <w:color w:val="000000"/>
                      <w:highlight w:val="none"/>
                    </w:rPr>
                  </w:pPr>
                </w:p>
              </w:tc>
              <w:tc>
                <w:tcPr>
                  <w:tcW w:w="3206" w:type="dxa"/>
                  <w:vMerge w:val="continue"/>
                  <w:vAlign w:val="center"/>
                </w:tcPr>
                <w:p w14:paraId="5E0E5C45">
                  <w:pPr>
                    <w:pStyle w:val="98"/>
                    <w:rPr>
                      <w:rFonts w:hint="default" w:ascii="Times New Roman" w:hAnsi="Times New Roman" w:eastAsia="宋体" w:cs="Times New Roman"/>
                      <w:color w:val="000000"/>
                      <w:highlight w:val="none"/>
                    </w:rPr>
                  </w:pPr>
                </w:p>
              </w:tc>
            </w:tr>
            <w:tr w14:paraId="7331B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7BE576D4">
                  <w:pPr>
                    <w:pStyle w:val="98"/>
                    <w:rPr>
                      <w:rFonts w:hint="default" w:ascii="Times New Roman" w:hAnsi="Times New Roman" w:eastAsia="宋体" w:cs="Times New Roman"/>
                      <w:color w:val="000000"/>
                      <w:highlight w:val="none"/>
                    </w:rPr>
                  </w:pPr>
                </w:p>
              </w:tc>
              <w:tc>
                <w:tcPr>
                  <w:tcW w:w="1455" w:type="dxa"/>
                  <w:gridSpan w:val="2"/>
                  <w:shd w:val="clear" w:color="auto" w:fill="auto"/>
                  <w:vAlign w:val="center"/>
                </w:tcPr>
                <w:p w14:paraId="2D0C99A1">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不合格产品</w:t>
                  </w:r>
                </w:p>
              </w:tc>
              <w:tc>
                <w:tcPr>
                  <w:tcW w:w="1740" w:type="dxa"/>
                  <w:vMerge w:val="continue"/>
                  <w:vAlign w:val="center"/>
                </w:tcPr>
                <w:p w14:paraId="576E7DA5">
                  <w:pPr>
                    <w:pStyle w:val="98"/>
                    <w:rPr>
                      <w:rFonts w:hint="default" w:ascii="Times New Roman" w:hAnsi="Times New Roman" w:eastAsia="宋体" w:cs="Times New Roman"/>
                      <w:color w:val="000000"/>
                      <w:highlight w:val="none"/>
                    </w:rPr>
                  </w:pPr>
                </w:p>
              </w:tc>
              <w:tc>
                <w:tcPr>
                  <w:tcW w:w="1545" w:type="dxa"/>
                  <w:vMerge w:val="continue"/>
                  <w:vAlign w:val="center"/>
                </w:tcPr>
                <w:p w14:paraId="44D6F9B5">
                  <w:pPr>
                    <w:pStyle w:val="98"/>
                    <w:rPr>
                      <w:rFonts w:hint="default" w:ascii="Times New Roman" w:hAnsi="Times New Roman" w:eastAsia="宋体" w:cs="Times New Roman"/>
                      <w:color w:val="000000"/>
                      <w:highlight w:val="none"/>
                    </w:rPr>
                  </w:pPr>
                </w:p>
              </w:tc>
              <w:tc>
                <w:tcPr>
                  <w:tcW w:w="3206" w:type="dxa"/>
                  <w:vMerge w:val="continue"/>
                  <w:vAlign w:val="center"/>
                </w:tcPr>
                <w:p w14:paraId="06367BA2">
                  <w:pPr>
                    <w:pStyle w:val="98"/>
                    <w:rPr>
                      <w:rFonts w:hint="default" w:ascii="Times New Roman" w:hAnsi="Times New Roman" w:eastAsia="宋体" w:cs="Times New Roman"/>
                      <w:color w:val="000000"/>
                      <w:highlight w:val="none"/>
                    </w:rPr>
                  </w:pPr>
                </w:p>
              </w:tc>
            </w:tr>
            <w:tr w14:paraId="598E1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restart"/>
                  <w:vAlign w:val="center"/>
                </w:tcPr>
                <w:p w14:paraId="557B933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危险废物</w:t>
                  </w:r>
                </w:p>
              </w:tc>
              <w:tc>
                <w:tcPr>
                  <w:tcW w:w="1455" w:type="dxa"/>
                  <w:gridSpan w:val="2"/>
                  <w:vAlign w:val="center"/>
                </w:tcPr>
                <w:p w14:paraId="00CAA7E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废润滑油</w:t>
                  </w:r>
                </w:p>
              </w:tc>
              <w:tc>
                <w:tcPr>
                  <w:tcW w:w="1740" w:type="dxa"/>
                  <w:vMerge w:val="restart"/>
                  <w:vAlign w:val="center"/>
                </w:tcPr>
                <w:p w14:paraId="799902D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委托有资质单位处理</w:t>
                  </w:r>
                </w:p>
              </w:tc>
              <w:tc>
                <w:tcPr>
                  <w:tcW w:w="1545" w:type="dxa"/>
                  <w:vMerge w:val="restart"/>
                  <w:vAlign w:val="center"/>
                </w:tcPr>
                <w:p w14:paraId="7E0FDB5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3206" w:type="dxa"/>
                  <w:vMerge w:val="restart"/>
                  <w:vAlign w:val="center"/>
                </w:tcPr>
                <w:p w14:paraId="415E4BC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《危险废物贮存污染控制标准》（GB18597-2023）</w:t>
                  </w:r>
                </w:p>
              </w:tc>
            </w:tr>
            <w:tr w14:paraId="067CF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3A9E02AC">
                  <w:pPr>
                    <w:pStyle w:val="98"/>
                    <w:rPr>
                      <w:rFonts w:hint="default" w:ascii="Times New Roman" w:hAnsi="Times New Roman" w:eastAsia="宋体" w:cs="Times New Roman"/>
                      <w:color w:val="000000"/>
                      <w:highlight w:val="none"/>
                    </w:rPr>
                  </w:pPr>
                </w:p>
              </w:tc>
              <w:tc>
                <w:tcPr>
                  <w:tcW w:w="1455" w:type="dxa"/>
                  <w:gridSpan w:val="2"/>
                  <w:vAlign w:val="center"/>
                </w:tcPr>
                <w:p w14:paraId="5AD9491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废润滑油桶</w:t>
                  </w:r>
                </w:p>
              </w:tc>
              <w:tc>
                <w:tcPr>
                  <w:tcW w:w="1740" w:type="dxa"/>
                  <w:vMerge w:val="continue"/>
                  <w:vAlign w:val="center"/>
                </w:tcPr>
                <w:p w14:paraId="5CD5D191">
                  <w:pPr>
                    <w:pStyle w:val="98"/>
                    <w:rPr>
                      <w:rFonts w:hint="default" w:ascii="Times New Roman" w:hAnsi="Times New Roman" w:eastAsia="宋体" w:cs="Times New Roman"/>
                      <w:color w:val="000000"/>
                      <w:highlight w:val="none"/>
                    </w:rPr>
                  </w:pPr>
                </w:p>
              </w:tc>
              <w:tc>
                <w:tcPr>
                  <w:tcW w:w="1545" w:type="dxa"/>
                  <w:vMerge w:val="continue"/>
                  <w:vAlign w:val="center"/>
                </w:tcPr>
                <w:p w14:paraId="11D59C31">
                  <w:pPr>
                    <w:pStyle w:val="98"/>
                    <w:rPr>
                      <w:rFonts w:hint="default" w:ascii="Times New Roman" w:hAnsi="Times New Roman" w:eastAsia="宋体" w:cs="Times New Roman"/>
                      <w:color w:val="000000"/>
                      <w:highlight w:val="none"/>
                    </w:rPr>
                  </w:pPr>
                </w:p>
              </w:tc>
              <w:tc>
                <w:tcPr>
                  <w:tcW w:w="3206" w:type="dxa"/>
                  <w:vMerge w:val="continue"/>
                  <w:vAlign w:val="center"/>
                </w:tcPr>
                <w:p w14:paraId="4AD5C896">
                  <w:pPr>
                    <w:pStyle w:val="98"/>
                    <w:rPr>
                      <w:rFonts w:hint="default" w:ascii="Times New Roman" w:hAnsi="Times New Roman" w:eastAsia="宋体" w:cs="Times New Roman"/>
                      <w:color w:val="000000"/>
                      <w:highlight w:val="none"/>
                    </w:rPr>
                  </w:pPr>
                </w:p>
              </w:tc>
            </w:tr>
            <w:tr w14:paraId="6D1D2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02736B5E">
                  <w:pPr>
                    <w:pStyle w:val="98"/>
                    <w:rPr>
                      <w:rFonts w:hint="default" w:ascii="Times New Roman" w:hAnsi="Times New Roman" w:eastAsia="宋体" w:cs="Times New Roman"/>
                      <w:color w:val="000000"/>
                      <w:highlight w:val="none"/>
                    </w:rPr>
                  </w:pPr>
                </w:p>
              </w:tc>
              <w:tc>
                <w:tcPr>
                  <w:tcW w:w="1455" w:type="dxa"/>
                  <w:gridSpan w:val="2"/>
                  <w:vAlign w:val="center"/>
                </w:tcPr>
                <w:p w14:paraId="20EAA6D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废活性炭</w:t>
                  </w:r>
                </w:p>
              </w:tc>
              <w:tc>
                <w:tcPr>
                  <w:tcW w:w="1740" w:type="dxa"/>
                  <w:vMerge w:val="continue"/>
                  <w:vAlign w:val="center"/>
                </w:tcPr>
                <w:p w14:paraId="650ED6E7">
                  <w:pPr>
                    <w:pStyle w:val="98"/>
                    <w:rPr>
                      <w:rFonts w:hint="default" w:ascii="Times New Roman" w:hAnsi="Times New Roman" w:eastAsia="宋体" w:cs="Times New Roman"/>
                      <w:color w:val="000000"/>
                      <w:highlight w:val="none"/>
                    </w:rPr>
                  </w:pPr>
                </w:p>
              </w:tc>
              <w:tc>
                <w:tcPr>
                  <w:tcW w:w="1545" w:type="dxa"/>
                  <w:vMerge w:val="continue"/>
                  <w:vAlign w:val="center"/>
                </w:tcPr>
                <w:p w14:paraId="05573C21">
                  <w:pPr>
                    <w:pStyle w:val="98"/>
                    <w:rPr>
                      <w:rFonts w:hint="default" w:ascii="Times New Roman" w:hAnsi="Times New Roman" w:eastAsia="宋体" w:cs="Times New Roman"/>
                      <w:color w:val="000000"/>
                      <w:highlight w:val="none"/>
                    </w:rPr>
                  </w:pPr>
                </w:p>
              </w:tc>
              <w:tc>
                <w:tcPr>
                  <w:tcW w:w="3206" w:type="dxa"/>
                  <w:vMerge w:val="continue"/>
                  <w:vAlign w:val="center"/>
                </w:tcPr>
                <w:p w14:paraId="7EAA7A27">
                  <w:pPr>
                    <w:pStyle w:val="98"/>
                    <w:rPr>
                      <w:rFonts w:hint="default" w:ascii="Times New Roman" w:hAnsi="Times New Roman" w:eastAsia="宋体" w:cs="Times New Roman"/>
                      <w:color w:val="000000"/>
                      <w:highlight w:val="none"/>
                    </w:rPr>
                  </w:pPr>
                </w:p>
              </w:tc>
            </w:tr>
          </w:tbl>
          <w:p w14:paraId="6B4CA48C">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3、排放口信息化、规范化</w:t>
            </w:r>
          </w:p>
          <w:p w14:paraId="76518910">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国家环境保护总局《关于开展排放口规范化整治工作的通知》环发[1999]24号和《排放口规范化整治技术》环发[1999]24号文等规定的要求，一切新建、扩建、改建的排污单位以及限期治理的排污单位必须在建设污染治理设施的同时，建设规范化排放口。因此，建设项目产生的各类污染物排放口必须规范化，而且规范化工作的完成必须与污染治理设施同步。</w:t>
            </w:r>
          </w:p>
          <w:p w14:paraId="310434E8">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 1 \* GB3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①</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项目产生的固体废物在厂内暂存期间要设置专门的储存设施或堆放场所、运输通道。存放场地需采取防扬散、防流失措施，并应在存放场地设置环保标志牌。</w:t>
            </w:r>
          </w:p>
          <w:p w14:paraId="096E7922">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②主要固定噪声源附近应设置环境保护图形标志牌。</w:t>
            </w:r>
          </w:p>
          <w:p w14:paraId="6E29C073">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本项目建成后，应将上述所有污染排放口名称、位置、数量，以及排放污染物名称、数量等进行统计，并登记上报当地环保部门，以便进行验收和排放口的规范化管理。</w:t>
            </w:r>
          </w:p>
          <w:p w14:paraId="52C8F755">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在废气排放口、噪声排放源、一般固体废物处置场、危废暂存间应设置环境保护图形标志，图形符号分为提示图形和警告图形符号两种，分别按GB15562.1-1995、GB15562.2-1995执行。环境保护图形符号见下表。</w:t>
            </w:r>
          </w:p>
          <w:p w14:paraId="3F9A029A">
            <w:pPr>
              <w:adjustRightInd w:val="0"/>
              <w:snapToGrid w:val="0"/>
              <w:ind w:firstLine="420"/>
              <w:rPr>
                <w:rFonts w:hint="default" w:ascii="Times New Roman" w:hAnsi="Times New Roman" w:cs="Times New Roman"/>
                <w:color w:val="000000"/>
                <w:highlight w:val="none"/>
              </w:rPr>
            </w:pPr>
          </w:p>
          <w:p w14:paraId="21D3E6B6">
            <w:pPr>
              <w:adjustRightInd w:val="0"/>
              <w:snapToGrid w:val="0"/>
              <w:ind w:firstLine="420"/>
              <w:rPr>
                <w:rFonts w:hint="default" w:ascii="Times New Roman" w:hAnsi="Times New Roman" w:cs="Times New Roman"/>
                <w:color w:val="000000"/>
                <w:highlight w:val="none"/>
              </w:rPr>
            </w:pPr>
          </w:p>
          <w:p w14:paraId="61238E2E">
            <w:pPr>
              <w:adjustRightInd w:val="0"/>
              <w:snapToGrid w:val="0"/>
              <w:ind w:firstLine="420"/>
              <w:rPr>
                <w:rFonts w:hint="default" w:ascii="Times New Roman" w:hAnsi="Times New Roman" w:cs="Times New Roman"/>
                <w:color w:val="000000"/>
                <w:highlight w:val="none"/>
              </w:rPr>
            </w:pPr>
          </w:p>
          <w:p w14:paraId="3FB20215">
            <w:pPr>
              <w:spacing w:line="360" w:lineRule="auto"/>
              <w:jc w:val="center"/>
              <w:rPr>
                <w:rFonts w:hint="default" w:ascii="Times New Roman" w:hAnsi="Times New Roman" w:cs="Times New Roman"/>
                <w:b/>
                <w:bCs/>
                <w:color w:val="000000"/>
                <w:sz w:val="24"/>
                <w:highlight w:val="none"/>
              </w:rPr>
            </w:pPr>
          </w:p>
          <w:p w14:paraId="7DE3810C">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表5-2  环境保护图形符号一览表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096"/>
              <w:gridCol w:w="2161"/>
              <w:gridCol w:w="1710"/>
              <w:gridCol w:w="1755"/>
            </w:tblGrid>
            <w:tr w14:paraId="769CA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1BDAAA7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序号</w:t>
                  </w:r>
                </w:p>
              </w:tc>
              <w:tc>
                <w:tcPr>
                  <w:tcW w:w="1176" w:type="pct"/>
                  <w:vAlign w:val="center"/>
                </w:tcPr>
                <w:p w14:paraId="2ECA498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提示图形符号</w:t>
                  </w:r>
                </w:p>
              </w:tc>
              <w:tc>
                <w:tcPr>
                  <w:tcW w:w="1212" w:type="pct"/>
                  <w:vAlign w:val="center"/>
                </w:tcPr>
                <w:p w14:paraId="2172D57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警告图形符号</w:t>
                  </w:r>
                </w:p>
              </w:tc>
              <w:tc>
                <w:tcPr>
                  <w:tcW w:w="959" w:type="pct"/>
                  <w:vAlign w:val="center"/>
                </w:tcPr>
                <w:p w14:paraId="4D7537B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名称</w:t>
                  </w:r>
                </w:p>
              </w:tc>
              <w:tc>
                <w:tcPr>
                  <w:tcW w:w="984" w:type="pct"/>
                  <w:vAlign w:val="center"/>
                </w:tcPr>
                <w:p w14:paraId="24E815E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功能</w:t>
                  </w:r>
                </w:p>
              </w:tc>
            </w:tr>
            <w:tr w14:paraId="5C9C9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7321DC1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w:t>
                  </w:r>
                </w:p>
              </w:tc>
              <w:tc>
                <w:tcPr>
                  <w:tcW w:w="1176" w:type="pct"/>
                  <w:vAlign w:val="center"/>
                </w:tcPr>
                <w:p w14:paraId="7504619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971550" cy="950595"/>
                        <wp:effectExtent l="0" t="0" r="0" b="190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42"/>
                                <a:stretch>
                                  <a:fillRect/>
                                </a:stretch>
                              </pic:blipFill>
                              <pic:spPr>
                                <a:xfrm>
                                  <a:off x="0" y="0"/>
                                  <a:ext cx="971550" cy="950595"/>
                                </a:xfrm>
                                <a:prstGeom prst="rect">
                                  <a:avLst/>
                                </a:prstGeom>
                                <a:noFill/>
                                <a:ln>
                                  <a:noFill/>
                                </a:ln>
                              </pic:spPr>
                            </pic:pic>
                          </a:graphicData>
                        </a:graphic>
                      </wp:inline>
                    </w:drawing>
                  </w:r>
                </w:p>
              </w:tc>
              <w:tc>
                <w:tcPr>
                  <w:tcW w:w="1212" w:type="pct"/>
                  <w:vAlign w:val="center"/>
                </w:tcPr>
                <w:p w14:paraId="44211A4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67435" cy="963930"/>
                        <wp:effectExtent l="0" t="0" r="18415" b="762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43"/>
                                <a:stretch>
                                  <a:fillRect/>
                                </a:stretch>
                              </pic:blipFill>
                              <pic:spPr>
                                <a:xfrm>
                                  <a:off x="0" y="0"/>
                                  <a:ext cx="1067435" cy="963930"/>
                                </a:xfrm>
                                <a:prstGeom prst="rect">
                                  <a:avLst/>
                                </a:prstGeom>
                                <a:noFill/>
                                <a:ln>
                                  <a:noFill/>
                                </a:ln>
                              </pic:spPr>
                            </pic:pic>
                          </a:graphicData>
                        </a:graphic>
                      </wp:inline>
                    </w:drawing>
                  </w:r>
                </w:p>
              </w:tc>
              <w:tc>
                <w:tcPr>
                  <w:tcW w:w="959" w:type="pct"/>
                  <w:vAlign w:val="center"/>
                </w:tcPr>
                <w:p w14:paraId="44FACF3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废气排放口</w:t>
                  </w:r>
                </w:p>
              </w:tc>
              <w:tc>
                <w:tcPr>
                  <w:tcW w:w="984" w:type="pct"/>
                  <w:vAlign w:val="center"/>
                </w:tcPr>
                <w:p w14:paraId="64EC699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表示废气向大气环境排放</w:t>
                  </w:r>
                </w:p>
              </w:tc>
            </w:tr>
            <w:tr w14:paraId="5A8EC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7E5256D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2</w:t>
                  </w:r>
                </w:p>
              </w:tc>
              <w:tc>
                <w:tcPr>
                  <w:tcW w:w="1176" w:type="pct"/>
                  <w:vAlign w:val="center"/>
                </w:tcPr>
                <w:p w14:paraId="37D9850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05840" cy="914400"/>
                        <wp:effectExtent l="0" t="0" r="3810" b="0"/>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44"/>
                                <a:stretch>
                                  <a:fillRect/>
                                </a:stretch>
                              </pic:blipFill>
                              <pic:spPr>
                                <a:xfrm>
                                  <a:off x="0" y="0"/>
                                  <a:ext cx="1005840" cy="914400"/>
                                </a:xfrm>
                                <a:prstGeom prst="rect">
                                  <a:avLst/>
                                </a:prstGeom>
                                <a:noFill/>
                                <a:ln>
                                  <a:noFill/>
                                </a:ln>
                              </pic:spPr>
                            </pic:pic>
                          </a:graphicData>
                        </a:graphic>
                      </wp:inline>
                    </w:drawing>
                  </w:r>
                </w:p>
              </w:tc>
              <w:tc>
                <w:tcPr>
                  <w:tcW w:w="1212" w:type="pct"/>
                  <w:vAlign w:val="center"/>
                </w:tcPr>
                <w:p w14:paraId="2ED1A6E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05840" cy="824230"/>
                        <wp:effectExtent l="0" t="0" r="3810" b="1397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45"/>
                                <a:stretch>
                                  <a:fillRect/>
                                </a:stretch>
                              </pic:blipFill>
                              <pic:spPr>
                                <a:xfrm>
                                  <a:off x="0" y="0"/>
                                  <a:ext cx="1005840" cy="824230"/>
                                </a:xfrm>
                                <a:prstGeom prst="rect">
                                  <a:avLst/>
                                </a:prstGeom>
                                <a:noFill/>
                                <a:ln>
                                  <a:noFill/>
                                </a:ln>
                              </pic:spPr>
                            </pic:pic>
                          </a:graphicData>
                        </a:graphic>
                      </wp:inline>
                    </w:drawing>
                  </w:r>
                </w:p>
              </w:tc>
              <w:tc>
                <w:tcPr>
                  <w:tcW w:w="959" w:type="pct"/>
                  <w:vAlign w:val="center"/>
                </w:tcPr>
                <w:p w14:paraId="3BFBBBD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噪声排放源</w:t>
                  </w:r>
                </w:p>
              </w:tc>
              <w:tc>
                <w:tcPr>
                  <w:tcW w:w="984" w:type="pct"/>
                  <w:vAlign w:val="center"/>
                </w:tcPr>
                <w:p w14:paraId="4361E02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表示噪声向外</w:t>
                  </w:r>
                </w:p>
                <w:p w14:paraId="1CE00E3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环境排放</w:t>
                  </w:r>
                </w:p>
              </w:tc>
            </w:tr>
            <w:tr w14:paraId="761CD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32B9178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3</w:t>
                  </w:r>
                </w:p>
              </w:tc>
              <w:tc>
                <w:tcPr>
                  <w:tcW w:w="1176" w:type="pct"/>
                  <w:vAlign w:val="center"/>
                </w:tcPr>
                <w:p w14:paraId="01C7F6A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970280" cy="1031240"/>
                        <wp:effectExtent l="0" t="0" r="1270" b="16510"/>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46"/>
                                <a:stretch>
                                  <a:fillRect/>
                                </a:stretch>
                              </pic:blipFill>
                              <pic:spPr>
                                <a:xfrm>
                                  <a:off x="0" y="0"/>
                                  <a:ext cx="970280" cy="1031240"/>
                                </a:xfrm>
                                <a:prstGeom prst="rect">
                                  <a:avLst/>
                                </a:prstGeom>
                                <a:noFill/>
                                <a:ln>
                                  <a:noFill/>
                                </a:ln>
                              </pic:spPr>
                            </pic:pic>
                          </a:graphicData>
                        </a:graphic>
                      </wp:inline>
                    </w:drawing>
                  </w:r>
                </w:p>
              </w:tc>
              <w:tc>
                <w:tcPr>
                  <w:tcW w:w="1212" w:type="pct"/>
                  <w:vAlign w:val="center"/>
                </w:tcPr>
                <w:p w14:paraId="6F4E140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79500" cy="876300"/>
                        <wp:effectExtent l="0" t="0" r="6350" b="0"/>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47"/>
                                <a:stretch>
                                  <a:fillRect/>
                                </a:stretch>
                              </pic:blipFill>
                              <pic:spPr>
                                <a:xfrm>
                                  <a:off x="0" y="0"/>
                                  <a:ext cx="1079500" cy="876300"/>
                                </a:xfrm>
                                <a:prstGeom prst="rect">
                                  <a:avLst/>
                                </a:prstGeom>
                                <a:noFill/>
                                <a:ln>
                                  <a:noFill/>
                                </a:ln>
                              </pic:spPr>
                            </pic:pic>
                          </a:graphicData>
                        </a:graphic>
                      </wp:inline>
                    </w:drawing>
                  </w:r>
                </w:p>
              </w:tc>
              <w:tc>
                <w:tcPr>
                  <w:tcW w:w="959" w:type="pct"/>
                  <w:vAlign w:val="center"/>
                </w:tcPr>
                <w:p w14:paraId="2162FC3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一般固体废物</w:t>
                  </w:r>
                </w:p>
              </w:tc>
              <w:tc>
                <w:tcPr>
                  <w:tcW w:w="984" w:type="pct"/>
                  <w:vAlign w:val="center"/>
                </w:tcPr>
                <w:p w14:paraId="6D7329F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表示一般固体废物贮存、处置场</w:t>
                  </w:r>
                </w:p>
              </w:tc>
            </w:tr>
            <w:tr w14:paraId="7AAE3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4BCF9F0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4</w:t>
                  </w:r>
                </w:p>
              </w:tc>
              <w:tc>
                <w:tcPr>
                  <w:tcW w:w="1176" w:type="pct"/>
                  <w:vAlign w:val="center"/>
                </w:tcPr>
                <w:p w14:paraId="771549B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212" w:type="pct"/>
                  <w:vAlign w:val="center"/>
                </w:tcPr>
                <w:p w14:paraId="06BA518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68070" cy="929640"/>
                        <wp:effectExtent l="0" t="0" r="0" b="0"/>
                        <wp:docPr id="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pic:cNvPicPr>
                                  <a:picLocks noChangeAspect="1"/>
                                </pic:cNvPicPr>
                              </pic:nvPicPr>
                              <pic:blipFill>
                                <a:blip r:embed="rId48"/>
                                <a:srcRect b="14486"/>
                                <a:stretch>
                                  <a:fillRect/>
                                </a:stretch>
                              </pic:blipFill>
                              <pic:spPr>
                                <a:xfrm>
                                  <a:off x="0" y="0"/>
                                  <a:ext cx="1068070" cy="929640"/>
                                </a:xfrm>
                                <a:prstGeom prst="rect">
                                  <a:avLst/>
                                </a:prstGeom>
                                <a:noFill/>
                                <a:ln>
                                  <a:noFill/>
                                </a:ln>
                              </pic:spPr>
                            </pic:pic>
                          </a:graphicData>
                        </a:graphic>
                      </wp:inline>
                    </w:drawing>
                  </w:r>
                </w:p>
              </w:tc>
              <w:tc>
                <w:tcPr>
                  <w:tcW w:w="959" w:type="pct"/>
                  <w:vAlign w:val="center"/>
                </w:tcPr>
                <w:p w14:paraId="34D612F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危险废物</w:t>
                  </w:r>
                </w:p>
              </w:tc>
              <w:tc>
                <w:tcPr>
                  <w:tcW w:w="984" w:type="pct"/>
                  <w:vAlign w:val="center"/>
                </w:tcPr>
                <w:p w14:paraId="13A34C2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表示危险废物贮存、处置场</w:t>
                  </w:r>
                </w:p>
              </w:tc>
            </w:tr>
          </w:tbl>
          <w:p w14:paraId="07ECA8EC">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4、</w:t>
            </w:r>
            <w:r>
              <w:rPr>
                <w:rFonts w:hint="default" w:ascii="Times New Roman" w:hAnsi="Times New Roman" w:cs="Times New Roman"/>
                <w:color w:val="000000"/>
                <w:szCs w:val="21"/>
                <w:highlight w:val="none"/>
              </w:rPr>
              <w:t>与排污许可制度的衔接</w:t>
            </w:r>
          </w:p>
          <w:p w14:paraId="1D192C18">
            <w:pPr>
              <w:ind w:firstLine="420"/>
              <w:rPr>
                <w:rFonts w:hint="default" w:ascii="Times New Roman" w:hAnsi="Times New Roman" w:cs="Times New Roman"/>
                <w:color w:val="000000"/>
                <w:highlight w:val="none"/>
              </w:rPr>
            </w:pPr>
            <w:r>
              <w:rPr>
                <w:rFonts w:hint="default" w:ascii="Times New Roman" w:hAnsi="Times New Roman" w:cs="Times New Roman"/>
                <w:color w:val="000000"/>
                <w:szCs w:val="21"/>
                <w:highlight w:val="none"/>
              </w:rPr>
              <w:t>根据《固定污染源排污许可分类管理名录》（2019年版），拟建项目属于</w:t>
            </w:r>
            <w:r>
              <w:rPr>
                <w:rFonts w:hint="eastAsia" w:cs="Times New Roman"/>
                <w:color w:val="000000"/>
                <w:szCs w:val="21"/>
                <w:highlight w:val="none"/>
                <w:lang w:eastAsia="zh-CN"/>
              </w:rPr>
              <w:t>“</w:t>
            </w:r>
            <w:r>
              <w:rPr>
                <w:rFonts w:hint="default" w:ascii="Times New Roman" w:hAnsi="Times New Roman" w:cs="Times New Roman"/>
                <w:color w:val="000000"/>
                <w:szCs w:val="21"/>
                <w:highlight w:val="none"/>
              </w:rPr>
              <w:t>二十四、橡胶和塑料制品业 29</w:t>
            </w:r>
            <w:r>
              <w:rPr>
                <w:rFonts w:hint="eastAsia" w:cs="Times New Roman"/>
                <w:color w:val="000000"/>
                <w:szCs w:val="21"/>
                <w:highlight w:val="none"/>
                <w:lang w:eastAsia="zh-CN"/>
              </w:rPr>
              <w:t>”</w:t>
            </w:r>
            <w:r>
              <w:rPr>
                <w:rFonts w:hint="default" w:ascii="Times New Roman" w:hAnsi="Times New Roman" w:cs="Times New Roman"/>
                <w:color w:val="000000"/>
                <w:szCs w:val="21"/>
                <w:highlight w:val="none"/>
              </w:rPr>
              <w:t>中</w:t>
            </w:r>
            <w:r>
              <w:rPr>
                <w:rFonts w:hint="eastAsia" w:cs="Times New Roman"/>
                <w:color w:val="000000"/>
                <w:szCs w:val="21"/>
                <w:highlight w:val="none"/>
                <w:lang w:eastAsia="zh-CN"/>
              </w:rPr>
              <w:t>“</w:t>
            </w:r>
            <w:r>
              <w:rPr>
                <w:rFonts w:hint="default" w:ascii="Times New Roman" w:hAnsi="Times New Roman" w:cs="Times New Roman"/>
                <w:color w:val="000000"/>
                <w:szCs w:val="21"/>
                <w:highlight w:val="none"/>
              </w:rPr>
              <w:t>62、塑料制品业292，塑料包装箱及容器制造 2926</w:t>
            </w:r>
            <w:r>
              <w:rPr>
                <w:rFonts w:hint="eastAsia" w:cs="Times New Roman"/>
                <w:color w:val="000000"/>
                <w:szCs w:val="21"/>
                <w:highlight w:val="none"/>
                <w:lang w:eastAsia="zh-CN"/>
              </w:rPr>
              <w:t>”</w:t>
            </w:r>
            <w:r>
              <w:rPr>
                <w:rFonts w:hint="default" w:ascii="Times New Roman" w:hAnsi="Times New Roman" w:cs="Times New Roman"/>
                <w:color w:val="000000"/>
                <w:szCs w:val="21"/>
                <w:highlight w:val="none"/>
              </w:rPr>
              <w:t>，实行登记管理。项目建成后验收前应及时办理排污许可手续。</w:t>
            </w:r>
          </w:p>
          <w:p w14:paraId="69BD5DB2">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5、环境管理台账</w:t>
            </w:r>
          </w:p>
          <w:p w14:paraId="20C072B9">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企业应按照行业排污许可管理要求制度管理台账，落实环境管理台账记录的责任部门和责任人，明确工作职责，包括台账的记录、整理、维护和管理等，并对台账记录结果的真实性、完整性和规范性负责，台账保存期限不得少于五年。</w:t>
            </w:r>
          </w:p>
          <w:p w14:paraId="11FDDCC1">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6、环保信息公开</w:t>
            </w:r>
          </w:p>
          <w:p w14:paraId="530A9EC5">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要求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14:paraId="5979D06B">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（1）基础信息，包括单位名称、组织机构代码、法定代表人、生产地址、联系方式，以及生产经营和管理服务的主要内容、产品及规模；</w:t>
            </w:r>
          </w:p>
          <w:p w14:paraId="313D8572">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（2）排污信息，包括主要污染物及其他污染物的名称、排放方式、排放口数量和分布情况、排放浓度和总量、超标情况，以及执行的污染物排放标准、核定的排放总量；</w:t>
            </w:r>
          </w:p>
          <w:p w14:paraId="20352176">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（3）防治污染设施的建设和运行情况；</w:t>
            </w:r>
          </w:p>
          <w:p w14:paraId="31516470">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（4）建设项目环境影响评价及其他环境保护行政许可情况；</w:t>
            </w:r>
          </w:p>
          <w:p w14:paraId="1A86FBD9">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（5）其他应当公开的环境信息；</w:t>
            </w:r>
          </w:p>
          <w:p w14:paraId="47788188">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列入国家重点监控企业名单的重点排污单位还应当公开其环境自行监测方案。</w:t>
            </w:r>
          </w:p>
          <w:p w14:paraId="750E261B">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建设单位应按照上述要求公开建设项目的相关信息，采取的信息公开途径可包括：①公告或者公开发行的信息专刊；②广播、电视等新闻媒体；③信息公开服务、监督热线电话；④本单位的资料索取点、信息公开栏、信息亭、电子屏幕、电子触摸屏等场所或者设施；⑤其他便于公众及时、准确获得信息的方式。</w:t>
            </w:r>
          </w:p>
        </w:tc>
      </w:tr>
    </w:tbl>
    <w:p w14:paraId="28AF9F30">
      <w:pPr>
        <w:pStyle w:val="42"/>
        <w:jc w:val="center"/>
        <w:outlineLvl w:val="0"/>
        <w:rPr>
          <w:rFonts w:hint="default" w:ascii="Times New Roman" w:hAnsi="Times New Roman" w:cs="Times New Roman"/>
          <w:snapToGrid w:val="0"/>
          <w:highlight w:val="none"/>
        </w:rPr>
        <w:sectPr>
          <w:footerReference r:id="rId7" w:type="default"/>
          <w:pgSz w:w="11907" w:h="16840"/>
          <w:pgMar w:top="1440" w:right="1077" w:bottom="1440" w:left="1077" w:header="851" w:footer="850" w:gutter="0"/>
          <w:cols w:space="0" w:num="1"/>
          <w:docGrid w:linePitch="312" w:charSpace="0"/>
        </w:sectPr>
      </w:pPr>
    </w:p>
    <w:p w14:paraId="747AC236">
      <w:pPr>
        <w:pStyle w:val="42"/>
        <w:jc w:val="center"/>
        <w:outlineLvl w:val="0"/>
        <w:rPr>
          <w:rFonts w:hint="default" w:ascii="Times New Roman" w:hAnsi="Times New Roman" w:eastAsia="黑体" w:cs="Times New Roman"/>
          <w:snapToGrid w:val="0"/>
          <w:sz w:val="30"/>
          <w:szCs w:val="30"/>
          <w:highlight w:val="none"/>
        </w:rPr>
      </w:pPr>
      <w:r>
        <w:rPr>
          <w:rFonts w:hint="default" w:ascii="Times New Roman" w:hAnsi="Times New Roman" w:eastAsia="黑体" w:cs="Times New Roman"/>
          <w:snapToGrid w:val="0"/>
          <w:sz w:val="30"/>
          <w:szCs w:val="30"/>
          <w:highlight w:val="none"/>
        </w:rPr>
        <w:t>六、结论</w:t>
      </w:r>
    </w:p>
    <w:tbl>
      <w:tblPr>
        <w:tblStyle w:val="47"/>
        <w:tblW w:w="879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7"/>
      </w:tblGrid>
      <w:tr w14:paraId="79143F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35" w:hRule="atLeast"/>
          <w:jc w:val="center"/>
        </w:trPr>
        <w:tc>
          <w:tcPr>
            <w:tcW w:w="8797" w:type="dxa"/>
          </w:tcPr>
          <w:p w14:paraId="643B554C">
            <w:pPr>
              <w:snapToGrid w:val="0"/>
              <w:spacing w:before="120" w:beforeLines="50" w:line="48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综上所述，本项目的建设符合国家和地方产业政策，各项污染物能够实现达标排放，对环境的影响较小，不会造成区域环境功能的改变，因此从环境保护的角度来讲，本评价认为该项目在坚持</w:t>
            </w:r>
            <w:r>
              <w:rPr>
                <w:rFonts w:hint="eastAsia" w:cs="Times New Roman"/>
                <w:bCs/>
                <w:sz w:val="24"/>
                <w:highlight w:val="none"/>
                <w:lang w:eastAsia="zh-CN"/>
              </w:rPr>
              <w:t>“</w:t>
            </w:r>
            <w:r>
              <w:rPr>
                <w:rFonts w:hint="default" w:ascii="Times New Roman" w:hAnsi="Times New Roman" w:cs="Times New Roman"/>
                <w:bCs/>
                <w:sz w:val="24"/>
                <w:highlight w:val="none"/>
              </w:rPr>
              <w:t>三同时</w:t>
            </w:r>
            <w:r>
              <w:rPr>
                <w:rFonts w:hint="eastAsia" w:cs="Times New Roman"/>
                <w:bCs/>
                <w:sz w:val="24"/>
                <w:highlight w:val="none"/>
                <w:lang w:eastAsia="zh-CN"/>
              </w:rPr>
              <w:t>”</w:t>
            </w:r>
            <w:r>
              <w:rPr>
                <w:rFonts w:hint="default" w:ascii="Times New Roman" w:hAnsi="Times New Roman" w:cs="Times New Roman"/>
                <w:bCs/>
                <w:sz w:val="24"/>
                <w:highlight w:val="none"/>
              </w:rPr>
              <w:t>原则并采取一定的环保措施后，拟建项目是可行的。</w:t>
            </w:r>
          </w:p>
          <w:p w14:paraId="53442A36">
            <w:pPr>
              <w:spacing w:line="360" w:lineRule="auto"/>
              <w:rPr>
                <w:rFonts w:hint="default" w:ascii="Times New Roman" w:hAnsi="Times New Roman" w:cs="Times New Roman"/>
                <w:sz w:val="24"/>
                <w:highlight w:val="none"/>
              </w:rPr>
            </w:pPr>
          </w:p>
        </w:tc>
      </w:tr>
    </w:tbl>
    <w:p w14:paraId="18C74D01">
      <w:pPr>
        <w:pStyle w:val="42"/>
        <w:jc w:val="center"/>
        <w:outlineLvl w:val="0"/>
        <w:rPr>
          <w:rFonts w:hint="default" w:ascii="Times New Roman" w:hAnsi="Times New Roman" w:eastAsia="黑体" w:cs="Times New Roman"/>
          <w:snapToGrid w:val="0"/>
          <w:sz w:val="30"/>
          <w:szCs w:val="30"/>
          <w:highlight w:val="none"/>
        </w:rPr>
      </w:pPr>
    </w:p>
    <w:p w14:paraId="30E1DBD5">
      <w:pPr>
        <w:pStyle w:val="46"/>
        <w:rPr>
          <w:rFonts w:hint="default" w:ascii="Times New Roman" w:hAnsi="Times New Roman" w:cs="Times New Roman"/>
          <w:snapToGrid w:val="0"/>
          <w:highlight w:val="none"/>
        </w:rPr>
        <w:sectPr>
          <w:pgSz w:w="11907" w:h="16840"/>
          <w:pgMar w:top="1440" w:right="1077" w:bottom="1440" w:left="1077" w:header="851" w:footer="850" w:gutter="0"/>
          <w:cols w:space="0" w:num="1"/>
          <w:docGrid w:linePitch="312" w:charSpace="0"/>
        </w:sectPr>
      </w:pPr>
    </w:p>
    <w:p w14:paraId="63BB4442">
      <w:pPr>
        <w:pStyle w:val="42"/>
        <w:spacing w:before="0" w:beforeAutospacing="0" w:after="0" w:afterAutospacing="0" w:line="360" w:lineRule="auto"/>
        <w:outlineLvl w:val="0"/>
        <w:rPr>
          <w:rFonts w:hint="default" w:ascii="Times New Roman" w:hAnsi="Times New Roman" w:eastAsia="黑体" w:cs="Times New Roman"/>
          <w:snapToGrid w:val="0"/>
          <w:sz w:val="32"/>
          <w:szCs w:val="32"/>
          <w:highlight w:val="none"/>
        </w:rPr>
      </w:pPr>
      <w:r>
        <w:rPr>
          <w:rFonts w:hint="default" w:ascii="Times New Roman" w:hAnsi="Times New Roman" w:eastAsia="黑体" w:cs="Times New Roman"/>
          <w:snapToGrid w:val="0"/>
          <w:sz w:val="32"/>
          <w:szCs w:val="32"/>
          <w:highlight w:val="none"/>
        </w:rPr>
        <w:t>附表</w:t>
      </w:r>
    </w:p>
    <w:p w14:paraId="22367590">
      <w:pPr>
        <w:pStyle w:val="42"/>
        <w:spacing w:before="0" w:beforeAutospacing="0" w:after="0" w:afterAutospacing="0"/>
        <w:jc w:val="center"/>
        <w:outlineLvl w:val="0"/>
        <w:rPr>
          <w:rFonts w:hint="default" w:ascii="Times New Roman" w:hAnsi="Times New Roman" w:cs="Times New Roman"/>
          <w:kern w:val="2"/>
          <w:sz w:val="32"/>
          <w:szCs w:val="32"/>
          <w:highlight w:val="none"/>
        </w:rPr>
      </w:pPr>
      <w:r>
        <w:rPr>
          <w:rFonts w:hint="default" w:ascii="Times New Roman" w:hAnsi="Times New Roman" w:cs="Times New Roman"/>
          <w:kern w:val="2"/>
          <w:sz w:val="32"/>
          <w:szCs w:val="32"/>
          <w:highlight w:val="none"/>
        </w:rPr>
        <w:t>建设项目污染物排放量汇总表</w:t>
      </w:r>
    </w:p>
    <w:tbl>
      <w:tblPr>
        <w:tblStyle w:val="47"/>
        <w:tblW w:w="1402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054"/>
        <w:gridCol w:w="1474"/>
        <w:gridCol w:w="1619"/>
        <w:gridCol w:w="1324"/>
        <w:gridCol w:w="1698"/>
        <w:gridCol w:w="1488"/>
        <w:gridCol w:w="1428"/>
        <w:gridCol w:w="1524"/>
        <w:gridCol w:w="1449"/>
      </w:tblGrid>
      <w:tr w14:paraId="62F3E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tcBorders>
              <w:tl2br w:val="single" w:color="auto" w:sz="4" w:space="0"/>
            </w:tcBorders>
            <w:tcMar>
              <w:left w:w="28" w:type="dxa"/>
              <w:right w:w="28" w:type="dxa"/>
            </w:tcMar>
            <w:vAlign w:val="center"/>
          </w:tcPr>
          <w:p w14:paraId="1E48EA22">
            <w:pPr>
              <w:pStyle w:val="94"/>
              <w:spacing w:beforeLines="0" w:afterLines="0" w:line="240" w:lineRule="auto"/>
              <w:ind w:right="99"/>
              <w:jc w:val="right"/>
              <w:rPr>
                <w:rFonts w:hint="default" w:ascii="Times New Roman" w:hAnsi="Times New Roman" w:cs="Times New Roman"/>
                <w:bCs/>
                <w:snapToGrid w:val="0"/>
                <w:spacing w:val="-6"/>
                <w:kern w:val="21"/>
                <w:szCs w:val="21"/>
                <w:highlight w:val="none"/>
              </w:rPr>
            </w:pPr>
            <w:bookmarkStart w:id="17" w:name="_Hlk95290405"/>
            <w:r>
              <w:rPr>
                <w:rFonts w:hint="default" w:ascii="Times New Roman" w:hAnsi="Times New Roman" w:cs="Times New Roman"/>
                <w:bCs/>
                <w:snapToGrid w:val="0"/>
                <w:spacing w:val="-6"/>
                <w:kern w:val="21"/>
                <w:szCs w:val="21"/>
                <w:highlight w:val="none"/>
              </w:rPr>
              <w:t>项目</w:t>
            </w:r>
          </w:p>
          <w:p w14:paraId="6E4AE581">
            <w:pPr>
              <w:pStyle w:val="94"/>
              <w:spacing w:beforeLines="0" w:afterLines="0" w:line="240" w:lineRule="auto"/>
              <w:jc w:val="left"/>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分类</w:t>
            </w:r>
          </w:p>
        </w:tc>
        <w:tc>
          <w:tcPr>
            <w:tcW w:w="2528" w:type="dxa"/>
            <w:gridSpan w:val="2"/>
            <w:tcMar>
              <w:left w:w="28" w:type="dxa"/>
              <w:right w:w="28" w:type="dxa"/>
            </w:tcMar>
            <w:vAlign w:val="center"/>
          </w:tcPr>
          <w:p w14:paraId="4A5366D2">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污染物名称</w:t>
            </w:r>
          </w:p>
        </w:tc>
        <w:tc>
          <w:tcPr>
            <w:tcW w:w="1619" w:type="dxa"/>
            <w:tcMar>
              <w:left w:w="28" w:type="dxa"/>
              <w:right w:w="28" w:type="dxa"/>
            </w:tcMar>
            <w:vAlign w:val="center"/>
          </w:tcPr>
          <w:p w14:paraId="7C9C61EC">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现有工程</w:t>
            </w:r>
          </w:p>
          <w:p w14:paraId="1665A08F">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排放量（固体废物产生量）</w:t>
            </w: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1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①</w:t>
            </w:r>
            <w:r>
              <w:rPr>
                <w:rFonts w:hint="default" w:ascii="Times New Roman" w:hAnsi="Times New Roman" w:cs="Times New Roman"/>
                <w:bCs/>
                <w:snapToGrid w:val="0"/>
                <w:spacing w:val="-6"/>
                <w:kern w:val="21"/>
                <w:szCs w:val="21"/>
                <w:highlight w:val="none"/>
              </w:rPr>
              <w:fldChar w:fldCharType="end"/>
            </w:r>
          </w:p>
        </w:tc>
        <w:tc>
          <w:tcPr>
            <w:tcW w:w="1324" w:type="dxa"/>
            <w:tcMar>
              <w:left w:w="28" w:type="dxa"/>
              <w:right w:w="28" w:type="dxa"/>
            </w:tcMar>
            <w:vAlign w:val="center"/>
          </w:tcPr>
          <w:p w14:paraId="53CD514F">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现有工程</w:t>
            </w:r>
          </w:p>
          <w:p w14:paraId="06B528DB">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许可排放量</w:t>
            </w:r>
          </w:p>
          <w:p w14:paraId="6EED1546">
            <w:pPr>
              <w:pStyle w:val="94"/>
              <w:spacing w:beforeLines="0" w:afterLines="0"/>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2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snapToGrid w:val="0"/>
                <w:spacing w:val="-6"/>
                <w:kern w:val="21"/>
                <w:szCs w:val="21"/>
                <w:highlight w:val="none"/>
              </w:rPr>
              <w:t>②</w:t>
            </w:r>
            <w:r>
              <w:rPr>
                <w:rFonts w:hint="default" w:ascii="Times New Roman" w:hAnsi="Times New Roman" w:cs="Times New Roman"/>
                <w:bCs/>
                <w:snapToGrid w:val="0"/>
                <w:spacing w:val="-6"/>
                <w:kern w:val="21"/>
                <w:szCs w:val="21"/>
                <w:highlight w:val="none"/>
              </w:rPr>
              <w:fldChar w:fldCharType="end"/>
            </w:r>
          </w:p>
        </w:tc>
        <w:tc>
          <w:tcPr>
            <w:tcW w:w="1698" w:type="dxa"/>
            <w:tcMar>
              <w:left w:w="28" w:type="dxa"/>
              <w:right w:w="28" w:type="dxa"/>
            </w:tcMar>
            <w:vAlign w:val="center"/>
          </w:tcPr>
          <w:p w14:paraId="185615B8">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在建工程</w:t>
            </w:r>
          </w:p>
          <w:p w14:paraId="398BEDEA">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排放量（固体废物产生量）</w:t>
            </w: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3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③</w:t>
            </w:r>
            <w:r>
              <w:rPr>
                <w:rFonts w:hint="default" w:ascii="Times New Roman" w:hAnsi="Times New Roman" w:cs="Times New Roman"/>
                <w:bCs/>
                <w:snapToGrid w:val="0"/>
                <w:spacing w:val="-6"/>
                <w:kern w:val="21"/>
                <w:szCs w:val="21"/>
                <w:highlight w:val="none"/>
              </w:rPr>
              <w:fldChar w:fldCharType="end"/>
            </w:r>
          </w:p>
        </w:tc>
        <w:tc>
          <w:tcPr>
            <w:tcW w:w="1488" w:type="dxa"/>
            <w:tcMar>
              <w:left w:w="28" w:type="dxa"/>
              <w:right w:w="28" w:type="dxa"/>
            </w:tcMar>
            <w:vAlign w:val="center"/>
          </w:tcPr>
          <w:p w14:paraId="4832FB14">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本项目</w:t>
            </w:r>
          </w:p>
          <w:p w14:paraId="66D71CA2">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排放量（固体废物产生量）</w:t>
            </w: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4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④</w:t>
            </w:r>
            <w:r>
              <w:rPr>
                <w:rFonts w:hint="default" w:ascii="Times New Roman" w:hAnsi="Times New Roman" w:cs="Times New Roman"/>
                <w:bCs/>
                <w:snapToGrid w:val="0"/>
                <w:spacing w:val="-6"/>
                <w:kern w:val="21"/>
                <w:szCs w:val="21"/>
                <w:highlight w:val="none"/>
              </w:rPr>
              <w:fldChar w:fldCharType="end"/>
            </w:r>
          </w:p>
        </w:tc>
        <w:tc>
          <w:tcPr>
            <w:tcW w:w="1428" w:type="dxa"/>
            <w:tcMar>
              <w:left w:w="28" w:type="dxa"/>
              <w:right w:w="28" w:type="dxa"/>
            </w:tcMar>
            <w:vAlign w:val="center"/>
          </w:tcPr>
          <w:p w14:paraId="6572620B">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以新带老削减量</w:t>
            </w:r>
          </w:p>
          <w:p w14:paraId="70282F1D">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（新建项目不填）</w:t>
            </w:r>
            <w:r>
              <w:rPr>
                <w:rFonts w:hint="default" w:ascii="Times New Roman" w:hAnsi="Times New Roman" w:cs="Times New Roman"/>
                <w:bCs/>
                <w:snapToGrid w:val="0"/>
                <w:spacing w:val="-16"/>
                <w:kern w:val="21"/>
                <w:szCs w:val="21"/>
                <w:highlight w:val="none"/>
              </w:rPr>
              <w:fldChar w:fldCharType="begin"/>
            </w:r>
            <w:r>
              <w:rPr>
                <w:rFonts w:hint="default" w:ascii="Times New Roman" w:hAnsi="Times New Roman" w:cs="Times New Roman"/>
                <w:bCs/>
                <w:snapToGrid w:val="0"/>
                <w:spacing w:val="-16"/>
                <w:kern w:val="21"/>
                <w:szCs w:val="21"/>
                <w:highlight w:val="none"/>
              </w:rPr>
              <w:instrText xml:space="preserve"> = 5 \* GB3 \* MERGEFORMAT </w:instrText>
            </w:r>
            <w:r>
              <w:rPr>
                <w:rFonts w:hint="default" w:ascii="Times New Roman" w:hAnsi="Times New Roman" w:cs="Times New Roman"/>
                <w:bCs/>
                <w:snapToGrid w:val="0"/>
                <w:spacing w:val="-16"/>
                <w:kern w:val="21"/>
                <w:szCs w:val="21"/>
                <w:highlight w:val="none"/>
              </w:rPr>
              <w:fldChar w:fldCharType="separate"/>
            </w:r>
            <w:r>
              <w:rPr>
                <w:rFonts w:hint="default" w:ascii="Times New Roman" w:hAnsi="Times New Roman" w:cs="Times New Roman"/>
                <w:bCs/>
                <w:kern w:val="2"/>
                <w:szCs w:val="21"/>
                <w:highlight w:val="none"/>
              </w:rPr>
              <w:t>⑤</w:t>
            </w:r>
            <w:r>
              <w:rPr>
                <w:rFonts w:hint="default" w:ascii="Times New Roman" w:hAnsi="Times New Roman" w:cs="Times New Roman"/>
                <w:bCs/>
                <w:snapToGrid w:val="0"/>
                <w:spacing w:val="-16"/>
                <w:kern w:val="21"/>
                <w:szCs w:val="21"/>
                <w:highlight w:val="none"/>
              </w:rPr>
              <w:fldChar w:fldCharType="end"/>
            </w:r>
          </w:p>
        </w:tc>
        <w:tc>
          <w:tcPr>
            <w:tcW w:w="1524" w:type="dxa"/>
            <w:tcMar>
              <w:left w:w="28" w:type="dxa"/>
              <w:right w:w="28" w:type="dxa"/>
            </w:tcMar>
            <w:vAlign w:val="center"/>
          </w:tcPr>
          <w:p w14:paraId="50A453AF">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本项目建成后</w:t>
            </w:r>
          </w:p>
          <w:p w14:paraId="4B2B4CFF">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全厂排放量（固体废物产生量）</w:t>
            </w:r>
            <w:r>
              <w:rPr>
                <w:rFonts w:hint="default" w:ascii="Times New Roman" w:hAnsi="Times New Roman" w:cs="Times New Roman"/>
                <w:bCs/>
                <w:snapToGrid w:val="0"/>
                <w:spacing w:val="-16"/>
                <w:kern w:val="21"/>
                <w:szCs w:val="21"/>
                <w:highlight w:val="none"/>
              </w:rPr>
              <w:fldChar w:fldCharType="begin"/>
            </w:r>
            <w:r>
              <w:rPr>
                <w:rFonts w:hint="default" w:ascii="Times New Roman" w:hAnsi="Times New Roman" w:cs="Times New Roman"/>
                <w:bCs/>
                <w:snapToGrid w:val="0"/>
                <w:spacing w:val="-16"/>
                <w:kern w:val="21"/>
                <w:szCs w:val="21"/>
                <w:highlight w:val="none"/>
              </w:rPr>
              <w:instrText xml:space="preserve"> = 6 \* GB3 \* MERGEFORMAT </w:instrText>
            </w:r>
            <w:r>
              <w:rPr>
                <w:rFonts w:hint="default" w:ascii="Times New Roman" w:hAnsi="Times New Roman" w:cs="Times New Roman"/>
                <w:bCs/>
                <w:snapToGrid w:val="0"/>
                <w:spacing w:val="-16"/>
                <w:kern w:val="21"/>
                <w:szCs w:val="21"/>
                <w:highlight w:val="none"/>
              </w:rPr>
              <w:fldChar w:fldCharType="separate"/>
            </w:r>
            <w:r>
              <w:rPr>
                <w:rFonts w:hint="default" w:ascii="Times New Roman" w:hAnsi="Times New Roman" w:cs="Times New Roman"/>
                <w:bCs/>
                <w:kern w:val="2"/>
                <w:szCs w:val="21"/>
                <w:highlight w:val="none"/>
              </w:rPr>
              <w:t>⑥</w:t>
            </w:r>
            <w:r>
              <w:rPr>
                <w:rFonts w:hint="default" w:ascii="Times New Roman" w:hAnsi="Times New Roman" w:cs="Times New Roman"/>
                <w:bCs/>
                <w:snapToGrid w:val="0"/>
                <w:spacing w:val="-16"/>
                <w:kern w:val="21"/>
                <w:szCs w:val="21"/>
                <w:highlight w:val="none"/>
              </w:rPr>
              <w:fldChar w:fldCharType="end"/>
            </w:r>
          </w:p>
        </w:tc>
        <w:tc>
          <w:tcPr>
            <w:tcW w:w="1449" w:type="dxa"/>
            <w:tcMar>
              <w:left w:w="28" w:type="dxa"/>
              <w:right w:w="28" w:type="dxa"/>
            </w:tcMar>
            <w:vAlign w:val="center"/>
          </w:tcPr>
          <w:p w14:paraId="5735A61B">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变化量</w:t>
            </w:r>
          </w:p>
          <w:p w14:paraId="403240FC">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7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⑦</w:t>
            </w:r>
            <w:r>
              <w:rPr>
                <w:rFonts w:hint="default" w:ascii="Times New Roman" w:hAnsi="Times New Roman" w:cs="Times New Roman"/>
                <w:bCs/>
                <w:snapToGrid w:val="0"/>
                <w:spacing w:val="-6"/>
                <w:kern w:val="21"/>
                <w:szCs w:val="21"/>
                <w:highlight w:val="none"/>
              </w:rPr>
              <w:fldChar w:fldCharType="end"/>
            </w:r>
          </w:p>
        </w:tc>
      </w:tr>
      <w:tr w14:paraId="7B3357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413048C0">
            <w:pPr>
              <w:pStyle w:val="94"/>
              <w:spacing w:beforeLines="0" w:afterLines="0" w:line="240" w:lineRule="auto"/>
              <w:rPr>
                <w:rFonts w:hint="default" w:ascii="Times New Roman" w:hAnsi="Times New Roman" w:cs="Times New Roman"/>
                <w:snapToGrid w:val="0"/>
                <w:kern w:val="21"/>
                <w:szCs w:val="21"/>
                <w:highlight w:val="none"/>
              </w:rPr>
            </w:pPr>
            <w:r>
              <w:rPr>
                <w:rFonts w:hint="default" w:ascii="Times New Roman" w:hAnsi="Times New Roman" w:cs="Times New Roman"/>
                <w:snapToGrid w:val="0"/>
                <w:kern w:val="21"/>
                <w:szCs w:val="21"/>
                <w:highlight w:val="none"/>
              </w:rPr>
              <w:t>废气</w:t>
            </w:r>
          </w:p>
        </w:tc>
        <w:tc>
          <w:tcPr>
            <w:tcW w:w="2528" w:type="dxa"/>
            <w:gridSpan w:val="2"/>
            <w:shd w:val="clear" w:color="auto" w:fill="auto"/>
            <w:vAlign w:val="center"/>
          </w:tcPr>
          <w:p w14:paraId="7463B1EF">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1619" w:type="dxa"/>
            <w:shd w:val="clear" w:color="auto" w:fill="auto"/>
            <w:vAlign w:val="center"/>
          </w:tcPr>
          <w:p w14:paraId="2FAE02E7">
            <w:pPr>
              <w:adjustRightInd w:val="0"/>
              <w:snapToGrid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1324" w:type="dxa"/>
            <w:shd w:val="clear" w:color="auto" w:fill="auto"/>
            <w:vAlign w:val="center"/>
          </w:tcPr>
          <w:p w14:paraId="41B2331B">
            <w:pPr>
              <w:pStyle w:val="94"/>
              <w:spacing w:before="24" w:after="24"/>
              <w:rPr>
                <w:rFonts w:hint="eastAsia" w:ascii="Times New Roman" w:hAnsi="Times New Roman" w:eastAsia="宋体" w:cs="Times New Roman"/>
                <w:szCs w:val="21"/>
                <w:highlight w:val="none"/>
                <w:lang w:val="en-US" w:eastAsia="zh-CN"/>
              </w:rPr>
            </w:pPr>
            <w:r>
              <w:rPr>
                <w:rFonts w:hint="eastAsia" w:ascii="Times New Roman" w:cs="Times New Roman"/>
                <w:szCs w:val="21"/>
                <w:highlight w:val="none"/>
                <w:lang w:val="en-US" w:eastAsia="zh-CN"/>
              </w:rPr>
              <w:t>/</w:t>
            </w:r>
          </w:p>
        </w:tc>
        <w:tc>
          <w:tcPr>
            <w:tcW w:w="1698" w:type="dxa"/>
            <w:shd w:val="clear" w:color="auto" w:fill="auto"/>
            <w:vAlign w:val="center"/>
          </w:tcPr>
          <w:p w14:paraId="6C5F6ED1">
            <w:pPr>
              <w:adjustRightInd w:val="0"/>
              <w:snapToGrid w:val="0"/>
              <w:jc w:val="center"/>
              <w:rPr>
                <w:rFonts w:hint="default" w:ascii="Times New Roman" w:hAnsi="Times New Roman" w:eastAsia="宋体" w:cs="Times New Roman"/>
                <w:sz w:val="21"/>
                <w:szCs w:val="21"/>
                <w:highlight w:val="none"/>
              </w:rPr>
            </w:pPr>
            <w:r>
              <w:rPr>
                <w:rFonts w:hint="eastAsia" w:cs="Times New Roman"/>
                <w:szCs w:val="21"/>
                <w:highlight w:val="none"/>
                <w:lang w:val="en-US" w:eastAsia="zh-CN"/>
              </w:rPr>
              <w:t>/</w:t>
            </w:r>
          </w:p>
        </w:tc>
        <w:tc>
          <w:tcPr>
            <w:tcW w:w="1488" w:type="dxa"/>
            <w:shd w:val="clear" w:color="auto" w:fill="auto"/>
            <w:vAlign w:val="center"/>
          </w:tcPr>
          <w:p w14:paraId="242B4A3A">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0.175t/a</w:t>
            </w:r>
          </w:p>
        </w:tc>
        <w:tc>
          <w:tcPr>
            <w:tcW w:w="1428" w:type="dxa"/>
            <w:shd w:val="clear" w:color="auto" w:fill="auto"/>
            <w:vAlign w:val="center"/>
          </w:tcPr>
          <w:p w14:paraId="2BCB681E">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1524" w:type="dxa"/>
            <w:shd w:val="clear" w:color="auto" w:fill="auto"/>
            <w:vAlign w:val="center"/>
          </w:tcPr>
          <w:p w14:paraId="35660098">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0.175t/a</w:t>
            </w:r>
          </w:p>
        </w:tc>
        <w:tc>
          <w:tcPr>
            <w:tcW w:w="1449" w:type="dxa"/>
            <w:shd w:val="clear" w:color="auto" w:fill="auto"/>
            <w:vAlign w:val="center"/>
          </w:tcPr>
          <w:p w14:paraId="25319BD1">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+0.175t/a</w:t>
            </w:r>
          </w:p>
        </w:tc>
      </w:tr>
      <w:tr w14:paraId="5CA055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689A1EDA">
            <w:pPr>
              <w:pStyle w:val="94"/>
              <w:spacing w:beforeLines="0" w:afterLines="0" w:line="240" w:lineRule="auto"/>
              <w:rPr>
                <w:rFonts w:hint="default" w:ascii="Times New Roman" w:hAnsi="Times New Roman" w:cs="Times New Roman"/>
                <w:snapToGrid w:val="0"/>
                <w:kern w:val="21"/>
                <w:szCs w:val="21"/>
                <w:highlight w:val="none"/>
              </w:rPr>
            </w:pPr>
            <w:r>
              <w:rPr>
                <w:rFonts w:hint="default" w:ascii="Times New Roman" w:hAnsi="Times New Roman" w:cs="Times New Roman"/>
                <w:snapToGrid w:val="0"/>
                <w:kern w:val="21"/>
                <w:szCs w:val="21"/>
                <w:highlight w:val="none"/>
              </w:rPr>
              <w:t>废水</w:t>
            </w:r>
          </w:p>
        </w:tc>
        <w:tc>
          <w:tcPr>
            <w:tcW w:w="2528" w:type="dxa"/>
            <w:gridSpan w:val="2"/>
            <w:vAlign w:val="center"/>
          </w:tcPr>
          <w:p w14:paraId="0BBE78EE">
            <w:pPr>
              <w:pStyle w:val="94"/>
              <w:spacing w:before="24" w:after="24" w:line="360" w:lineRule="exact"/>
              <w:rPr>
                <w:rFonts w:hint="eastAsia" w:ascii="Times New Roman" w:hAnsi="Times New Roman" w:eastAsia="宋体" w:cs="Times New Roman"/>
                <w:snapToGrid w:val="0"/>
                <w:kern w:val="21"/>
                <w:szCs w:val="21"/>
                <w:highlight w:val="none"/>
                <w:lang w:val="en-US" w:eastAsia="zh-CN"/>
              </w:rPr>
            </w:pPr>
            <w:r>
              <w:rPr>
                <w:rFonts w:hint="eastAsia" w:ascii="Times New Roman" w:cs="Times New Roman"/>
                <w:snapToGrid w:val="0"/>
                <w:kern w:val="21"/>
                <w:szCs w:val="21"/>
                <w:highlight w:val="none"/>
                <w:lang w:val="en-US" w:eastAsia="zh-CN"/>
              </w:rPr>
              <w:t>/</w:t>
            </w:r>
          </w:p>
        </w:tc>
        <w:tc>
          <w:tcPr>
            <w:tcW w:w="1619" w:type="dxa"/>
            <w:vAlign w:val="center"/>
          </w:tcPr>
          <w:p w14:paraId="25320094">
            <w:pPr>
              <w:adjustRightInd w:val="0"/>
              <w:snapToGrid w:val="0"/>
              <w:jc w:val="center"/>
              <w:rPr>
                <w:rFonts w:hint="default" w:ascii="Times New Roman" w:hAnsi="Times New Roman" w:cs="Times New Roman"/>
                <w:snapToGrid w:val="0"/>
                <w:kern w:val="21"/>
                <w:szCs w:val="21"/>
                <w:highlight w:val="none"/>
              </w:rPr>
            </w:pPr>
            <w:r>
              <w:rPr>
                <w:rFonts w:hint="eastAsia" w:cs="Times New Roman"/>
                <w:szCs w:val="21"/>
                <w:highlight w:val="none"/>
                <w:lang w:val="en-US" w:eastAsia="zh-CN"/>
              </w:rPr>
              <w:t>/</w:t>
            </w:r>
          </w:p>
        </w:tc>
        <w:tc>
          <w:tcPr>
            <w:tcW w:w="1324" w:type="dxa"/>
            <w:vAlign w:val="center"/>
          </w:tcPr>
          <w:p w14:paraId="0A4CF780">
            <w:pPr>
              <w:pStyle w:val="94"/>
              <w:spacing w:before="24" w:after="24"/>
              <w:rPr>
                <w:rFonts w:hint="default" w:ascii="Times New Roman" w:hAnsi="Times New Roman" w:eastAsia="宋体" w:cs="Times New Roman"/>
                <w:snapToGrid w:val="0"/>
                <w:kern w:val="21"/>
                <w:sz w:val="21"/>
                <w:szCs w:val="21"/>
                <w:highlight w:val="none"/>
              </w:rPr>
            </w:pPr>
            <w:r>
              <w:rPr>
                <w:rFonts w:hint="eastAsia" w:ascii="Times New Roman" w:cs="Times New Roman"/>
                <w:szCs w:val="21"/>
                <w:highlight w:val="none"/>
                <w:lang w:val="en-US" w:eastAsia="zh-CN"/>
              </w:rPr>
              <w:t>/</w:t>
            </w:r>
          </w:p>
        </w:tc>
        <w:tc>
          <w:tcPr>
            <w:tcW w:w="1698" w:type="dxa"/>
            <w:vAlign w:val="center"/>
          </w:tcPr>
          <w:p w14:paraId="45BF92C9">
            <w:pPr>
              <w:adjustRightInd w:val="0"/>
              <w:snapToGrid w:val="0"/>
              <w:jc w:val="center"/>
              <w:rPr>
                <w:rFonts w:hint="default" w:ascii="Times New Roman" w:hAnsi="Times New Roman" w:eastAsia="宋体" w:cs="Times New Roman"/>
                <w:snapToGrid w:val="0"/>
                <w:kern w:val="21"/>
                <w:sz w:val="21"/>
                <w:szCs w:val="21"/>
                <w:highlight w:val="none"/>
              </w:rPr>
            </w:pPr>
            <w:r>
              <w:rPr>
                <w:rFonts w:hint="eastAsia" w:cs="Times New Roman"/>
                <w:szCs w:val="21"/>
                <w:highlight w:val="none"/>
                <w:lang w:val="en-US" w:eastAsia="zh-CN"/>
              </w:rPr>
              <w:t>/</w:t>
            </w:r>
          </w:p>
        </w:tc>
        <w:tc>
          <w:tcPr>
            <w:tcW w:w="1488" w:type="dxa"/>
            <w:vAlign w:val="center"/>
          </w:tcPr>
          <w:p w14:paraId="616F0614">
            <w:pPr>
              <w:pStyle w:val="94"/>
              <w:spacing w:before="24" w:after="24"/>
              <w:rPr>
                <w:rFonts w:hint="default" w:ascii="Times New Roman" w:hAnsi="Times New Roman" w:cs="Times New Roman"/>
                <w:szCs w:val="21"/>
                <w:highlight w:val="none"/>
              </w:rPr>
            </w:pPr>
            <w:r>
              <w:rPr>
                <w:rFonts w:hint="eastAsia" w:ascii="Times New Roman" w:cs="Times New Roman"/>
                <w:szCs w:val="21"/>
                <w:highlight w:val="none"/>
                <w:lang w:val="en-US" w:eastAsia="zh-CN"/>
              </w:rPr>
              <w:t>/</w:t>
            </w:r>
          </w:p>
        </w:tc>
        <w:tc>
          <w:tcPr>
            <w:tcW w:w="1428" w:type="dxa"/>
            <w:vAlign w:val="center"/>
          </w:tcPr>
          <w:p w14:paraId="7B491E08">
            <w:pPr>
              <w:adjustRightInd w:val="0"/>
              <w:snapToGrid w:val="0"/>
              <w:jc w:val="center"/>
              <w:rPr>
                <w:rFonts w:hint="default" w:ascii="Times New Roman" w:hAnsi="Times New Roman" w:cs="Times New Roman"/>
                <w:szCs w:val="21"/>
                <w:highlight w:val="none"/>
              </w:rPr>
            </w:pPr>
            <w:r>
              <w:rPr>
                <w:rFonts w:hint="eastAsia" w:cs="Times New Roman"/>
                <w:szCs w:val="21"/>
                <w:highlight w:val="none"/>
                <w:lang w:val="en-US" w:eastAsia="zh-CN"/>
              </w:rPr>
              <w:t>/</w:t>
            </w:r>
          </w:p>
        </w:tc>
        <w:tc>
          <w:tcPr>
            <w:tcW w:w="1524" w:type="dxa"/>
            <w:vAlign w:val="center"/>
          </w:tcPr>
          <w:p w14:paraId="3F1200E8">
            <w:pPr>
              <w:pStyle w:val="94"/>
              <w:spacing w:before="24" w:after="24"/>
              <w:rPr>
                <w:rFonts w:hint="default" w:ascii="Times New Roman" w:hAnsi="Times New Roman" w:cs="Times New Roman"/>
                <w:szCs w:val="21"/>
                <w:highlight w:val="none"/>
              </w:rPr>
            </w:pPr>
            <w:r>
              <w:rPr>
                <w:rFonts w:hint="eastAsia" w:ascii="Times New Roman" w:cs="Times New Roman"/>
                <w:szCs w:val="21"/>
                <w:highlight w:val="none"/>
                <w:lang w:val="en-US" w:eastAsia="zh-CN"/>
              </w:rPr>
              <w:t>/</w:t>
            </w:r>
          </w:p>
        </w:tc>
        <w:tc>
          <w:tcPr>
            <w:tcW w:w="1449" w:type="dxa"/>
            <w:shd w:val="clear" w:color="auto" w:fill="auto"/>
            <w:vAlign w:val="center"/>
          </w:tcPr>
          <w:p w14:paraId="30B9A29E">
            <w:pPr>
              <w:pStyle w:val="94"/>
              <w:spacing w:before="24" w:after="24"/>
              <w:rPr>
                <w:rFonts w:hint="default" w:ascii="Times New Roman" w:hAnsi="Times New Roman" w:cs="Times New Roman"/>
                <w:szCs w:val="21"/>
                <w:highlight w:val="none"/>
              </w:rPr>
            </w:pPr>
            <w:r>
              <w:rPr>
                <w:rFonts w:hint="eastAsia" w:ascii="Times New Roman" w:cs="Times New Roman"/>
                <w:szCs w:val="21"/>
                <w:highlight w:val="none"/>
                <w:lang w:val="en-US" w:eastAsia="zh-CN"/>
              </w:rPr>
              <w:t>/</w:t>
            </w:r>
          </w:p>
        </w:tc>
      </w:tr>
      <w:tr w14:paraId="733D5C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restart"/>
            <w:vAlign w:val="center"/>
          </w:tcPr>
          <w:p w14:paraId="26F71078">
            <w:pPr>
              <w:pStyle w:val="94"/>
              <w:spacing w:beforeLines="0" w:afterLines="0" w:line="240" w:lineRule="auto"/>
              <w:rPr>
                <w:rFonts w:hint="default" w:ascii="Times New Roman" w:hAnsi="Times New Roman" w:cs="Times New Roman"/>
                <w:snapToGrid w:val="0"/>
                <w:kern w:val="21"/>
                <w:szCs w:val="21"/>
                <w:highlight w:val="none"/>
              </w:rPr>
            </w:pPr>
            <w:r>
              <w:rPr>
                <w:rFonts w:hint="default" w:ascii="Times New Roman" w:hAnsi="Times New Roman" w:cs="Times New Roman"/>
                <w:snapToGrid w:val="0"/>
                <w:kern w:val="21"/>
                <w:szCs w:val="21"/>
                <w:highlight w:val="none"/>
              </w:rPr>
              <w:t>固体废物</w:t>
            </w:r>
          </w:p>
        </w:tc>
        <w:tc>
          <w:tcPr>
            <w:tcW w:w="1054" w:type="dxa"/>
            <w:vMerge w:val="restart"/>
            <w:shd w:val="clear" w:color="auto" w:fill="auto"/>
            <w:vAlign w:val="center"/>
          </w:tcPr>
          <w:p w14:paraId="6F3FA59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一般固废</w:t>
            </w:r>
          </w:p>
        </w:tc>
        <w:tc>
          <w:tcPr>
            <w:tcW w:w="1474" w:type="dxa"/>
            <w:shd w:val="clear" w:color="auto" w:fill="auto"/>
            <w:vAlign w:val="center"/>
          </w:tcPr>
          <w:p w14:paraId="77C024B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生活垃圾</w:t>
            </w:r>
          </w:p>
        </w:tc>
        <w:tc>
          <w:tcPr>
            <w:tcW w:w="1619" w:type="dxa"/>
            <w:shd w:val="clear" w:color="auto" w:fill="auto"/>
            <w:vAlign w:val="center"/>
          </w:tcPr>
          <w:p w14:paraId="214E37CF">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50BFCF3F">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697E95ED">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384A9078">
            <w:pPr>
              <w:pStyle w:val="283"/>
              <w:rPr>
                <w:rFonts w:hint="default" w:ascii="Times New Roman" w:hAnsi="Times New Roman" w:cs="Times New Roman"/>
                <w:highlight w:val="none"/>
                <w:lang w:val="en-US"/>
              </w:rPr>
            </w:pPr>
            <w:r>
              <w:rPr>
                <w:rFonts w:hint="eastAsia" w:cs="Times New Roman"/>
                <w:highlight w:val="none"/>
                <w:lang w:val="en-US" w:eastAsia="zh-CN"/>
              </w:rPr>
              <w:t>0.75</w:t>
            </w:r>
            <w:r>
              <w:rPr>
                <w:rFonts w:hint="default" w:ascii="Times New Roman" w:hAnsi="Times New Roman" w:cs="Times New Roman"/>
                <w:highlight w:val="none"/>
              </w:rPr>
              <w:t>t/a</w:t>
            </w:r>
          </w:p>
        </w:tc>
        <w:tc>
          <w:tcPr>
            <w:tcW w:w="1428" w:type="dxa"/>
            <w:shd w:val="clear" w:color="auto" w:fill="auto"/>
            <w:vAlign w:val="center"/>
          </w:tcPr>
          <w:p w14:paraId="1F953099">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397631BA">
            <w:pPr>
              <w:pStyle w:val="283"/>
              <w:rPr>
                <w:rFonts w:hint="default" w:ascii="Times New Roman" w:hAnsi="Times New Roman" w:cs="Times New Roman"/>
                <w:highlight w:val="none"/>
                <w:lang w:val="en-US"/>
              </w:rPr>
            </w:pPr>
            <w:r>
              <w:rPr>
                <w:rFonts w:hint="eastAsia" w:cs="Times New Roman"/>
                <w:highlight w:val="none"/>
                <w:lang w:val="en-US" w:eastAsia="zh-CN"/>
              </w:rPr>
              <w:t>0.75</w:t>
            </w:r>
            <w:r>
              <w:rPr>
                <w:rFonts w:hint="default" w:ascii="Times New Roman" w:hAnsi="Times New Roman" w:cs="Times New Roman"/>
                <w:highlight w:val="none"/>
              </w:rPr>
              <w:t>t/a</w:t>
            </w:r>
          </w:p>
        </w:tc>
        <w:tc>
          <w:tcPr>
            <w:tcW w:w="1449" w:type="dxa"/>
            <w:shd w:val="clear" w:color="auto" w:fill="auto"/>
            <w:vAlign w:val="center"/>
          </w:tcPr>
          <w:p w14:paraId="065E85BD">
            <w:pPr>
              <w:pStyle w:val="283"/>
              <w:rPr>
                <w:rFonts w:hint="default" w:ascii="Times New Roman" w:hAnsi="Times New Roman" w:cs="Times New Roman"/>
                <w:highlight w:val="none"/>
                <w:lang w:val="en-US"/>
              </w:rPr>
            </w:pPr>
            <w:r>
              <w:rPr>
                <w:rFonts w:hint="eastAsia" w:cs="Times New Roman"/>
                <w:highlight w:val="none"/>
                <w:lang w:val="en-US" w:eastAsia="zh-CN"/>
              </w:rPr>
              <w:t>+0.75</w:t>
            </w:r>
            <w:r>
              <w:rPr>
                <w:rFonts w:hint="default" w:ascii="Times New Roman" w:hAnsi="Times New Roman" w:cs="Times New Roman"/>
                <w:highlight w:val="none"/>
              </w:rPr>
              <w:t>t/a</w:t>
            </w:r>
          </w:p>
        </w:tc>
      </w:tr>
      <w:tr w14:paraId="31972B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vAlign w:val="center"/>
          </w:tcPr>
          <w:p w14:paraId="1424E14D">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continue"/>
            <w:shd w:val="clear" w:color="auto" w:fill="auto"/>
            <w:vAlign w:val="center"/>
          </w:tcPr>
          <w:p w14:paraId="65E411D3">
            <w:pPr>
              <w:topLinePunct/>
              <w:adjustRightInd w:val="0"/>
              <w:snapToGrid w:val="0"/>
              <w:jc w:val="center"/>
              <w:rPr>
                <w:rFonts w:hint="default" w:ascii="Times New Roman" w:hAnsi="Times New Roman" w:cs="Times New Roman"/>
                <w:kern w:val="0"/>
                <w:szCs w:val="21"/>
                <w:highlight w:val="none"/>
              </w:rPr>
            </w:pPr>
          </w:p>
        </w:tc>
        <w:tc>
          <w:tcPr>
            <w:tcW w:w="1474" w:type="dxa"/>
            <w:shd w:val="clear" w:color="auto" w:fill="auto"/>
            <w:vAlign w:val="center"/>
          </w:tcPr>
          <w:p w14:paraId="798CB719">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废包装材料</w:t>
            </w:r>
          </w:p>
        </w:tc>
        <w:tc>
          <w:tcPr>
            <w:tcW w:w="1619" w:type="dxa"/>
            <w:shd w:val="clear" w:color="auto" w:fill="auto"/>
            <w:vAlign w:val="center"/>
          </w:tcPr>
          <w:p w14:paraId="2659260E">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4515B72F">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6D216694">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35693A2C">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c>
          <w:tcPr>
            <w:tcW w:w="1428" w:type="dxa"/>
            <w:shd w:val="clear" w:color="auto" w:fill="auto"/>
            <w:vAlign w:val="center"/>
          </w:tcPr>
          <w:p w14:paraId="20E96DF2">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362BAD17">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c>
          <w:tcPr>
            <w:tcW w:w="1449" w:type="dxa"/>
            <w:shd w:val="clear" w:color="auto" w:fill="auto"/>
            <w:vAlign w:val="center"/>
          </w:tcPr>
          <w:p w14:paraId="449C0C78">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r>
      <w:tr w14:paraId="1F2869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vAlign w:val="center"/>
          </w:tcPr>
          <w:p w14:paraId="0F6D2B37">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continue"/>
            <w:shd w:val="clear" w:color="auto" w:fill="auto"/>
            <w:vAlign w:val="center"/>
          </w:tcPr>
          <w:p w14:paraId="6A1FA2A9">
            <w:pPr>
              <w:topLinePunct/>
              <w:adjustRightInd w:val="0"/>
              <w:snapToGrid w:val="0"/>
              <w:jc w:val="center"/>
              <w:rPr>
                <w:rFonts w:hint="default" w:ascii="Times New Roman" w:hAnsi="Times New Roman" w:cs="Times New Roman"/>
                <w:kern w:val="0"/>
                <w:szCs w:val="21"/>
                <w:highlight w:val="none"/>
              </w:rPr>
            </w:pPr>
          </w:p>
        </w:tc>
        <w:tc>
          <w:tcPr>
            <w:tcW w:w="1474" w:type="dxa"/>
            <w:shd w:val="clear" w:color="auto" w:fill="auto"/>
            <w:vAlign w:val="center"/>
          </w:tcPr>
          <w:p w14:paraId="5AB02AC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边角料</w:t>
            </w:r>
          </w:p>
        </w:tc>
        <w:tc>
          <w:tcPr>
            <w:tcW w:w="1619" w:type="dxa"/>
            <w:shd w:val="clear" w:color="auto" w:fill="auto"/>
            <w:vAlign w:val="center"/>
          </w:tcPr>
          <w:p w14:paraId="3364DD2B">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3F859728">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0304BFE3">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68421F96">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c>
          <w:tcPr>
            <w:tcW w:w="1428" w:type="dxa"/>
            <w:shd w:val="clear" w:color="auto" w:fill="auto"/>
            <w:vAlign w:val="center"/>
          </w:tcPr>
          <w:p w14:paraId="4BC29935">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037C5D53">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c>
          <w:tcPr>
            <w:tcW w:w="1449" w:type="dxa"/>
            <w:shd w:val="clear" w:color="auto" w:fill="auto"/>
            <w:vAlign w:val="center"/>
          </w:tcPr>
          <w:p w14:paraId="5514EF2D">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r>
      <w:bookmarkEnd w:id="17"/>
      <w:tr w14:paraId="6D3EC3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tcPr>
          <w:p w14:paraId="6C6E4490">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continue"/>
            <w:shd w:val="clear" w:color="auto" w:fill="auto"/>
            <w:vAlign w:val="center"/>
          </w:tcPr>
          <w:p w14:paraId="5D4949A3">
            <w:pPr>
              <w:topLinePunct/>
              <w:adjustRightInd w:val="0"/>
              <w:snapToGrid w:val="0"/>
              <w:jc w:val="center"/>
              <w:rPr>
                <w:rFonts w:hint="default" w:ascii="Times New Roman" w:hAnsi="Times New Roman" w:cs="Times New Roman"/>
                <w:kern w:val="0"/>
                <w:szCs w:val="21"/>
                <w:highlight w:val="none"/>
              </w:rPr>
            </w:pPr>
          </w:p>
        </w:tc>
        <w:tc>
          <w:tcPr>
            <w:tcW w:w="1474" w:type="dxa"/>
            <w:shd w:val="clear" w:color="auto" w:fill="auto"/>
            <w:vAlign w:val="center"/>
          </w:tcPr>
          <w:p w14:paraId="5F9ADFD5">
            <w:pPr>
              <w:topLinePunct/>
              <w:adjustRightInd w:val="0"/>
              <w:snapToGrid w:val="0"/>
              <w:jc w:val="center"/>
              <w:rPr>
                <w:rFonts w:hint="default" w:ascii="Times New Roman" w:hAnsi="Times New Roman" w:eastAsia="宋体" w:cs="Times New Roman"/>
                <w:kern w:val="0"/>
                <w:szCs w:val="21"/>
                <w:highlight w:val="none"/>
                <w:lang w:val="en-US" w:eastAsia="zh-CN"/>
              </w:rPr>
            </w:pPr>
            <w:r>
              <w:rPr>
                <w:rFonts w:hint="eastAsia" w:cs="Times New Roman"/>
                <w:kern w:val="0"/>
                <w:szCs w:val="21"/>
                <w:highlight w:val="none"/>
                <w:lang w:val="en-US" w:eastAsia="zh-CN"/>
              </w:rPr>
              <w:t>不合格产品</w:t>
            </w:r>
          </w:p>
        </w:tc>
        <w:tc>
          <w:tcPr>
            <w:tcW w:w="1619" w:type="dxa"/>
            <w:shd w:val="clear" w:color="auto" w:fill="auto"/>
            <w:vAlign w:val="center"/>
          </w:tcPr>
          <w:p w14:paraId="5389E49D">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6C144D00">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61DADD67">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246CA18B">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c>
          <w:tcPr>
            <w:tcW w:w="1428" w:type="dxa"/>
            <w:shd w:val="clear" w:color="auto" w:fill="auto"/>
            <w:vAlign w:val="center"/>
          </w:tcPr>
          <w:p w14:paraId="767E2543">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60687E63">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c>
          <w:tcPr>
            <w:tcW w:w="1449" w:type="dxa"/>
            <w:shd w:val="clear" w:color="auto" w:fill="auto"/>
            <w:vAlign w:val="center"/>
          </w:tcPr>
          <w:p w14:paraId="23C59055">
            <w:pPr>
              <w:pStyle w:val="283"/>
              <w:rPr>
                <w:rFonts w:hint="default" w:ascii="Times New Roman" w:hAnsi="Times New Roman" w:cs="Times New Roman"/>
                <w:highlight w:val="none"/>
                <w:lang w:val="en-US"/>
              </w:rPr>
            </w:pPr>
            <w:r>
              <w:rPr>
                <w:rFonts w:hint="eastAsia" w:cs="Times New Roman"/>
                <w:highlight w:val="none"/>
                <w:lang w:val="en-US" w:eastAsia="zh-CN"/>
              </w:rPr>
              <w:t>+0.45</w:t>
            </w:r>
            <w:r>
              <w:rPr>
                <w:rFonts w:hint="default" w:ascii="Times New Roman" w:hAnsi="Times New Roman" w:cs="Times New Roman"/>
                <w:highlight w:val="none"/>
              </w:rPr>
              <w:t>t/a</w:t>
            </w:r>
          </w:p>
        </w:tc>
      </w:tr>
      <w:tr w14:paraId="047AA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tcPr>
          <w:p w14:paraId="1BE78EEA">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restart"/>
            <w:shd w:val="clear" w:color="auto" w:fill="auto"/>
            <w:vAlign w:val="center"/>
          </w:tcPr>
          <w:p w14:paraId="1D62607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w:t>
            </w:r>
          </w:p>
        </w:tc>
        <w:tc>
          <w:tcPr>
            <w:tcW w:w="1474" w:type="dxa"/>
            <w:shd w:val="clear" w:color="auto" w:fill="auto"/>
            <w:vAlign w:val="center"/>
          </w:tcPr>
          <w:p w14:paraId="621C0E5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废润滑油</w:t>
            </w:r>
          </w:p>
        </w:tc>
        <w:tc>
          <w:tcPr>
            <w:tcW w:w="1619" w:type="dxa"/>
            <w:shd w:val="clear" w:color="auto" w:fill="auto"/>
            <w:vAlign w:val="center"/>
          </w:tcPr>
          <w:p w14:paraId="69603B7C">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2BD6F03F">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6FCB5F73">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6819B251">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0.1</w:t>
            </w:r>
            <w:r>
              <w:rPr>
                <w:rFonts w:hint="default" w:ascii="Times New Roman" w:hAnsi="Times New Roman" w:cs="Times New Roman"/>
                <w:highlight w:val="none"/>
              </w:rPr>
              <w:t>t/a</w:t>
            </w:r>
          </w:p>
        </w:tc>
        <w:tc>
          <w:tcPr>
            <w:tcW w:w="1428" w:type="dxa"/>
            <w:shd w:val="clear" w:color="auto" w:fill="auto"/>
            <w:vAlign w:val="center"/>
          </w:tcPr>
          <w:p w14:paraId="3CDAAADD">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2BD9A72B">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0.1</w:t>
            </w:r>
            <w:r>
              <w:rPr>
                <w:rFonts w:hint="default" w:ascii="Times New Roman" w:hAnsi="Times New Roman" w:cs="Times New Roman"/>
                <w:highlight w:val="none"/>
              </w:rPr>
              <w:t>t/a</w:t>
            </w:r>
          </w:p>
        </w:tc>
        <w:tc>
          <w:tcPr>
            <w:tcW w:w="1449" w:type="dxa"/>
            <w:shd w:val="clear" w:color="auto" w:fill="auto"/>
            <w:vAlign w:val="center"/>
          </w:tcPr>
          <w:p w14:paraId="57EEF004">
            <w:pPr>
              <w:pStyle w:val="283"/>
              <w:rPr>
                <w:rFonts w:hint="default" w:ascii="Times New Roman" w:hAnsi="Times New Roman" w:cs="Times New Roman"/>
                <w:highlight w:val="none"/>
                <w:lang w:val="en-US"/>
              </w:rPr>
            </w:pP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rPr>
              <w:t>0.1</w:t>
            </w:r>
            <w:r>
              <w:rPr>
                <w:rFonts w:hint="default" w:ascii="Times New Roman" w:hAnsi="Times New Roman" w:cs="Times New Roman"/>
                <w:highlight w:val="none"/>
              </w:rPr>
              <w:t>t/a</w:t>
            </w:r>
          </w:p>
        </w:tc>
      </w:tr>
      <w:tr w14:paraId="7654C9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tcPr>
          <w:p w14:paraId="70CB9AEC">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continue"/>
            <w:shd w:val="clear" w:color="auto" w:fill="auto"/>
            <w:vAlign w:val="center"/>
          </w:tcPr>
          <w:p w14:paraId="4E034A77">
            <w:pPr>
              <w:topLinePunct/>
              <w:adjustRightInd w:val="0"/>
              <w:snapToGrid w:val="0"/>
              <w:jc w:val="center"/>
              <w:rPr>
                <w:rFonts w:hint="default" w:ascii="Times New Roman" w:hAnsi="Times New Roman" w:cs="Times New Roman"/>
                <w:kern w:val="0"/>
                <w:szCs w:val="21"/>
                <w:highlight w:val="none"/>
              </w:rPr>
            </w:pPr>
          </w:p>
        </w:tc>
        <w:tc>
          <w:tcPr>
            <w:tcW w:w="1474" w:type="dxa"/>
            <w:shd w:val="clear" w:color="auto" w:fill="auto"/>
            <w:vAlign w:val="center"/>
          </w:tcPr>
          <w:p w14:paraId="6F4CA57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废润滑油桶</w:t>
            </w:r>
          </w:p>
        </w:tc>
        <w:tc>
          <w:tcPr>
            <w:tcW w:w="1619" w:type="dxa"/>
            <w:shd w:val="clear" w:color="auto" w:fill="auto"/>
            <w:vAlign w:val="center"/>
          </w:tcPr>
          <w:p w14:paraId="6A740E08">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014B406C">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3EF317D9">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0EE6A48C">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0.1</w:t>
            </w:r>
            <w:r>
              <w:rPr>
                <w:rFonts w:hint="default" w:ascii="Times New Roman" w:hAnsi="Times New Roman" w:cs="Times New Roman"/>
                <w:highlight w:val="none"/>
              </w:rPr>
              <w:t>t/a</w:t>
            </w:r>
          </w:p>
        </w:tc>
        <w:tc>
          <w:tcPr>
            <w:tcW w:w="1428" w:type="dxa"/>
            <w:shd w:val="clear" w:color="auto" w:fill="auto"/>
            <w:vAlign w:val="center"/>
          </w:tcPr>
          <w:p w14:paraId="41433D17">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4B8B77F7">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0.1</w:t>
            </w:r>
            <w:r>
              <w:rPr>
                <w:rFonts w:hint="default" w:ascii="Times New Roman" w:hAnsi="Times New Roman" w:cs="Times New Roman"/>
                <w:highlight w:val="none"/>
              </w:rPr>
              <w:t>t/a</w:t>
            </w:r>
          </w:p>
        </w:tc>
        <w:tc>
          <w:tcPr>
            <w:tcW w:w="1449" w:type="dxa"/>
            <w:shd w:val="clear" w:color="auto" w:fill="auto"/>
            <w:vAlign w:val="center"/>
          </w:tcPr>
          <w:p w14:paraId="40862C0D">
            <w:pPr>
              <w:pStyle w:val="283"/>
              <w:rPr>
                <w:rFonts w:hint="default" w:ascii="Times New Roman" w:hAnsi="Times New Roman" w:cs="Times New Roman"/>
                <w:highlight w:val="none"/>
                <w:lang w:val="en-US"/>
              </w:rPr>
            </w:pP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rPr>
              <w:t>0.1</w:t>
            </w:r>
            <w:r>
              <w:rPr>
                <w:rFonts w:hint="default" w:ascii="Times New Roman" w:hAnsi="Times New Roman" w:cs="Times New Roman"/>
                <w:highlight w:val="none"/>
              </w:rPr>
              <w:t>t/a</w:t>
            </w:r>
          </w:p>
        </w:tc>
      </w:tr>
      <w:tr w14:paraId="410CE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tcPr>
          <w:p w14:paraId="750A37E6">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continue"/>
            <w:shd w:val="clear" w:color="auto" w:fill="auto"/>
            <w:vAlign w:val="center"/>
          </w:tcPr>
          <w:p w14:paraId="240F7395">
            <w:pPr>
              <w:pStyle w:val="283"/>
              <w:rPr>
                <w:rFonts w:hint="default" w:ascii="Times New Roman" w:hAnsi="Times New Roman" w:cs="Times New Roman"/>
                <w:highlight w:val="none"/>
                <w:lang w:val="en-US"/>
              </w:rPr>
            </w:pPr>
          </w:p>
        </w:tc>
        <w:tc>
          <w:tcPr>
            <w:tcW w:w="1474" w:type="dxa"/>
            <w:shd w:val="clear" w:color="auto" w:fill="auto"/>
            <w:vAlign w:val="center"/>
          </w:tcPr>
          <w:p w14:paraId="7FD1ECDF">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废活性炭</w:t>
            </w:r>
          </w:p>
        </w:tc>
        <w:tc>
          <w:tcPr>
            <w:tcW w:w="1619" w:type="dxa"/>
            <w:shd w:val="clear" w:color="auto" w:fill="auto"/>
            <w:vAlign w:val="center"/>
          </w:tcPr>
          <w:p w14:paraId="33792DBC">
            <w:pPr>
              <w:adjustRightInd w:val="0"/>
              <w:snapToGrid w:val="0"/>
              <w:jc w:val="center"/>
              <w:rPr>
                <w:rFonts w:hint="default" w:ascii="Times New Roman" w:hAnsi="Times New Roman" w:cs="Times New Roman"/>
                <w:kern w:val="0"/>
                <w:szCs w:val="21"/>
                <w:highlight w:val="none"/>
              </w:rPr>
            </w:pPr>
            <w:r>
              <w:rPr>
                <w:rFonts w:hint="eastAsia" w:cs="Times New Roman"/>
                <w:szCs w:val="21"/>
                <w:highlight w:val="none"/>
                <w:lang w:val="en-US" w:eastAsia="zh-CN"/>
              </w:rPr>
              <w:t>/</w:t>
            </w:r>
          </w:p>
        </w:tc>
        <w:tc>
          <w:tcPr>
            <w:tcW w:w="1324" w:type="dxa"/>
            <w:shd w:val="clear" w:color="auto" w:fill="auto"/>
            <w:vAlign w:val="center"/>
          </w:tcPr>
          <w:p w14:paraId="4ADC4F8D">
            <w:pPr>
              <w:pStyle w:val="94"/>
              <w:spacing w:before="24" w:after="24"/>
              <w:rPr>
                <w:rFonts w:hint="default" w:ascii="Times New Roman" w:hAnsi="Times New Roman" w:cs="Times New Roman"/>
                <w:highlight w:val="none"/>
                <w:lang w:val="en-US"/>
              </w:rPr>
            </w:pPr>
            <w:r>
              <w:rPr>
                <w:rFonts w:hint="eastAsia" w:ascii="Times New Roman" w:cs="Times New Roman"/>
                <w:szCs w:val="21"/>
                <w:highlight w:val="none"/>
                <w:lang w:val="en-US" w:eastAsia="zh-CN"/>
              </w:rPr>
              <w:t>/</w:t>
            </w:r>
          </w:p>
        </w:tc>
        <w:tc>
          <w:tcPr>
            <w:tcW w:w="1698" w:type="dxa"/>
            <w:shd w:val="clear" w:color="auto" w:fill="auto"/>
            <w:vAlign w:val="center"/>
          </w:tcPr>
          <w:p w14:paraId="00E4AE4A">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488" w:type="dxa"/>
            <w:shd w:val="clear" w:color="auto" w:fill="auto"/>
            <w:vAlign w:val="center"/>
          </w:tcPr>
          <w:p w14:paraId="5FFF0D18">
            <w:pPr>
              <w:pStyle w:val="283"/>
              <w:rPr>
                <w:rFonts w:hint="default" w:ascii="Times New Roman" w:hAnsi="Times New Roman" w:cs="Times New Roman"/>
                <w:highlight w:val="none"/>
                <w:lang w:val="en-US"/>
              </w:rPr>
            </w:pPr>
            <w:r>
              <w:rPr>
                <w:rFonts w:hint="eastAsia" w:cs="Times New Roman"/>
                <w:highlight w:val="none"/>
                <w:lang w:val="en-US" w:eastAsia="zh-CN"/>
              </w:rPr>
              <w:t>5.719</w:t>
            </w:r>
            <w:r>
              <w:rPr>
                <w:rFonts w:hint="default" w:ascii="Times New Roman" w:hAnsi="Times New Roman" w:cs="Times New Roman"/>
                <w:highlight w:val="none"/>
              </w:rPr>
              <w:t>t/a</w:t>
            </w:r>
          </w:p>
        </w:tc>
        <w:tc>
          <w:tcPr>
            <w:tcW w:w="1428" w:type="dxa"/>
            <w:shd w:val="clear" w:color="auto" w:fill="auto"/>
            <w:vAlign w:val="center"/>
          </w:tcPr>
          <w:p w14:paraId="56A6451C">
            <w:pPr>
              <w:adjustRightInd w:val="0"/>
              <w:snapToGrid w:val="0"/>
              <w:jc w:val="center"/>
              <w:rPr>
                <w:rFonts w:hint="default" w:ascii="Times New Roman" w:hAnsi="Times New Roman" w:cs="Times New Roman"/>
                <w:highlight w:val="none"/>
                <w:lang w:val="en-US"/>
              </w:rPr>
            </w:pPr>
            <w:r>
              <w:rPr>
                <w:rFonts w:hint="eastAsia" w:cs="Times New Roman"/>
                <w:szCs w:val="21"/>
                <w:highlight w:val="none"/>
                <w:lang w:val="en-US" w:eastAsia="zh-CN"/>
              </w:rPr>
              <w:t>/</w:t>
            </w:r>
          </w:p>
        </w:tc>
        <w:tc>
          <w:tcPr>
            <w:tcW w:w="1524" w:type="dxa"/>
            <w:shd w:val="clear" w:color="auto" w:fill="auto"/>
            <w:vAlign w:val="center"/>
          </w:tcPr>
          <w:p w14:paraId="43B61DFC">
            <w:pPr>
              <w:pStyle w:val="283"/>
              <w:rPr>
                <w:rFonts w:hint="default" w:ascii="Times New Roman" w:hAnsi="Times New Roman" w:cs="Times New Roman"/>
                <w:highlight w:val="none"/>
                <w:lang w:val="en-US"/>
              </w:rPr>
            </w:pPr>
            <w:r>
              <w:rPr>
                <w:rFonts w:hint="eastAsia" w:cs="Times New Roman"/>
                <w:highlight w:val="none"/>
                <w:lang w:val="en-US" w:eastAsia="zh-CN"/>
              </w:rPr>
              <w:t>5.719</w:t>
            </w:r>
            <w:r>
              <w:rPr>
                <w:rFonts w:hint="default" w:ascii="Times New Roman" w:hAnsi="Times New Roman" w:cs="Times New Roman"/>
                <w:highlight w:val="none"/>
              </w:rPr>
              <w:t>t/a</w:t>
            </w:r>
          </w:p>
        </w:tc>
        <w:tc>
          <w:tcPr>
            <w:tcW w:w="1449" w:type="dxa"/>
            <w:shd w:val="clear" w:color="auto" w:fill="auto"/>
            <w:vAlign w:val="center"/>
          </w:tcPr>
          <w:p w14:paraId="3CA92C15">
            <w:pPr>
              <w:pStyle w:val="283"/>
              <w:rPr>
                <w:rFonts w:hint="default" w:ascii="Times New Roman" w:hAnsi="Times New Roman" w:cs="Times New Roman"/>
                <w:highlight w:val="none"/>
                <w:lang w:val="en-US"/>
              </w:rPr>
            </w:pPr>
            <w:r>
              <w:rPr>
                <w:rFonts w:hint="eastAsia" w:cs="Times New Roman"/>
                <w:highlight w:val="none"/>
                <w:lang w:val="en-US" w:eastAsia="zh-CN"/>
              </w:rPr>
              <w:t>+5.719</w:t>
            </w:r>
            <w:r>
              <w:rPr>
                <w:rFonts w:hint="default" w:ascii="Times New Roman" w:hAnsi="Times New Roman" w:cs="Times New Roman"/>
                <w:highlight w:val="none"/>
              </w:rPr>
              <w:t>t/a</w:t>
            </w:r>
          </w:p>
        </w:tc>
      </w:tr>
    </w:tbl>
    <w:p w14:paraId="27BF374C">
      <w:pPr>
        <w:pStyle w:val="94"/>
        <w:spacing w:beforeLines="0" w:afterLines="0" w:line="240" w:lineRule="auto"/>
        <w:jc w:val="left"/>
        <w:rPr>
          <w:rFonts w:hint="default" w:ascii="Times New Roman" w:hAnsi="Times New Roman" w:eastAsia="黑体" w:cs="Times New Roman"/>
          <w:snapToGrid w:val="0"/>
          <w:spacing w:val="-6"/>
          <w:kern w:val="21"/>
          <w:szCs w:val="21"/>
          <w:highlight w:val="none"/>
        </w:rPr>
      </w:pPr>
      <w:r>
        <w:rPr>
          <w:rFonts w:hint="default" w:ascii="Times New Roman" w:hAnsi="Times New Roman" w:eastAsia="黑体" w:cs="Times New Roman"/>
          <w:snapToGrid w:val="0"/>
          <w:kern w:val="21"/>
          <w:szCs w:val="21"/>
          <w:highlight w:val="none"/>
        </w:rPr>
        <w:t>注：</w:t>
      </w:r>
      <w:r>
        <w:rPr>
          <w:rFonts w:hint="default" w:ascii="Times New Roman" w:hAnsi="Times New Roman" w:eastAsia="黑体" w:cs="Times New Roman"/>
          <w:snapToGrid w:val="0"/>
          <w:spacing w:val="-16"/>
          <w:kern w:val="21"/>
          <w:szCs w:val="21"/>
          <w:highlight w:val="none"/>
        </w:rPr>
        <w:fldChar w:fldCharType="begin"/>
      </w:r>
      <w:r>
        <w:rPr>
          <w:rFonts w:hint="default" w:ascii="Times New Roman" w:hAnsi="Times New Roman" w:eastAsia="黑体" w:cs="Times New Roman"/>
          <w:snapToGrid w:val="0"/>
          <w:spacing w:val="-16"/>
          <w:kern w:val="21"/>
          <w:szCs w:val="21"/>
          <w:highlight w:val="none"/>
        </w:rPr>
        <w:instrText xml:space="preserve"> = 6 \* GB3 \* MERGEFORMAT </w:instrText>
      </w:r>
      <w:r>
        <w:rPr>
          <w:rFonts w:hint="default" w:ascii="Times New Roman" w:hAnsi="Times New Roman" w:eastAsia="黑体" w:cs="Times New Roman"/>
          <w:snapToGrid w:val="0"/>
          <w:spacing w:val="-16"/>
          <w:kern w:val="21"/>
          <w:szCs w:val="21"/>
          <w:highlight w:val="none"/>
        </w:rPr>
        <w:fldChar w:fldCharType="separate"/>
      </w:r>
      <w:r>
        <w:rPr>
          <w:rFonts w:hint="default" w:ascii="Times New Roman" w:hAnsi="Times New Roman" w:eastAsia="黑体" w:cs="Times New Roman"/>
          <w:szCs w:val="21"/>
          <w:highlight w:val="none"/>
        </w:rPr>
        <w:t>⑥</w:t>
      </w:r>
      <w:r>
        <w:rPr>
          <w:rFonts w:hint="default" w:ascii="Times New Roman" w:hAnsi="Times New Roman" w:eastAsia="黑体" w:cs="Times New Roman"/>
          <w:snapToGrid w:val="0"/>
          <w:spacing w:val="-16"/>
          <w:kern w:val="21"/>
          <w:szCs w:val="21"/>
          <w:highlight w:val="none"/>
        </w:rPr>
        <w:fldChar w:fldCharType="end"/>
      </w:r>
      <w:r>
        <w:rPr>
          <w:rFonts w:hint="default" w:ascii="Times New Roman" w:hAnsi="Times New Roman" w:eastAsia="黑体" w:cs="Times New Roman"/>
          <w:snapToGrid w:val="0"/>
          <w:spacing w:val="-1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1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①</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3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③</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4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④</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16"/>
          <w:kern w:val="21"/>
          <w:szCs w:val="21"/>
          <w:highlight w:val="none"/>
        </w:rPr>
        <w:fldChar w:fldCharType="begin"/>
      </w:r>
      <w:r>
        <w:rPr>
          <w:rFonts w:hint="default" w:ascii="Times New Roman" w:hAnsi="Times New Roman" w:eastAsia="黑体" w:cs="Times New Roman"/>
          <w:snapToGrid w:val="0"/>
          <w:spacing w:val="-16"/>
          <w:kern w:val="21"/>
          <w:szCs w:val="21"/>
          <w:highlight w:val="none"/>
        </w:rPr>
        <w:instrText xml:space="preserve"> = 5 \* GB3 \* MERGEFORMAT </w:instrText>
      </w:r>
      <w:r>
        <w:rPr>
          <w:rFonts w:hint="default" w:ascii="Times New Roman" w:hAnsi="Times New Roman" w:eastAsia="黑体" w:cs="Times New Roman"/>
          <w:snapToGrid w:val="0"/>
          <w:spacing w:val="-16"/>
          <w:kern w:val="21"/>
          <w:szCs w:val="21"/>
          <w:highlight w:val="none"/>
        </w:rPr>
        <w:fldChar w:fldCharType="separate"/>
      </w:r>
      <w:r>
        <w:rPr>
          <w:rFonts w:hint="default" w:ascii="Times New Roman" w:hAnsi="Times New Roman" w:eastAsia="黑体" w:cs="Times New Roman"/>
          <w:szCs w:val="21"/>
          <w:highlight w:val="none"/>
        </w:rPr>
        <w:t>⑤</w:t>
      </w:r>
      <w:r>
        <w:rPr>
          <w:rFonts w:hint="default" w:ascii="Times New Roman" w:hAnsi="Times New Roman" w:eastAsia="黑体" w:cs="Times New Roman"/>
          <w:snapToGrid w:val="0"/>
          <w:spacing w:val="-16"/>
          <w:kern w:val="21"/>
          <w:szCs w:val="21"/>
          <w:highlight w:val="none"/>
        </w:rPr>
        <w:fldChar w:fldCharType="end"/>
      </w:r>
      <w:r>
        <w:rPr>
          <w:rFonts w:hint="default" w:ascii="Times New Roman" w:hAnsi="Times New Roman" w:eastAsia="黑体" w:cs="Times New Roman"/>
          <w:snapToGrid w:val="0"/>
          <w:spacing w:val="-1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7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⑦</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16"/>
          <w:kern w:val="21"/>
          <w:szCs w:val="21"/>
          <w:highlight w:val="none"/>
        </w:rPr>
        <w:fldChar w:fldCharType="begin"/>
      </w:r>
      <w:r>
        <w:rPr>
          <w:rFonts w:hint="default" w:ascii="Times New Roman" w:hAnsi="Times New Roman" w:eastAsia="黑体" w:cs="Times New Roman"/>
          <w:snapToGrid w:val="0"/>
          <w:spacing w:val="-16"/>
          <w:kern w:val="21"/>
          <w:szCs w:val="21"/>
          <w:highlight w:val="none"/>
        </w:rPr>
        <w:instrText xml:space="preserve"> = 6 \* GB3 \* MERGEFORMAT </w:instrText>
      </w:r>
      <w:r>
        <w:rPr>
          <w:rFonts w:hint="default" w:ascii="Times New Roman" w:hAnsi="Times New Roman" w:eastAsia="黑体" w:cs="Times New Roman"/>
          <w:snapToGrid w:val="0"/>
          <w:spacing w:val="-16"/>
          <w:kern w:val="21"/>
          <w:szCs w:val="21"/>
          <w:highlight w:val="none"/>
        </w:rPr>
        <w:fldChar w:fldCharType="separate"/>
      </w:r>
      <w:r>
        <w:rPr>
          <w:rFonts w:hint="default" w:ascii="Times New Roman" w:hAnsi="Times New Roman" w:eastAsia="黑体" w:cs="Times New Roman"/>
          <w:szCs w:val="21"/>
          <w:highlight w:val="none"/>
        </w:rPr>
        <w:t>⑥</w:t>
      </w:r>
      <w:r>
        <w:rPr>
          <w:rFonts w:hint="default" w:ascii="Times New Roman" w:hAnsi="Times New Roman" w:eastAsia="黑体" w:cs="Times New Roman"/>
          <w:snapToGrid w:val="0"/>
          <w:spacing w:val="-16"/>
          <w:kern w:val="21"/>
          <w:szCs w:val="21"/>
          <w:highlight w:val="none"/>
        </w:rPr>
        <w:fldChar w:fldCharType="end"/>
      </w:r>
      <w:r>
        <w:rPr>
          <w:rFonts w:hint="default" w:ascii="Times New Roman" w:hAnsi="Times New Roman" w:eastAsia="黑体" w:cs="Times New Roman"/>
          <w:snapToGrid w:val="0"/>
          <w:spacing w:val="-1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1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①</w:t>
      </w:r>
      <w:r>
        <w:rPr>
          <w:rFonts w:hint="default" w:ascii="Times New Roman" w:hAnsi="Times New Roman" w:eastAsia="黑体" w:cs="Times New Roman"/>
          <w:snapToGrid w:val="0"/>
          <w:spacing w:val="-6"/>
          <w:kern w:val="21"/>
          <w:szCs w:val="21"/>
          <w:highlight w:val="none"/>
        </w:rPr>
        <w:fldChar w:fldCharType="end"/>
      </w:r>
    </w:p>
    <w:p w14:paraId="6DB922F1">
      <w:pPr>
        <w:rPr>
          <w:rFonts w:hint="default" w:ascii="Times New Roman" w:hAnsi="Times New Roman" w:cs="Times New Roman"/>
          <w:highlight w:val="none"/>
        </w:rPr>
        <w:sectPr>
          <w:footerReference r:id="rId8" w:type="default"/>
          <w:type w:val="continuous"/>
          <w:pgSz w:w="16840" w:h="11907" w:orient="landscape"/>
          <w:pgMar w:top="1077" w:right="1440" w:bottom="1077" w:left="1440" w:header="851" w:footer="850" w:gutter="0"/>
          <w:cols w:space="0" w:num="1"/>
          <w:docGrid w:linePitch="312" w:charSpace="0"/>
        </w:sectPr>
      </w:pPr>
    </w:p>
    <w:p w14:paraId="727E6A90">
      <w:pPr>
        <w:autoSpaceDE w:val="0"/>
        <w:autoSpaceDN w:val="0"/>
        <w:adjustRightInd w:val="0"/>
        <w:rPr>
          <w:rFonts w:hint="default" w:ascii="Times New Roman" w:hAnsi="Times New Roman" w:eastAsia="黑体" w:cs="Times New Roman"/>
          <w:highlight w:val="none"/>
        </w:rPr>
        <w:sectPr>
          <w:type w:val="continuous"/>
          <w:pgSz w:w="16840" w:h="11907" w:orient="landscape"/>
          <w:pgMar w:top="1077" w:right="1440" w:bottom="1077" w:left="1440" w:header="851" w:footer="850" w:gutter="0"/>
          <w:cols w:space="0" w:num="1"/>
          <w:docGrid w:linePitch="312" w:charSpace="0"/>
        </w:sectPr>
      </w:pPr>
    </w:p>
    <w:p w14:paraId="76CB0F9E">
      <w:pPr>
        <w:rPr>
          <w:rFonts w:hint="default" w:ascii="Times New Roman" w:hAnsi="Times New Roman" w:cs="Times New Roman"/>
          <w:b/>
          <w:bCs/>
          <w:color w:val="000000"/>
          <w:highlight w:val="none"/>
        </w:rPr>
      </w:pPr>
      <w:r>
        <w:rPr>
          <w:rFonts w:hint="default" w:ascii="Times New Roman" w:hAnsi="Times New Roman" w:cs="Times New Roman"/>
          <w:highlight w:val="none"/>
        </w:rPr>
        <mc:AlternateContent>
          <mc:Choice Requires="wps">
            <w:drawing>
              <wp:anchor distT="0" distB="0" distL="114300" distR="114300" simplePos="0" relativeHeight="251676672" behindDoc="0" locked="0" layoutInCell="1" allowOverlap="1">
                <wp:simplePos x="0" y="0"/>
                <wp:positionH relativeFrom="column">
                  <wp:posOffset>3121025</wp:posOffset>
                </wp:positionH>
                <wp:positionV relativeFrom="paragraph">
                  <wp:posOffset>8502015</wp:posOffset>
                </wp:positionV>
                <wp:extent cx="419100" cy="254000"/>
                <wp:effectExtent l="0" t="0" r="0" b="0"/>
                <wp:wrapNone/>
                <wp:docPr id="982769907" name="矩形 46"/>
                <wp:cNvGraphicFramePr/>
                <a:graphic xmlns:a="http://schemas.openxmlformats.org/drawingml/2006/main">
                  <a:graphicData uri="http://schemas.microsoft.com/office/word/2010/wordprocessingShape">
                    <wps:wsp>
                      <wps:cNvSpPr/>
                      <wps:spPr>
                        <a:xfrm>
                          <a:off x="0" y="0"/>
                          <a:ext cx="419100" cy="254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6" o:spid="_x0000_s1026" o:spt="1" style="position:absolute;left:0pt;margin-left:245.75pt;margin-top:669.45pt;height:20pt;width:33pt;z-index:251676672;v-text-anchor:middle;mso-width-relative:page;mso-height-relative:page;" fillcolor="#FFFFFF [3212]" filled="t" stroked="f" coordsize="21600,21600" o:gfxdata="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FnfGF2gAAAA0BAAAPAAAAAAAAAAEAIAAAACIAAABkcnMvZG93&#10;bnJldi54bWxQSwECFAAUAAAACACHTuJA6OIfanACAADTBAAADgAAAAAAAAABACAAAAApAQAAZHJz&#10;L2Uyb0RvYy54bWxQSwUGAAAAAAYABgBZAQAACwY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highlight w:val="none"/>
        </w:rPr>
        <w:t>附件1 委托书</w:t>
      </w:r>
    </w:p>
    <w:p w14:paraId="67232399">
      <w:pPr>
        <w:adjustRightInd w:val="0"/>
        <w:snapToGrid w:val="0"/>
        <w:ind w:firstLine="964"/>
        <w:jc w:val="center"/>
        <w:rPr>
          <w:rFonts w:hint="default" w:ascii="Times New Roman" w:hAnsi="Times New Roman" w:cs="Times New Roman"/>
          <w:b/>
          <w:bCs/>
          <w:color w:val="000000"/>
          <w:sz w:val="48"/>
          <w:szCs w:val="48"/>
          <w:highlight w:val="none"/>
        </w:rPr>
      </w:pPr>
    </w:p>
    <w:p w14:paraId="4A198085">
      <w:pPr>
        <w:spacing w:before="114" w:line="228" w:lineRule="auto"/>
        <w:jc w:val="center"/>
        <w:rPr>
          <w:rFonts w:hint="default" w:ascii="Times New Roman" w:hAnsi="Times New Roman" w:eastAsia="黑体" w:cs="Times New Roman"/>
          <w:sz w:val="35"/>
          <w:szCs w:val="35"/>
          <w:highlight w:val="none"/>
        </w:rPr>
      </w:pPr>
      <w:r>
        <w:rPr>
          <w:rFonts w:hint="default" w:ascii="Times New Roman" w:hAnsi="Times New Roman" w:eastAsia="黑体" w:cs="Times New Roman"/>
          <w:spacing w:val="-4"/>
          <w:sz w:val="44"/>
          <w:szCs w:val="44"/>
          <w:highlight w:val="none"/>
        </w:rPr>
        <w:t>委</w:t>
      </w:r>
      <w:r>
        <w:rPr>
          <w:rFonts w:hint="default" w:ascii="Times New Roman" w:hAnsi="Times New Roman" w:eastAsia="黑体" w:cs="Times New Roman"/>
          <w:spacing w:val="21"/>
          <w:sz w:val="44"/>
          <w:szCs w:val="44"/>
          <w:highlight w:val="none"/>
        </w:rPr>
        <w:t xml:space="preserve"> </w:t>
      </w:r>
      <w:r>
        <w:rPr>
          <w:rFonts w:hint="default" w:ascii="Times New Roman" w:hAnsi="Times New Roman" w:eastAsia="黑体" w:cs="Times New Roman"/>
          <w:spacing w:val="-4"/>
          <w:sz w:val="44"/>
          <w:szCs w:val="44"/>
          <w:highlight w:val="none"/>
        </w:rPr>
        <w:t>托</w:t>
      </w:r>
      <w:r>
        <w:rPr>
          <w:rFonts w:hint="default" w:ascii="Times New Roman" w:hAnsi="Times New Roman" w:eastAsia="黑体" w:cs="Times New Roman"/>
          <w:spacing w:val="33"/>
          <w:sz w:val="44"/>
          <w:szCs w:val="44"/>
          <w:highlight w:val="none"/>
        </w:rPr>
        <w:t xml:space="preserve"> </w:t>
      </w:r>
      <w:r>
        <w:rPr>
          <w:rFonts w:hint="default" w:ascii="Times New Roman" w:hAnsi="Times New Roman" w:eastAsia="黑体" w:cs="Times New Roman"/>
          <w:spacing w:val="-4"/>
          <w:sz w:val="44"/>
          <w:szCs w:val="44"/>
          <w:highlight w:val="none"/>
        </w:rPr>
        <w:t>书</w:t>
      </w:r>
    </w:p>
    <w:p w14:paraId="4F644349">
      <w:pPr>
        <w:pStyle w:val="16"/>
        <w:spacing w:line="254" w:lineRule="auto"/>
        <w:ind w:firstLine="420"/>
        <w:rPr>
          <w:rFonts w:hint="default" w:ascii="Times New Roman" w:hAnsi="Times New Roman" w:cs="Times New Roman"/>
          <w:highlight w:val="none"/>
        </w:rPr>
      </w:pPr>
    </w:p>
    <w:p w14:paraId="5476209C">
      <w:pPr>
        <w:pStyle w:val="16"/>
        <w:spacing w:line="254" w:lineRule="auto"/>
        <w:ind w:firstLine="420"/>
        <w:rPr>
          <w:rFonts w:hint="default" w:ascii="Times New Roman" w:hAnsi="Times New Roman" w:cs="Times New Roman"/>
          <w:highlight w:val="none"/>
        </w:rPr>
      </w:pPr>
    </w:p>
    <w:p w14:paraId="52CDD963">
      <w:pPr>
        <w:pStyle w:val="16"/>
        <w:spacing w:line="254" w:lineRule="auto"/>
        <w:ind w:firstLine="420"/>
        <w:rPr>
          <w:rFonts w:hint="default" w:ascii="Times New Roman" w:hAnsi="Times New Roman" w:cs="Times New Roman"/>
          <w:highlight w:val="none"/>
        </w:rPr>
      </w:pPr>
    </w:p>
    <w:p w14:paraId="3E198734">
      <w:pPr>
        <w:spacing w:before="91" w:line="220" w:lineRule="auto"/>
        <w:rPr>
          <w:rFonts w:hint="default" w:ascii="Times New Roman" w:hAnsi="Times New Roman" w:cs="Times New Roman"/>
          <w:sz w:val="28"/>
          <w:szCs w:val="28"/>
          <w:highlight w:val="none"/>
        </w:rPr>
      </w:pPr>
      <w:r>
        <w:rPr>
          <w:rFonts w:hint="default" w:ascii="Times New Roman" w:hAnsi="Times New Roman" w:cs="Times New Roman"/>
          <w:spacing w:val="-2"/>
          <w:sz w:val="28"/>
          <w:szCs w:val="28"/>
          <w:highlight w:val="none"/>
        </w:rPr>
        <w:t>淄博弘邦技术服务有限公司：</w:t>
      </w:r>
    </w:p>
    <w:p w14:paraId="7464A05E">
      <w:pPr>
        <w:keepNext w:val="0"/>
        <w:keepLines w:val="0"/>
        <w:pageBreakBefore w:val="0"/>
        <w:widowControl w:val="0"/>
        <w:kinsoku/>
        <w:wordWrap/>
        <w:overflowPunct/>
        <w:topLinePunct w:val="0"/>
        <w:autoSpaceDE/>
        <w:autoSpaceDN/>
        <w:bidi w:val="0"/>
        <w:adjustRightInd/>
        <w:snapToGrid/>
        <w:spacing w:before="0" w:beforeLines="200" w:line="411" w:lineRule="auto"/>
        <w:ind w:left="28" w:right="51" w:firstLine="567"/>
        <w:textAlignment w:val="auto"/>
        <w:rPr>
          <w:rFonts w:hint="default" w:ascii="Times New Roman" w:hAnsi="Times New Roman" w:cs="Times New Roman"/>
          <w:sz w:val="28"/>
          <w:szCs w:val="28"/>
          <w:highlight w:val="none"/>
        </w:rPr>
      </w:pPr>
      <w:r>
        <w:rPr>
          <w:rFonts w:hint="default" w:ascii="Times New Roman" w:hAnsi="Times New Roman" w:cs="Times New Roman"/>
          <w:spacing w:val="2"/>
          <w:sz w:val="28"/>
          <w:szCs w:val="28"/>
          <w:highlight w:val="none"/>
        </w:rPr>
        <w:t>根据《中华人民共和国环境影响评价法》和有关环境保护法律</w:t>
      </w:r>
      <w:r>
        <w:rPr>
          <w:rFonts w:hint="default" w:ascii="Times New Roman" w:hAnsi="Times New Roman" w:cs="Times New Roman"/>
          <w:spacing w:val="-4"/>
          <w:sz w:val="28"/>
          <w:szCs w:val="28"/>
          <w:highlight w:val="none"/>
        </w:rPr>
        <w:t>法规的要求，</w:t>
      </w:r>
      <w:r>
        <w:rPr>
          <w:rFonts w:hint="eastAsia" w:cs="Times New Roman"/>
          <w:spacing w:val="-4"/>
          <w:sz w:val="28"/>
          <w:szCs w:val="28"/>
          <w:highlight w:val="none"/>
          <w:u w:val="single"/>
          <w:lang w:eastAsia="zh-CN"/>
        </w:rPr>
        <w:t>淄博齐钰达塑业有限公司年产30万套塑料桶制品项目</w:t>
      </w:r>
      <w:r>
        <w:rPr>
          <w:rFonts w:hint="default" w:ascii="Times New Roman" w:hAnsi="Times New Roman" w:cs="Times New Roman"/>
          <w:spacing w:val="-4"/>
          <w:sz w:val="28"/>
          <w:szCs w:val="28"/>
          <w:highlight w:val="none"/>
        </w:rPr>
        <w:t>需</w:t>
      </w:r>
      <w:r>
        <w:rPr>
          <w:rFonts w:hint="default" w:ascii="Times New Roman" w:hAnsi="Times New Roman" w:cs="Times New Roman"/>
          <w:spacing w:val="-5"/>
          <w:sz w:val="28"/>
          <w:szCs w:val="28"/>
          <w:highlight w:val="none"/>
        </w:rPr>
        <w:t>进行环境影响评价。兹委托贵单位承担该项目的环境影响评价工作，望接受委托后，</w:t>
      </w:r>
      <w:r>
        <w:rPr>
          <w:rFonts w:hint="default" w:ascii="Times New Roman" w:hAnsi="Times New Roman" w:cs="Times New Roman"/>
          <w:spacing w:val="-2"/>
          <w:sz w:val="28"/>
          <w:szCs w:val="28"/>
          <w:highlight w:val="none"/>
        </w:rPr>
        <w:t>尽快开展工作。</w:t>
      </w:r>
    </w:p>
    <w:p w14:paraId="5369251E">
      <w:pPr>
        <w:pStyle w:val="16"/>
        <w:spacing w:line="287" w:lineRule="auto"/>
        <w:ind w:firstLine="420"/>
        <w:rPr>
          <w:rFonts w:hint="default" w:ascii="Times New Roman" w:hAnsi="Times New Roman" w:cs="Times New Roman"/>
          <w:highlight w:val="none"/>
        </w:rPr>
      </w:pPr>
    </w:p>
    <w:p w14:paraId="03C1CA31">
      <w:pPr>
        <w:pStyle w:val="16"/>
        <w:spacing w:line="287" w:lineRule="auto"/>
        <w:ind w:firstLine="420"/>
        <w:rPr>
          <w:rFonts w:hint="default" w:ascii="Times New Roman" w:hAnsi="Times New Roman" w:cs="Times New Roman"/>
          <w:highlight w:val="none"/>
        </w:rPr>
      </w:pPr>
    </w:p>
    <w:p w14:paraId="3C76688E">
      <w:pPr>
        <w:pStyle w:val="16"/>
        <w:spacing w:line="287" w:lineRule="auto"/>
        <w:ind w:firstLine="420"/>
        <w:rPr>
          <w:rFonts w:hint="default" w:ascii="Times New Roman" w:hAnsi="Times New Roman" w:cs="Times New Roman"/>
          <w:highlight w:val="none"/>
        </w:rPr>
      </w:pPr>
    </w:p>
    <w:p w14:paraId="2595F69D">
      <w:pPr>
        <w:pStyle w:val="16"/>
        <w:spacing w:line="288" w:lineRule="auto"/>
        <w:ind w:firstLine="420"/>
        <w:rPr>
          <w:rFonts w:hint="default" w:ascii="Times New Roman" w:hAnsi="Times New Roman" w:cs="Times New Roman"/>
          <w:highlight w:val="none"/>
        </w:rPr>
      </w:pPr>
    </w:p>
    <w:p w14:paraId="0522B583">
      <w:pPr>
        <w:pStyle w:val="16"/>
        <w:spacing w:line="288" w:lineRule="auto"/>
        <w:ind w:firstLine="420"/>
        <w:rPr>
          <w:rFonts w:hint="default" w:ascii="Times New Roman" w:hAnsi="Times New Roman" w:cs="Times New Roman"/>
          <w:highlight w:val="none"/>
        </w:rPr>
      </w:pPr>
    </w:p>
    <w:p w14:paraId="1F9A1937">
      <w:pPr>
        <w:spacing w:before="91" w:line="624" w:lineRule="exact"/>
        <w:ind w:right="71" w:firstLine="556"/>
        <w:jc w:val="center"/>
        <w:rPr>
          <w:rFonts w:hint="eastAsia" w:ascii="Times New Roman" w:hAnsi="Times New Roman" w:eastAsia="宋体" w:cs="Times New Roman"/>
          <w:sz w:val="28"/>
          <w:szCs w:val="28"/>
          <w:highlight w:val="none"/>
          <w:lang w:eastAsia="zh-CN"/>
        </w:rPr>
      </w:pPr>
      <w:r>
        <w:rPr>
          <w:rFonts w:hint="eastAsia" w:cs="Times New Roman"/>
          <w:spacing w:val="-1"/>
          <w:position w:val="26"/>
          <w:sz w:val="28"/>
          <w:szCs w:val="28"/>
          <w:highlight w:val="none"/>
          <w:lang w:val="en-US" w:eastAsia="zh-CN"/>
        </w:rPr>
        <w:t xml:space="preserve">            </w:t>
      </w:r>
      <w:r>
        <w:rPr>
          <w:rFonts w:hint="default" w:ascii="Times New Roman" w:hAnsi="Times New Roman" w:cs="Times New Roman"/>
          <w:spacing w:val="-1"/>
          <w:position w:val="26"/>
          <w:sz w:val="28"/>
          <w:szCs w:val="28"/>
          <w:highlight w:val="none"/>
        </w:rPr>
        <w:t>委托单位：</w:t>
      </w:r>
      <w:r>
        <w:rPr>
          <w:rFonts w:hint="eastAsia" w:cs="Times New Roman"/>
          <w:spacing w:val="-1"/>
          <w:position w:val="26"/>
          <w:sz w:val="28"/>
          <w:szCs w:val="28"/>
          <w:highlight w:val="none"/>
          <w:lang w:eastAsia="zh-CN"/>
        </w:rPr>
        <w:t>淄博齐钰达塑业有限公司</w:t>
      </w:r>
    </w:p>
    <w:p w14:paraId="75C6166A">
      <w:pPr>
        <w:ind w:right="1112" w:firstLine="556"/>
        <w:jc w:val="center"/>
        <w:rPr>
          <w:rFonts w:hint="default" w:ascii="Times New Roman" w:hAnsi="Times New Roman" w:cs="Times New Roman"/>
          <w:color w:val="000000"/>
          <w:szCs w:val="21"/>
          <w:highlight w:val="none"/>
        </w:rPr>
      </w:pPr>
      <w:r>
        <w:rPr>
          <w:rFonts w:hint="default" w:ascii="Times New Roman" w:hAnsi="Times New Roman" w:cs="Times New Roman"/>
          <w:spacing w:val="-1"/>
          <w:sz w:val="28"/>
          <w:szCs w:val="28"/>
          <w:highlight w:val="none"/>
        </w:rPr>
        <w:t xml:space="preserve">                    </w:t>
      </w:r>
      <w:r>
        <w:rPr>
          <w:rFonts w:hint="eastAsia" w:cs="Times New Roman"/>
          <w:spacing w:val="-1"/>
          <w:sz w:val="28"/>
          <w:szCs w:val="28"/>
          <w:highlight w:val="none"/>
          <w:lang w:val="en-US" w:eastAsia="zh-CN"/>
        </w:rPr>
        <w:t xml:space="preserve">   </w:t>
      </w:r>
      <w:r>
        <w:rPr>
          <w:rFonts w:hint="default" w:ascii="Times New Roman" w:hAnsi="Times New Roman" w:cs="Times New Roman"/>
          <w:spacing w:val="-1"/>
          <w:sz w:val="28"/>
          <w:szCs w:val="28"/>
          <w:highlight w:val="none"/>
        </w:rPr>
        <w:t>委托时间：</w:t>
      </w:r>
      <w:r>
        <w:rPr>
          <w:rFonts w:hint="default" w:ascii="Times New Roman" w:hAnsi="Times New Roman" w:eastAsia="Times New Roman" w:cs="Times New Roman"/>
          <w:spacing w:val="-1"/>
          <w:sz w:val="28"/>
          <w:szCs w:val="28"/>
          <w:highlight w:val="none"/>
        </w:rPr>
        <w:t>202</w:t>
      </w:r>
      <w:r>
        <w:rPr>
          <w:rFonts w:hint="eastAsia" w:eastAsia="宋体" w:cs="Times New Roman"/>
          <w:spacing w:val="-1"/>
          <w:sz w:val="28"/>
          <w:szCs w:val="28"/>
          <w:highlight w:val="none"/>
          <w:lang w:val="en-US" w:eastAsia="zh-CN"/>
        </w:rPr>
        <w:t>6</w:t>
      </w:r>
      <w:r>
        <w:rPr>
          <w:rFonts w:hint="default" w:ascii="Times New Roman" w:hAnsi="Times New Roman" w:eastAsia="Times New Roman" w:cs="Times New Roman"/>
          <w:spacing w:val="-1"/>
          <w:sz w:val="28"/>
          <w:szCs w:val="28"/>
          <w:highlight w:val="none"/>
        </w:rPr>
        <w:t>年</w:t>
      </w:r>
      <w:r>
        <w:rPr>
          <w:rFonts w:hint="eastAsia" w:eastAsia="宋体" w:cs="Times New Roman"/>
          <w:spacing w:val="-1"/>
          <w:sz w:val="28"/>
          <w:szCs w:val="28"/>
          <w:highlight w:val="none"/>
          <w:lang w:val="en-US" w:eastAsia="zh-CN"/>
        </w:rPr>
        <w:t>1</w:t>
      </w:r>
      <w:r>
        <w:rPr>
          <w:rFonts w:hint="default" w:ascii="Times New Roman" w:hAnsi="Times New Roman" w:eastAsia="Times New Roman" w:cs="Times New Roman"/>
          <w:spacing w:val="-1"/>
          <w:sz w:val="28"/>
          <w:szCs w:val="28"/>
          <w:highlight w:val="none"/>
        </w:rPr>
        <w:t>月</w:t>
      </w:r>
      <w:r>
        <w:rPr>
          <w:rFonts w:hint="default" w:ascii="Times New Roman" w:hAnsi="Times New Roman" w:cs="Times New Roman"/>
          <w:spacing w:val="-1"/>
          <w:sz w:val="28"/>
          <w:szCs w:val="28"/>
          <w:highlight w:val="none"/>
        </w:rPr>
        <w:t>1</w:t>
      </w:r>
      <w:r>
        <w:rPr>
          <w:rFonts w:hint="eastAsia" w:cs="Times New Roman"/>
          <w:spacing w:val="-1"/>
          <w:sz w:val="28"/>
          <w:szCs w:val="28"/>
          <w:highlight w:val="none"/>
          <w:lang w:val="en-US" w:eastAsia="zh-CN"/>
        </w:rPr>
        <w:t>0</w:t>
      </w:r>
      <w:r>
        <w:rPr>
          <w:rFonts w:hint="default" w:ascii="Times New Roman" w:hAnsi="Times New Roman" w:cs="Times New Roman"/>
          <w:spacing w:val="-1"/>
          <w:sz w:val="28"/>
          <w:szCs w:val="28"/>
          <w:highlight w:val="none"/>
        </w:rPr>
        <w:t>日</w:t>
      </w:r>
    </w:p>
    <w:p w14:paraId="4B56CCA1">
      <w:pPr>
        <w:jc w:val="left"/>
        <w:rPr>
          <w:rFonts w:hint="default" w:ascii="Times New Roman" w:hAnsi="Times New Roman" w:cs="Times New Roman"/>
          <w:b/>
          <w:bCs/>
          <w:color w:val="000000"/>
          <w:highlight w:val="none"/>
        </w:rPr>
      </w:pPr>
    </w:p>
    <w:p w14:paraId="5BF51A86">
      <w:pPr>
        <w:jc w:val="left"/>
        <w:rPr>
          <w:rFonts w:hint="default" w:ascii="Times New Roman" w:hAnsi="Times New Roman" w:cs="Times New Roman"/>
          <w:b/>
          <w:bCs/>
          <w:color w:val="000000"/>
          <w:highlight w:val="none"/>
        </w:rPr>
      </w:pPr>
    </w:p>
    <w:p w14:paraId="65075EF1">
      <w:pPr>
        <w:jc w:val="left"/>
        <w:rPr>
          <w:rFonts w:hint="default" w:ascii="Times New Roman" w:hAnsi="Times New Roman" w:cs="Times New Roman"/>
          <w:b/>
          <w:bCs/>
          <w:color w:val="000000"/>
          <w:highlight w:val="none"/>
        </w:rPr>
      </w:pPr>
    </w:p>
    <w:p w14:paraId="66D242B4">
      <w:pPr>
        <w:jc w:val="left"/>
        <w:rPr>
          <w:rFonts w:hint="default" w:ascii="Times New Roman" w:hAnsi="Times New Roman" w:cs="Times New Roman"/>
          <w:b/>
          <w:bCs/>
          <w:color w:val="000000"/>
          <w:highlight w:val="none"/>
        </w:rPr>
      </w:pPr>
    </w:p>
    <w:p w14:paraId="2B55D699">
      <w:pPr>
        <w:jc w:val="left"/>
        <w:rPr>
          <w:rFonts w:hint="default" w:ascii="Times New Roman" w:hAnsi="Times New Roman" w:cs="Times New Roman"/>
          <w:b/>
          <w:bCs/>
          <w:color w:val="000000"/>
          <w:highlight w:val="none"/>
        </w:rPr>
      </w:pPr>
    </w:p>
    <w:p w14:paraId="171671F1">
      <w:pPr>
        <w:jc w:val="left"/>
        <w:rPr>
          <w:rFonts w:hint="default" w:ascii="Times New Roman" w:hAnsi="Times New Roman" w:cs="Times New Roman"/>
          <w:b/>
          <w:bCs/>
          <w:color w:val="000000"/>
          <w:highlight w:val="none"/>
        </w:rPr>
      </w:pPr>
    </w:p>
    <w:p w14:paraId="531DF388">
      <w:pPr>
        <w:jc w:val="left"/>
        <w:rPr>
          <w:rFonts w:hint="default" w:ascii="Times New Roman" w:hAnsi="Times New Roman" w:cs="Times New Roman"/>
          <w:b/>
          <w:bCs/>
          <w:color w:val="000000"/>
          <w:highlight w:val="none"/>
        </w:rPr>
      </w:pPr>
    </w:p>
    <w:p w14:paraId="3F147F19">
      <w:pPr>
        <w:jc w:val="left"/>
        <w:rPr>
          <w:rFonts w:hint="default" w:ascii="Times New Roman" w:hAnsi="Times New Roman" w:cs="Times New Roman"/>
          <w:b/>
          <w:bCs/>
          <w:color w:val="000000"/>
          <w:highlight w:val="none"/>
        </w:rPr>
      </w:pPr>
    </w:p>
    <w:p w14:paraId="105CC1FE">
      <w:pP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br w:type="page"/>
      </w:r>
    </w:p>
    <w:p w14:paraId="518AF3EE">
      <w:pPr>
        <w:pStyle w:val="16"/>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mc:AlternateContent>
          <mc:Choice Requires="wps">
            <w:drawing>
              <wp:anchor distT="0" distB="0" distL="114300" distR="114300" simplePos="0" relativeHeight="251677696" behindDoc="0" locked="0" layoutInCell="1" allowOverlap="1">
                <wp:simplePos x="0" y="0"/>
                <wp:positionH relativeFrom="column">
                  <wp:posOffset>2473325</wp:posOffset>
                </wp:positionH>
                <wp:positionV relativeFrom="paragraph">
                  <wp:posOffset>8853805</wp:posOffset>
                </wp:positionV>
                <wp:extent cx="488950" cy="203200"/>
                <wp:effectExtent l="0" t="0" r="6350" b="6350"/>
                <wp:wrapNone/>
                <wp:docPr id="594355494" name="矩形 54"/>
                <wp:cNvGraphicFramePr/>
                <a:graphic xmlns:a="http://schemas.openxmlformats.org/drawingml/2006/main">
                  <a:graphicData uri="http://schemas.microsoft.com/office/word/2010/wordprocessingShape">
                    <wps:wsp>
                      <wps:cNvSpPr/>
                      <wps:spPr>
                        <a:xfrm>
                          <a:off x="0" y="0"/>
                          <a:ext cx="488950" cy="203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4" o:spid="_x0000_s1026" o:spt="1" style="position:absolute;left:0pt;margin-left:194.75pt;margin-top:697.15pt;height:16pt;width:38.5pt;z-index:251677696;v-text-anchor:middle;mso-width-relative:page;mso-height-relative:page;" fillcolor="#FFFFFF [3212]" filled="t" stroked="f" coordsize="21600,21600" o:gfxdata="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61I2Z3AAAAA0BAAAPAAAAAAAAAAEAIAAAACIAAABkcnMv&#10;ZG93bnJldi54bWxQSwECFAAUAAAACACHTuJAjgxVE3ECAADTBAAADgAAAAAAAAABACAAAAArAQAA&#10;ZHJzL2Uyb0RvYy54bWxQSwUGAAAAAAYABgBZAQAADgY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w:t>附件2  营业执照</w:t>
      </w:r>
    </w:p>
    <w:p w14:paraId="5ABCD650">
      <w:pPr>
        <w:spacing w:before="78" w:line="219" w:lineRule="auto"/>
        <w:ind w:left="42"/>
        <w:rPr>
          <w:rFonts w:hint="eastAsia" w:ascii="Times New Roman" w:hAnsi="Times New Roman" w:eastAsia="宋体" w:cs="Times New Roman"/>
          <w:spacing w:val="-8"/>
          <w:sz w:val="24"/>
          <w:highlight w:val="none"/>
          <w:lang w:eastAsia="zh-CN"/>
        </w:rPr>
      </w:pPr>
      <w:r>
        <w:rPr>
          <w:rFonts w:hint="eastAsia" w:ascii="Times New Roman" w:hAnsi="Times New Roman" w:eastAsia="宋体" w:cs="Times New Roman"/>
          <w:spacing w:val="-8"/>
          <w:sz w:val="24"/>
          <w:highlight w:val="none"/>
          <w:lang w:eastAsia="zh-CN"/>
        </w:rPr>
        <w:drawing>
          <wp:inline distT="0" distB="0" distL="114300" distR="114300">
            <wp:extent cx="5278120" cy="7511415"/>
            <wp:effectExtent l="0" t="0" r="17780" b="13335"/>
            <wp:docPr id="12" name="图片 12" descr="40452b9ca0e9a0978a3fdde4debf7e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0452b9ca0e9a0978a3fdde4debf7e7a"/>
                    <pic:cNvPicPr>
                      <a:picLocks noChangeAspect="1"/>
                    </pic:cNvPicPr>
                  </pic:nvPicPr>
                  <pic:blipFill>
                    <a:blip r:embed="rId49"/>
                    <a:stretch>
                      <a:fillRect/>
                    </a:stretch>
                  </pic:blipFill>
                  <pic:spPr>
                    <a:xfrm rot="10800000">
                      <a:off x="0" y="0"/>
                      <a:ext cx="5278120" cy="7511415"/>
                    </a:xfrm>
                    <a:prstGeom prst="rect">
                      <a:avLst/>
                    </a:prstGeom>
                  </pic:spPr>
                </pic:pic>
              </a:graphicData>
            </a:graphic>
          </wp:inline>
        </w:drawing>
      </w:r>
    </w:p>
    <w:p w14:paraId="1976A7A3">
      <w:pPr>
        <w:spacing w:before="78" w:line="219" w:lineRule="auto"/>
        <w:ind w:left="42"/>
        <w:rPr>
          <w:rFonts w:hint="default" w:ascii="Times New Roman" w:hAnsi="Times New Roman" w:eastAsia="黑体" w:cs="Times New Roman"/>
          <w:spacing w:val="-4"/>
          <w:sz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61312" behindDoc="0" locked="0" layoutInCell="1" allowOverlap="1">
                <wp:simplePos x="0" y="0"/>
                <wp:positionH relativeFrom="column">
                  <wp:posOffset>2479675</wp:posOffset>
                </wp:positionH>
                <wp:positionV relativeFrom="paragraph">
                  <wp:posOffset>115570</wp:posOffset>
                </wp:positionV>
                <wp:extent cx="488950" cy="565150"/>
                <wp:effectExtent l="0" t="0" r="6350" b="6350"/>
                <wp:wrapNone/>
                <wp:docPr id="1840196119" name="矩形 54"/>
                <wp:cNvGraphicFramePr/>
                <a:graphic xmlns:a="http://schemas.openxmlformats.org/drawingml/2006/main">
                  <a:graphicData uri="http://schemas.microsoft.com/office/word/2010/wordprocessingShape">
                    <wps:wsp>
                      <wps:cNvSpPr/>
                      <wps:spPr>
                        <a:xfrm>
                          <a:off x="0" y="0"/>
                          <a:ext cx="488950" cy="5651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4" o:spid="_x0000_s1026" o:spt="1" style="position:absolute;left:0pt;margin-left:195.25pt;margin-top:9.1pt;height:44.5pt;width:38.5pt;z-index:251661312;v-text-anchor:middle;mso-width-relative:page;mso-height-relative:page;" fillcolor="#FFFFFF" filled="t" stroked="f" coordsize="21600,21600" o:gfxdata="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A0Y6/ZAAAACgEAAA8AAAAAAAAA&#10;AQAgAAAAIgAAAGRycy9kb3ducmV2LnhtbFBLAQIUABQAAAAIAIdO4kC3Y4rcggIAAPIEAAAOAAAA&#10;AAAAAAEAIAAAACgBAABkcnMvZTJvRG9jLnhtbFBLBQYAAAAABgAGAFkBAAAcBgAAAAA=&#10;">
                <v:fill on="t" focussize="0,0"/>
                <v:stroke on="f" weight="1pt" miterlimit="8" joinstyle="miter"/>
                <v:imagedata o:title=""/>
                <o:lock v:ext="edit" aspectratio="f"/>
              </v:rect>
            </w:pict>
          </mc:Fallback>
        </mc:AlternateContent>
      </w:r>
      <w:r>
        <w:rPr>
          <w:rFonts w:hint="default" w:ascii="Times New Roman" w:hAnsi="Times New Roman" w:cs="Times New Roman"/>
          <w:spacing w:val="-8"/>
          <w:sz w:val="24"/>
          <w:highlight w:val="none"/>
        </w:rPr>
        <w:br w:type="page"/>
      </w:r>
    </w:p>
    <w:p w14:paraId="7809D341">
      <w:pPr>
        <w:pStyle w:val="16"/>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84864" behindDoc="0" locked="0" layoutInCell="1" allowOverlap="1">
                <wp:simplePos x="0" y="0"/>
                <wp:positionH relativeFrom="column">
                  <wp:posOffset>2060575</wp:posOffset>
                </wp:positionH>
                <wp:positionV relativeFrom="paragraph">
                  <wp:posOffset>8495665</wp:posOffset>
                </wp:positionV>
                <wp:extent cx="704850" cy="285750"/>
                <wp:effectExtent l="0" t="0" r="0" b="0"/>
                <wp:wrapNone/>
                <wp:docPr id="1521695589"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162.25pt;margin-top:668.95pt;height:22.5pt;width:55.5pt;z-index:251684864;v-text-anchor:middle;mso-width-relative:page;mso-height-relative:page;" fillcolor="#FFFFFF" filled="t" stroked="f" coordsize="21600,21600" o:gfxdata="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5t+jc9sAAAANAQAADwAAAAAA&#10;AAABACAAAAAiAAAAZHJzL2Rvd25yZXYueG1sUEsBAhQAFAAAAAgAh07iQCMNGsWCAgAA8gQAAA4A&#10;AAAAAAAAAQAgAAAAKgEAAGRycy9lMm9Eb2MueG1sUEsFBgAAAAAGAAYAWQEAAB4GA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mc:AlternateContent>
          <mc:Choice Requires="wps">
            <w:drawing>
              <wp:anchor distT="0" distB="0" distL="114300" distR="114300" simplePos="0" relativeHeight="251687936" behindDoc="0" locked="0" layoutInCell="1" allowOverlap="1">
                <wp:simplePos x="0" y="0"/>
                <wp:positionH relativeFrom="column">
                  <wp:posOffset>1851025</wp:posOffset>
                </wp:positionH>
                <wp:positionV relativeFrom="paragraph">
                  <wp:posOffset>8362315</wp:posOffset>
                </wp:positionV>
                <wp:extent cx="1390650" cy="609600"/>
                <wp:effectExtent l="0" t="0" r="0" b="0"/>
                <wp:wrapNone/>
                <wp:docPr id="84" name="矩形 59"/>
                <wp:cNvGraphicFramePr/>
                <a:graphic xmlns:a="http://schemas.openxmlformats.org/drawingml/2006/main">
                  <a:graphicData uri="http://schemas.microsoft.com/office/word/2010/wordprocessingShape">
                    <wps:wsp>
                      <wps:cNvSpPr/>
                      <wps:spPr>
                        <a:xfrm>
                          <a:off x="0" y="0"/>
                          <a:ext cx="1390650" cy="609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9" o:spid="_x0000_s1026" o:spt="1" style="position:absolute;left:0pt;margin-left:145.75pt;margin-top:658.45pt;height:48pt;width:109.5pt;z-index:251687936;v-text-anchor:middle;mso-width-relative:page;mso-height-relative:page;" fillcolor="#FFFFFF [3212]" filled="t" stroked="f" coordsize="21600,21600" o:gfxdata="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tlzP7bAAAADQEAAA8AAAAAAAAAAQAgAAAAIgAAAGRycy9kb3ducmV2&#10;LnhtbFBLAQIUABQAAAAIAIdO4kBQaKO9awIAAM0EAAAOAAAAAAAAAAEAIAAAACoBAABkcnMvZTJv&#10;RG9jLnhtbFBLBQYAAAAABgAGAFkBAAAHBg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w:t>附件3  备案证明</w:t>
      </w:r>
    </w:p>
    <w:p w14:paraId="2BFA69EA">
      <w:pPr>
        <w:spacing w:before="78" w:line="219" w:lineRule="auto"/>
        <w:ind w:left="42"/>
        <w:rPr>
          <w:rFonts w:hint="default" w:ascii="Times New Roman" w:hAnsi="Times New Roman" w:cs="Times New Roman"/>
          <w:highlight w:val="none"/>
        </w:rPr>
      </w:pPr>
      <w:r>
        <w:rPr>
          <w:highlight w:val="none"/>
        </w:rPr>
        <w:drawing>
          <wp:anchor distT="0" distB="0" distL="114300" distR="114300" simplePos="0" relativeHeight="251771904" behindDoc="0" locked="0" layoutInCell="1" allowOverlap="1">
            <wp:simplePos x="0" y="0"/>
            <wp:positionH relativeFrom="column">
              <wp:posOffset>-483235</wp:posOffset>
            </wp:positionH>
            <wp:positionV relativeFrom="paragraph">
              <wp:posOffset>70485</wp:posOffset>
            </wp:positionV>
            <wp:extent cx="6400800" cy="7663815"/>
            <wp:effectExtent l="0" t="0" r="0" b="13335"/>
            <wp:wrapNone/>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50"/>
                    <a:stretch>
                      <a:fillRect/>
                    </a:stretch>
                  </pic:blipFill>
                  <pic:spPr>
                    <a:xfrm>
                      <a:off x="0" y="0"/>
                      <a:ext cx="6400800" cy="7663815"/>
                    </a:xfrm>
                    <a:prstGeom prst="rect">
                      <a:avLst/>
                    </a:prstGeom>
                    <a:noFill/>
                    <a:ln>
                      <a:noFill/>
                    </a:ln>
                  </pic:spPr>
                </pic:pic>
              </a:graphicData>
            </a:graphic>
          </wp:anchor>
        </w:drawing>
      </w:r>
      <w:r>
        <w:rPr>
          <w:rFonts w:hint="default" w:ascii="Times New Roman" w:hAnsi="Times New Roman" w:cs="Times New Roman"/>
          <w:highlight w:val="none"/>
        </w:rPr>
        <mc:AlternateContent>
          <mc:Choice Requires="wps">
            <w:drawing>
              <wp:anchor distT="0" distB="0" distL="114300" distR="114300" simplePos="0" relativeHeight="251662336" behindDoc="0" locked="0" layoutInCell="1" allowOverlap="1">
                <wp:simplePos x="0" y="0"/>
                <wp:positionH relativeFrom="column">
                  <wp:posOffset>2225675</wp:posOffset>
                </wp:positionH>
                <wp:positionV relativeFrom="paragraph">
                  <wp:posOffset>8406765</wp:posOffset>
                </wp:positionV>
                <wp:extent cx="488950" cy="203200"/>
                <wp:effectExtent l="0" t="0" r="6350" b="6350"/>
                <wp:wrapNone/>
                <wp:docPr id="458780680" name="矩形 54"/>
                <wp:cNvGraphicFramePr/>
                <a:graphic xmlns:a="http://schemas.openxmlformats.org/drawingml/2006/main">
                  <a:graphicData uri="http://schemas.microsoft.com/office/word/2010/wordprocessingShape">
                    <wps:wsp>
                      <wps:cNvSpPr/>
                      <wps:spPr>
                        <a:xfrm>
                          <a:off x="0" y="0"/>
                          <a:ext cx="488950" cy="2032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4" o:spid="_x0000_s1026" o:spt="1" style="position:absolute;left:0pt;margin-left:175.25pt;margin-top:661.95pt;height:16pt;width:38.5pt;z-index:251662336;v-text-anchor:middle;mso-width-relative:page;mso-height-relative:page;" fillcolor="#FFFFFF" filled="t" stroked="f" coordsize="21600,21600" o:gfxdata="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flId42wAAAA0BAAAPAAAAAAAA&#10;AAEAIAAAACIAAABkcnMvZG93bnJldi54bWxQSwECFAAUAAAACACHTuJAyK0UAYECAADxBAAADgAA&#10;AAAAAAABACAAAAAqAQAAZHJzL2Uyb0RvYy54bWxQSwUGAAAAAAYABgBZAQAAHQYAAAAA&#10;">
                <v:fill on="t" focussize="0,0"/>
                <v:stroke on="f" weight="1pt" miterlimit="8" joinstyle="miter"/>
                <v:imagedata o:title=""/>
                <o:lock v:ext="edit" aspectratio="f"/>
              </v:rect>
            </w:pict>
          </mc:Fallback>
        </mc:AlternateContent>
      </w:r>
    </w:p>
    <w:p w14:paraId="40BDEEE1">
      <w:pPr>
        <w:spacing w:line="11736" w:lineRule="exact"/>
        <w:rPr>
          <w:rFonts w:hint="default" w:ascii="Times New Roman" w:hAnsi="Times New Roman" w:cs="Times New Roman"/>
          <w:highlight w:val="none"/>
        </w:rPr>
        <w:sectPr>
          <w:headerReference r:id="rId9" w:type="default"/>
          <w:footerReference r:id="rId10" w:type="default"/>
          <w:pgSz w:w="11906" w:h="16839"/>
          <w:pgMar w:top="1431" w:right="1785" w:bottom="1099" w:left="1785" w:header="0" w:footer="836" w:gutter="0"/>
          <w:cols w:space="720" w:num="1"/>
        </w:sectPr>
      </w:pPr>
    </w:p>
    <w:p w14:paraId="51820268">
      <w:pPr>
        <w:pStyle w:val="16"/>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w:t>附件4  承诺书</w:t>
      </w:r>
    </w:p>
    <w:p w14:paraId="03A3335D">
      <w:pPr>
        <w:ind w:firstLine="883"/>
        <w:jc w:val="center"/>
        <w:rPr>
          <w:rFonts w:hint="default" w:ascii="Times New Roman" w:hAnsi="Times New Roman" w:cs="Times New Roman"/>
          <w:b/>
          <w:sz w:val="44"/>
          <w:szCs w:val="44"/>
          <w:highlight w:val="none"/>
        </w:rPr>
      </w:pPr>
    </w:p>
    <w:p w14:paraId="26F639A0">
      <w:pPr>
        <w:ind w:firstLine="1767" w:firstLineChars="400"/>
        <w:rPr>
          <w:rFonts w:hint="default" w:ascii="Times New Roman" w:hAnsi="Times New Roman" w:cs="Times New Roman"/>
          <w:b/>
          <w:sz w:val="44"/>
          <w:szCs w:val="44"/>
          <w:highlight w:val="none"/>
        </w:rPr>
      </w:pPr>
      <w:r>
        <w:rPr>
          <w:rFonts w:hint="default" w:ascii="Times New Roman" w:hAnsi="Times New Roman" w:cs="Times New Roman"/>
          <w:b/>
          <w:sz w:val="44"/>
          <w:szCs w:val="44"/>
          <w:highlight w:val="none"/>
        </w:rPr>
        <w:t>环境影响</w:t>
      </w:r>
      <w:r>
        <w:rPr>
          <w:rFonts w:hint="eastAsia" w:cs="Times New Roman"/>
          <w:b/>
          <w:sz w:val="44"/>
          <w:szCs w:val="44"/>
          <w:highlight w:val="none"/>
          <w:lang w:val="en-US" w:eastAsia="zh-CN"/>
        </w:rPr>
        <w:t>评价</w:t>
      </w:r>
      <w:r>
        <w:rPr>
          <w:rFonts w:hint="default" w:ascii="Times New Roman" w:hAnsi="Times New Roman" w:cs="Times New Roman"/>
          <w:b/>
          <w:sz w:val="44"/>
          <w:szCs w:val="44"/>
          <w:highlight w:val="none"/>
        </w:rPr>
        <w:t>信息公开承诺书</w:t>
      </w:r>
    </w:p>
    <w:p w14:paraId="4F0D6380">
      <w:pPr>
        <w:ind w:firstLine="562"/>
        <w:rPr>
          <w:rFonts w:hint="default" w:ascii="Times New Roman" w:hAnsi="Times New Roman" w:cs="Times New Roman"/>
          <w:b/>
          <w:sz w:val="28"/>
          <w:szCs w:val="28"/>
          <w:highlight w:val="none"/>
        </w:rPr>
      </w:pPr>
    </w:p>
    <w:p w14:paraId="4FAEFE11">
      <w:pPr>
        <w:spacing w:before="100" w:line="476" w:lineRule="auto"/>
        <w:rPr>
          <w:rFonts w:hint="default" w:ascii="Times New Roman" w:hAnsi="Times New Roman" w:cs="Times New Roman"/>
          <w:bCs/>
          <w:sz w:val="32"/>
          <w:szCs w:val="32"/>
          <w:highlight w:val="none"/>
        </w:rPr>
      </w:pPr>
      <w:r>
        <w:rPr>
          <w:rFonts w:hint="default" w:ascii="Times New Roman" w:hAnsi="Times New Roman" w:cs="Times New Roman"/>
          <w:bCs/>
          <w:sz w:val="32"/>
          <w:szCs w:val="32"/>
          <w:highlight w:val="none"/>
        </w:rPr>
        <w:t>淄博市生态环境局临淄分局：</w:t>
      </w:r>
    </w:p>
    <w:p w14:paraId="0755A07B">
      <w:pPr>
        <w:spacing w:before="100" w:line="476" w:lineRule="auto"/>
        <w:ind w:left="23" w:firstLine="624"/>
        <w:rPr>
          <w:rFonts w:hint="default" w:ascii="Times New Roman" w:hAnsi="Times New Roman" w:cs="Times New Roman"/>
          <w:bCs/>
          <w:sz w:val="32"/>
          <w:szCs w:val="32"/>
          <w:highlight w:val="none"/>
        </w:rPr>
      </w:pPr>
      <w:r>
        <w:rPr>
          <w:rFonts w:hint="default" w:ascii="Times New Roman" w:hAnsi="Times New Roman" w:cs="Times New Roman"/>
          <w:bCs/>
          <w:sz w:val="32"/>
          <w:szCs w:val="32"/>
          <w:highlight w:val="none"/>
        </w:rPr>
        <w:t>我单位</w:t>
      </w:r>
      <w:r>
        <w:rPr>
          <w:rFonts w:hint="eastAsia" w:cs="Times New Roman"/>
          <w:bCs/>
          <w:sz w:val="32"/>
          <w:szCs w:val="32"/>
          <w:highlight w:val="none"/>
          <w:u w:val="single"/>
          <w:lang w:eastAsia="zh-CN"/>
        </w:rPr>
        <w:t>淄博齐钰达塑业有限公司年产30万套塑料桶制品项目</w:t>
      </w:r>
      <w:r>
        <w:rPr>
          <w:rFonts w:hint="default" w:ascii="Times New Roman" w:hAnsi="Times New Roman" w:cs="Times New Roman"/>
          <w:bCs/>
          <w:sz w:val="32"/>
          <w:szCs w:val="32"/>
          <w:highlight w:val="none"/>
        </w:rPr>
        <w:t>已达到受理条件，按照环保部《建设项目环境影响评价政府信息公开指南（试行）》（环办〔2013〕103号）文件要求，为认真履行企业职责，自愿依法主动公开建设项目环境影响报告表全文信息（同时附删除涉及国家机密、商业秘密等内容及删除依据和理由说明报告），并依法承担因信息公开带来的后果。</w:t>
      </w:r>
    </w:p>
    <w:p w14:paraId="7AFA3B0A">
      <w:pPr>
        <w:ind w:firstLine="640"/>
        <w:rPr>
          <w:rFonts w:hint="default" w:ascii="Times New Roman" w:hAnsi="Times New Roman" w:cs="Times New Roman"/>
          <w:bCs/>
          <w:sz w:val="32"/>
          <w:szCs w:val="32"/>
          <w:highlight w:val="none"/>
        </w:rPr>
      </w:pPr>
      <w:r>
        <w:rPr>
          <w:rFonts w:hint="default" w:ascii="Times New Roman" w:hAnsi="Times New Roman" w:cs="Times New Roman"/>
          <w:bCs/>
          <w:sz w:val="32"/>
          <w:szCs w:val="32"/>
          <w:highlight w:val="none"/>
        </w:rPr>
        <w:t>特此承诺！</w:t>
      </w:r>
    </w:p>
    <w:p w14:paraId="6CB7DCDA">
      <w:pPr>
        <w:ind w:firstLine="900" w:firstLineChars="300"/>
        <w:jc w:val="center"/>
        <w:rPr>
          <w:rFonts w:hint="default" w:ascii="Times New Roman" w:hAnsi="Times New Roman" w:cs="Times New Roman"/>
          <w:bCs/>
          <w:sz w:val="30"/>
          <w:szCs w:val="30"/>
          <w:highlight w:val="none"/>
        </w:rPr>
      </w:pPr>
      <w:r>
        <w:rPr>
          <w:rFonts w:hint="default" w:ascii="Times New Roman" w:hAnsi="Times New Roman" w:cs="Times New Roman"/>
          <w:bCs/>
          <w:sz w:val="30"/>
          <w:szCs w:val="30"/>
          <w:highlight w:val="none"/>
        </w:rPr>
        <w:t xml:space="preserve">        </w:t>
      </w:r>
    </w:p>
    <w:p w14:paraId="64A07886">
      <w:pPr>
        <w:ind w:firstLine="900" w:firstLineChars="300"/>
        <w:jc w:val="center"/>
        <w:rPr>
          <w:rFonts w:hint="default" w:ascii="Times New Roman" w:hAnsi="Times New Roman" w:cs="Times New Roman"/>
          <w:bCs/>
          <w:sz w:val="30"/>
          <w:szCs w:val="30"/>
          <w:highlight w:val="none"/>
        </w:rPr>
      </w:pPr>
    </w:p>
    <w:p w14:paraId="7B3CAB15">
      <w:pPr>
        <w:ind w:firstLine="900" w:firstLineChars="300"/>
        <w:jc w:val="center"/>
        <w:rPr>
          <w:rFonts w:hint="default" w:ascii="Times New Roman" w:hAnsi="Times New Roman" w:cs="Times New Roman"/>
          <w:bCs/>
          <w:sz w:val="30"/>
          <w:szCs w:val="30"/>
          <w:highlight w:val="none"/>
        </w:rPr>
      </w:pPr>
    </w:p>
    <w:p w14:paraId="617C2EE0">
      <w:pPr>
        <w:ind w:firstLine="900" w:firstLineChars="300"/>
        <w:jc w:val="center"/>
        <w:rPr>
          <w:rFonts w:hint="default" w:ascii="Times New Roman" w:hAnsi="Times New Roman" w:cs="Times New Roman"/>
          <w:bCs/>
          <w:sz w:val="30"/>
          <w:szCs w:val="30"/>
          <w:highlight w:val="none"/>
        </w:rPr>
      </w:pPr>
    </w:p>
    <w:p w14:paraId="741F3717">
      <w:pPr>
        <w:ind w:firstLine="900" w:firstLineChars="300"/>
        <w:jc w:val="center"/>
        <w:rPr>
          <w:rFonts w:hint="default" w:ascii="Times New Roman" w:hAnsi="Times New Roman" w:cs="Times New Roman"/>
          <w:bCs/>
          <w:sz w:val="30"/>
          <w:szCs w:val="30"/>
          <w:highlight w:val="none"/>
        </w:rPr>
      </w:pPr>
    </w:p>
    <w:p w14:paraId="6C9166E3">
      <w:pPr>
        <w:spacing w:before="100" w:line="476" w:lineRule="auto"/>
        <w:ind w:left="23" w:firstLine="624"/>
        <w:rPr>
          <w:rFonts w:hint="default" w:ascii="Times New Roman" w:hAnsi="Times New Roman" w:cs="Times New Roman"/>
          <w:bCs/>
          <w:sz w:val="32"/>
          <w:szCs w:val="32"/>
          <w:highlight w:val="none"/>
        </w:rPr>
      </w:pPr>
      <w:r>
        <w:rPr>
          <w:rFonts w:hint="default" w:ascii="Times New Roman" w:hAnsi="Times New Roman" w:cs="Times New Roman"/>
          <w:bCs/>
          <w:sz w:val="30"/>
          <w:szCs w:val="30"/>
          <w:highlight w:val="none"/>
        </w:rPr>
        <w:t xml:space="preserve">     </w:t>
      </w:r>
      <w:r>
        <w:rPr>
          <w:rFonts w:hint="default" w:ascii="Times New Roman" w:hAnsi="Times New Roman" w:cs="Times New Roman"/>
          <w:bCs/>
          <w:sz w:val="32"/>
          <w:szCs w:val="32"/>
          <w:highlight w:val="none"/>
        </w:rPr>
        <w:t>建设单位：</w:t>
      </w:r>
      <w:r>
        <w:rPr>
          <w:rFonts w:hint="eastAsia" w:cs="Times New Roman"/>
          <w:bCs/>
          <w:sz w:val="32"/>
          <w:szCs w:val="32"/>
          <w:highlight w:val="none"/>
          <w:lang w:eastAsia="zh-CN"/>
        </w:rPr>
        <w:t>淄博齐钰达塑业有限公司</w:t>
      </w:r>
      <w:r>
        <w:rPr>
          <w:rFonts w:hint="default" w:ascii="Times New Roman" w:hAnsi="Times New Roman" w:cs="Times New Roman"/>
          <w:bCs/>
          <w:sz w:val="32"/>
          <w:szCs w:val="32"/>
          <w:highlight w:val="none"/>
        </w:rPr>
        <w:t>（盖章）</w:t>
      </w:r>
    </w:p>
    <w:p w14:paraId="21250448">
      <w:pPr>
        <w:pStyle w:val="46"/>
        <w:spacing w:after="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Cs/>
          <w:sz w:val="32"/>
          <w:szCs w:val="32"/>
          <w:highlight w:val="none"/>
        </w:rPr>
        <w:t xml:space="preserve">        </w:t>
      </w:r>
      <w:r>
        <w:rPr>
          <w:rFonts w:hint="eastAsia" w:cs="Times New Roman"/>
          <w:bCs/>
          <w:sz w:val="32"/>
          <w:szCs w:val="32"/>
          <w:highlight w:val="none"/>
          <w:lang w:val="en-US" w:eastAsia="zh-CN"/>
        </w:rPr>
        <w:t>2026</w:t>
      </w:r>
      <w:r>
        <w:rPr>
          <w:rFonts w:hint="default" w:ascii="Times New Roman" w:hAnsi="Times New Roman" w:cs="Times New Roman"/>
          <w:bCs/>
          <w:sz w:val="32"/>
          <w:szCs w:val="32"/>
          <w:highlight w:val="none"/>
        </w:rPr>
        <w:t>年</w:t>
      </w:r>
      <w:r>
        <w:rPr>
          <w:rFonts w:hint="eastAsia" w:cs="Times New Roman"/>
          <w:bCs/>
          <w:sz w:val="32"/>
          <w:szCs w:val="32"/>
          <w:highlight w:val="none"/>
          <w:lang w:val="en-US" w:eastAsia="zh-CN"/>
        </w:rPr>
        <w:t>1</w:t>
      </w:r>
      <w:r>
        <w:rPr>
          <w:rFonts w:hint="default" w:ascii="Times New Roman" w:hAnsi="Times New Roman" w:cs="Times New Roman"/>
          <w:bCs/>
          <w:sz w:val="32"/>
          <w:szCs w:val="32"/>
          <w:highlight w:val="none"/>
        </w:rPr>
        <w:t>月</w:t>
      </w:r>
      <w:r>
        <w:rPr>
          <w:rFonts w:hint="eastAsia" w:cs="Times New Roman"/>
          <w:bCs/>
          <w:sz w:val="32"/>
          <w:szCs w:val="32"/>
          <w:highlight w:val="none"/>
          <w:lang w:val="en-US" w:eastAsia="zh-CN"/>
        </w:rPr>
        <w:t>24</w:t>
      </w:r>
      <w:r>
        <w:rPr>
          <w:rFonts w:hint="default" w:ascii="Times New Roman" w:hAnsi="Times New Roman" w:cs="Times New Roman"/>
          <w:bCs/>
          <w:sz w:val="32"/>
          <w:szCs w:val="32"/>
          <w:highlight w:val="none"/>
        </w:rPr>
        <w:t>日</w:t>
      </w:r>
    </w:p>
    <w:p w14:paraId="242214B3">
      <w:pPr>
        <w:rPr>
          <w:rFonts w:hint="default" w:ascii="Times New Roman" w:hAnsi="Times New Roman" w:cs="Times New Roman"/>
          <w:highlight w:val="none"/>
        </w:rPr>
      </w:pPr>
      <w:r>
        <w:rPr>
          <w:rFonts w:hint="default" w:ascii="Times New Roman" w:hAnsi="Times New Roman" w:cs="Times New Roman"/>
          <w:highlight w:val="none"/>
        </w:rPr>
        <w:br w:type="page"/>
      </w:r>
    </w:p>
    <w:p w14:paraId="4A80E900">
      <w:pPr>
        <w:pStyle w:val="16"/>
        <w:spacing w:line="255" w:lineRule="auto"/>
        <w:rPr>
          <w:rFonts w:hint="default" w:ascii="Times New Roman" w:hAnsi="Times New Roman" w:eastAsia="宋体" w:cs="Times New Roman"/>
          <w:b/>
          <w:bCs/>
          <w:color w:val="000000"/>
          <w:kern w:val="2"/>
          <w:sz w:val="21"/>
          <w:szCs w:val="24"/>
          <w:highlight w:val="none"/>
          <w:lang w:val="en-US" w:eastAsia="zh-CN"/>
        </w:rPr>
      </w:pPr>
      <w:r>
        <w:rPr>
          <w:rFonts w:hint="default" w:ascii="Times New Roman" w:hAnsi="Times New Roman" w:cs="Times New Roman"/>
          <w:b/>
          <w:bCs/>
          <w:color w:val="000000"/>
          <w:kern w:val="2"/>
          <w:sz w:val="21"/>
          <w:szCs w:val="24"/>
          <w:highlight w:val="none"/>
        </w:rPr>
        <w:t>附件5：</w:t>
      </w:r>
      <w:r>
        <w:rPr>
          <w:rFonts w:hint="eastAsia" w:cs="Times New Roman"/>
          <w:b/>
          <w:bCs/>
          <w:color w:val="000000"/>
          <w:kern w:val="2"/>
          <w:sz w:val="21"/>
          <w:szCs w:val="24"/>
          <w:highlight w:val="none"/>
          <w:lang w:val="en-US" w:eastAsia="zh-CN"/>
        </w:rPr>
        <w:t>租赁合同</w:t>
      </w:r>
    </w:p>
    <w:p w14:paraId="4E7773E6">
      <w:pPr>
        <w:rPr>
          <w:rFonts w:hint="default" w:ascii="Times New Roman" w:hAnsi="Times New Roman" w:cs="Times New Roman"/>
          <w:spacing w:val="-4"/>
          <w:sz w:val="24"/>
          <w:highlight w:val="none"/>
        </w:rPr>
      </w:pPr>
      <w:r>
        <w:rPr>
          <w:rFonts w:hint="default" w:ascii="FangSong_GB2312" w:hAnsi="仿宋" w:eastAsia="FangSong_GB2312" w:cs="仿宋"/>
          <w:sz w:val="32"/>
          <w:szCs w:val="32"/>
          <w:highlight w:val="none"/>
          <w:lang w:val="en-US" w:eastAsia="zh-CN"/>
        </w:rPr>
        <w:drawing>
          <wp:inline distT="0" distB="0" distL="114300" distR="114300">
            <wp:extent cx="5495925" cy="7800975"/>
            <wp:effectExtent l="0" t="0" r="9525" b="9525"/>
            <wp:docPr id="1" name="图片 1" descr="李德昌-土桥村租赁合同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李德昌-土桥村租赁合同_副本"/>
                    <pic:cNvPicPr>
                      <a:picLocks noChangeAspect="1"/>
                    </pic:cNvPicPr>
                  </pic:nvPicPr>
                  <pic:blipFill>
                    <a:blip r:embed="rId51"/>
                    <a:srcRect l="3581" t="6200" r="6813" b="6390"/>
                    <a:stretch>
                      <a:fillRect/>
                    </a:stretch>
                  </pic:blipFill>
                  <pic:spPr>
                    <a:xfrm>
                      <a:off x="0" y="0"/>
                      <a:ext cx="5495925" cy="7800975"/>
                    </a:xfrm>
                    <a:prstGeom prst="rect">
                      <a:avLst/>
                    </a:prstGeom>
                  </pic:spPr>
                </pic:pic>
              </a:graphicData>
            </a:graphic>
          </wp:inline>
        </w:drawing>
      </w:r>
    </w:p>
    <w:p w14:paraId="57A622A8">
      <w:pPr>
        <w:pStyle w:val="16"/>
        <w:spacing w:line="255" w:lineRule="auto"/>
        <w:rPr>
          <w:rFonts w:hint="default" w:ascii="Times New Roman" w:hAnsi="Times New Roman" w:cs="Times New Roman"/>
          <w:b/>
          <w:bCs/>
          <w:color w:val="000000"/>
          <w:kern w:val="2"/>
          <w:sz w:val="21"/>
          <w:szCs w:val="24"/>
          <w:highlight w:val="none"/>
        </w:rPr>
      </w:pPr>
    </w:p>
    <w:p w14:paraId="1B8C7AA6">
      <w:pPr>
        <w:pStyle w:val="16"/>
        <w:spacing w:line="255" w:lineRule="auto"/>
        <w:rPr>
          <w:rFonts w:hint="default" w:ascii="Times New Roman" w:hAnsi="Times New Roman" w:cs="Times New Roman"/>
          <w:b/>
          <w:bCs/>
          <w:color w:val="000000"/>
          <w:kern w:val="2"/>
          <w:sz w:val="21"/>
          <w:szCs w:val="24"/>
          <w:highlight w:val="none"/>
        </w:rPr>
      </w:pPr>
    </w:p>
    <w:p w14:paraId="7749F031">
      <w:pPr>
        <w:pStyle w:val="16"/>
        <w:spacing w:line="255" w:lineRule="auto"/>
        <w:rPr>
          <w:rFonts w:hint="default" w:ascii="Times New Roman" w:hAnsi="Times New Roman" w:cs="Times New Roman"/>
          <w:b/>
          <w:bCs/>
          <w:color w:val="000000"/>
          <w:kern w:val="2"/>
          <w:sz w:val="21"/>
          <w:szCs w:val="24"/>
          <w:highlight w:val="none"/>
        </w:rPr>
      </w:pPr>
    </w:p>
    <w:p w14:paraId="6A908959">
      <w:pPr>
        <w:pStyle w:val="16"/>
        <w:spacing w:line="255" w:lineRule="auto"/>
        <w:rPr>
          <w:rFonts w:hint="default" w:ascii="Times New Roman" w:hAnsi="Times New Roman" w:cs="Times New Roman"/>
          <w:b/>
          <w:bCs/>
          <w:color w:val="000000"/>
          <w:kern w:val="2"/>
          <w:sz w:val="21"/>
          <w:szCs w:val="24"/>
          <w:highlight w:val="none"/>
        </w:rPr>
      </w:pPr>
    </w:p>
    <w:p w14:paraId="0B7112CA">
      <w:pPr>
        <w:rPr>
          <w:rFonts w:hint="default" w:ascii="Times New Roman" w:hAnsi="Times New Roman" w:cs="Times New Roman"/>
          <w:b/>
          <w:bCs/>
          <w:color w:val="000000"/>
          <w:kern w:val="2"/>
          <w:sz w:val="21"/>
          <w:szCs w:val="24"/>
          <w:highlight w:val="none"/>
        </w:rPr>
      </w:pPr>
      <w:r>
        <w:rPr>
          <w:rFonts w:hint="default" w:ascii="FangSong_GB2312" w:hAnsi="仿宋" w:eastAsia="FangSong_GB2312" w:cs="仿宋"/>
          <w:sz w:val="32"/>
          <w:szCs w:val="32"/>
          <w:highlight w:val="none"/>
          <w:lang w:val="en-US" w:eastAsia="zh-CN"/>
        </w:rPr>
        <w:drawing>
          <wp:inline distT="0" distB="0" distL="114300" distR="114300">
            <wp:extent cx="5588000" cy="7889875"/>
            <wp:effectExtent l="0" t="0" r="12700" b="15875"/>
            <wp:docPr id="21" name="图片 21" descr="55a9dc69a6a88493613ee86d33ba25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55a9dc69a6a88493613ee86d33ba259d"/>
                    <pic:cNvPicPr>
                      <a:picLocks noChangeAspect="1"/>
                    </pic:cNvPicPr>
                  </pic:nvPicPr>
                  <pic:blipFill>
                    <a:blip r:embed="rId52"/>
                    <a:srcRect l="1519" t="1573" r="1471" b="1828"/>
                    <a:stretch>
                      <a:fillRect/>
                    </a:stretch>
                  </pic:blipFill>
                  <pic:spPr>
                    <a:xfrm>
                      <a:off x="0" y="0"/>
                      <a:ext cx="5588000" cy="7889875"/>
                    </a:xfrm>
                    <a:prstGeom prst="rect">
                      <a:avLst/>
                    </a:prstGeom>
                  </pic:spPr>
                </pic:pic>
              </a:graphicData>
            </a:graphic>
          </wp:inline>
        </w:drawing>
      </w:r>
      <w:r>
        <w:rPr>
          <w:rFonts w:hint="default" w:ascii="FangSong_GB2312" w:hAnsi="仿宋" w:eastAsia="FangSong_GB2312" w:cs="仿宋"/>
          <w:sz w:val="32"/>
          <w:szCs w:val="32"/>
          <w:highlight w:val="none"/>
          <w:lang w:val="en-US" w:eastAsia="zh-CN"/>
        </w:rPr>
        <w:drawing>
          <wp:inline distT="0" distB="0" distL="114300" distR="114300">
            <wp:extent cx="5636260" cy="8072120"/>
            <wp:effectExtent l="0" t="0" r="2540" b="5080"/>
            <wp:docPr id="3" name="图片 3" descr="665dfd50f6e32558832c96d6a6f76a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65dfd50f6e32558832c96d6a6f76acb"/>
                    <pic:cNvPicPr>
                      <a:picLocks noChangeAspect="1"/>
                    </pic:cNvPicPr>
                  </pic:nvPicPr>
                  <pic:blipFill>
                    <a:blip r:embed="rId53"/>
                    <a:srcRect l="1700" t="2006" r="3122" b="1469"/>
                    <a:stretch>
                      <a:fillRect/>
                    </a:stretch>
                  </pic:blipFill>
                  <pic:spPr>
                    <a:xfrm>
                      <a:off x="0" y="0"/>
                      <a:ext cx="5636260" cy="8072120"/>
                    </a:xfrm>
                    <a:prstGeom prst="rect">
                      <a:avLst/>
                    </a:prstGeom>
                  </pic:spPr>
                </pic:pic>
              </a:graphicData>
            </a:graphic>
          </wp:inline>
        </w:drawing>
      </w:r>
      <w:r>
        <w:rPr>
          <w:rFonts w:hint="default" w:ascii="Times New Roman" w:hAnsi="Times New Roman" w:cs="Times New Roman"/>
          <w:b/>
          <w:bCs/>
          <w:color w:val="000000"/>
          <w:kern w:val="2"/>
          <w:sz w:val="21"/>
          <w:szCs w:val="24"/>
          <w:highlight w:val="none"/>
        </w:rPr>
        <w:br w:type="page"/>
      </w:r>
    </w:p>
    <w:p w14:paraId="45F21DC8">
      <w:pPr>
        <w:pStyle w:val="16"/>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mc:AlternateContent>
          <mc:Choice Requires="wps">
            <w:drawing>
              <wp:anchor distT="0" distB="0" distL="114300" distR="114300" simplePos="0" relativeHeight="251680768" behindDoc="0" locked="0" layoutInCell="1" allowOverlap="1">
                <wp:simplePos x="0" y="0"/>
                <wp:positionH relativeFrom="column">
                  <wp:posOffset>2257425</wp:posOffset>
                </wp:positionH>
                <wp:positionV relativeFrom="paragraph">
                  <wp:posOffset>8940165</wp:posOffset>
                </wp:positionV>
                <wp:extent cx="654050" cy="438150"/>
                <wp:effectExtent l="0" t="0" r="0" b="0"/>
                <wp:wrapNone/>
                <wp:docPr id="966243419" name="矩形 67"/>
                <wp:cNvGraphicFramePr/>
                <a:graphic xmlns:a="http://schemas.openxmlformats.org/drawingml/2006/main">
                  <a:graphicData uri="http://schemas.microsoft.com/office/word/2010/wordprocessingShape">
                    <wps:wsp>
                      <wps:cNvSpPr/>
                      <wps:spPr>
                        <a:xfrm>
                          <a:off x="0" y="0"/>
                          <a:ext cx="654050" cy="4381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7" o:spid="_x0000_s1026" o:spt="1" style="position:absolute;left:0pt;margin-left:177.75pt;margin-top:703.95pt;height:34.5pt;width:51.5pt;z-index:251680768;v-text-anchor:middle;mso-width-relative:page;mso-height-relative:page;" fillcolor="#FFFFFF [3212]" filled="t" stroked="f" coordsize="21600,21600" o:gfxdata="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0oSO92wAAAA0BAAAPAAAAAAAAAAEAIAAAACIAAABkcnMv&#10;ZG93bnJldi54bWxQSwECFAAUAAAACACHTuJAGN2x6XICAADTBAAADgAAAAAAAAABACAAAAAqAQAA&#10;ZHJzL2Uyb0RvYy54bWxQSwUGAAAAAAYABgBZAQAADgY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w:t>附件6、园区设立文件</w:t>
      </w:r>
    </w:p>
    <w:p w14:paraId="746D648F">
      <w:pPr>
        <w:pStyle w:val="23"/>
        <w:numPr>
          <w:ilvl w:val="0"/>
          <w:numId w:val="0"/>
        </w:numPr>
        <w:rPr>
          <w:rFonts w:hint="default" w:ascii="Times New Roman" w:hAnsi="Times New Roman" w:cs="Times New Roman"/>
          <w:highlight w:val="none"/>
        </w:rPr>
      </w:pPr>
      <w:r>
        <w:rPr>
          <w:rFonts w:hint="default" w:ascii="Times New Roman" w:hAnsi="Times New Roman" w:cs="Times New Roman"/>
          <w:highlight w:val="none"/>
        </w:rPr>
        <w:drawing>
          <wp:inline distT="0" distB="0" distL="0" distR="0">
            <wp:extent cx="5535930" cy="7486650"/>
            <wp:effectExtent l="0" t="0" r="7620" b="0"/>
            <wp:docPr id="49075091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50919" name="图片 5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544703" cy="7498175"/>
                    </a:xfrm>
                    <a:prstGeom prst="rect">
                      <a:avLst/>
                    </a:prstGeom>
                  </pic:spPr>
                </pic:pic>
              </a:graphicData>
            </a:graphic>
          </wp:inline>
        </w:drawing>
      </w:r>
    </w:p>
    <w:p w14:paraId="23B7B92A">
      <w:pPr>
        <w:pStyle w:val="4"/>
        <w:rPr>
          <w:rFonts w:hint="default" w:ascii="Times New Roman" w:hAnsi="Times New Roman" w:eastAsia="黑体" w:cs="Times New Roman"/>
          <w:spacing w:val="-4"/>
          <w:sz w:val="24"/>
          <w:szCs w:val="24"/>
          <w:highlight w:val="none"/>
        </w:rPr>
      </w:pPr>
    </w:p>
    <w:p w14:paraId="5A47336F">
      <w:pPr>
        <w:rPr>
          <w:rFonts w:hint="default" w:ascii="Times New Roman" w:hAnsi="Times New Roman" w:cs="Times New Roman"/>
          <w:highlight w:val="none"/>
        </w:rPr>
      </w:pPr>
    </w:p>
    <w:p w14:paraId="788D057C">
      <w:pPr>
        <w:pStyle w:val="46"/>
        <w:rPr>
          <w:rFonts w:hint="default" w:ascii="Times New Roman" w:hAnsi="Times New Roman" w:cs="Times New Roman"/>
          <w:highlight w:val="none"/>
        </w:rPr>
      </w:pPr>
    </w:p>
    <w:p w14:paraId="55184FEB">
      <w:pPr>
        <w:rPr>
          <w:rFonts w:hint="default" w:ascii="Times New Roman" w:hAnsi="Times New Roman" w:cs="Times New Roman"/>
          <w:highlight w:val="none"/>
        </w:rPr>
      </w:pPr>
    </w:p>
    <w:p w14:paraId="20BEDD8A">
      <w:pPr>
        <w:rPr>
          <w:rFonts w:hint="default" w:ascii="Times New Roman" w:hAnsi="Times New Roman" w:cs="Times New Roman"/>
          <w:highlight w:val="none"/>
        </w:rPr>
      </w:pPr>
      <w:r>
        <w:rPr>
          <w:rFonts w:hint="default" w:ascii="Times New Roman" w:hAnsi="Times New Roman" w:cs="Times New Roman"/>
          <w:highlight w:val="none"/>
        </w:rPr>
        <w:drawing>
          <wp:inline distT="0" distB="0" distL="0" distR="0">
            <wp:extent cx="5614035" cy="7575550"/>
            <wp:effectExtent l="0" t="0" r="5715" b="6350"/>
            <wp:docPr id="5903545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5456" name="图片 60"/>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628737" cy="7595284"/>
                    </a:xfrm>
                    <a:prstGeom prst="rect">
                      <a:avLst/>
                    </a:prstGeom>
                  </pic:spPr>
                </pic:pic>
              </a:graphicData>
            </a:graphic>
          </wp:inline>
        </w:drawing>
      </w:r>
    </w:p>
    <w:p w14:paraId="5545B193">
      <w:pPr>
        <w:pStyle w:val="46"/>
        <w:rPr>
          <w:rFonts w:hint="default" w:ascii="Times New Roman" w:hAnsi="Times New Roman" w:cs="Times New Roman"/>
          <w:highlight w:val="none"/>
        </w:rPr>
        <w:sectPr>
          <w:footerReference r:id="rId11" w:type="default"/>
          <w:pgSz w:w="11906" w:h="16839"/>
          <w:pgMar w:top="1431" w:right="1785" w:bottom="1099" w:left="1785" w:header="0" w:footer="836" w:gutter="0"/>
          <w:cols w:space="720" w:num="1"/>
        </w:sectPr>
      </w:pPr>
    </w:p>
    <w:p w14:paraId="6DBA4850">
      <w:pPr>
        <w:pStyle w:val="16"/>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w:drawing>
          <wp:inline distT="0" distB="0" distL="0" distR="0">
            <wp:extent cx="5492750" cy="7556500"/>
            <wp:effectExtent l="0" t="0" r="12700" b="6350"/>
            <wp:docPr id="161349398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93985" name="图片 6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499068" cy="7564908"/>
                    </a:xfrm>
                    <a:prstGeom prst="rect">
                      <a:avLst/>
                    </a:prstGeom>
                  </pic:spPr>
                </pic:pic>
              </a:graphicData>
            </a:graphic>
          </wp:inline>
        </w:drawing>
      </w:r>
    </w:p>
    <w:p w14:paraId="1E752531">
      <w:pPr>
        <w:pStyle w:val="16"/>
        <w:spacing w:line="255" w:lineRule="auto"/>
        <w:rPr>
          <w:rFonts w:hint="default" w:ascii="Times New Roman" w:hAnsi="Times New Roman" w:cs="Times New Roman"/>
          <w:b/>
          <w:bCs/>
          <w:color w:val="000000"/>
          <w:kern w:val="2"/>
          <w:sz w:val="21"/>
          <w:szCs w:val="24"/>
          <w:highlight w:val="none"/>
        </w:rPr>
      </w:pPr>
    </w:p>
    <w:p w14:paraId="0F2093A8">
      <w:pPr>
        <w:pStyle w:val="16"/>
        <w:spacing w:line="255" w:lineRule="auto"/>
        <w:rPr>
          <w:rFonts w:hint="default" w:ascii="Times New Roman" w:hAnsi="Times New Roman" w:cs="Times New Roman"/>
          <w:b/>
          <w:bCs/>
          <w:color w:val="000000"/>
          <w:kern w:val="2"/>
          <w:sz w:val="21"/>
          <w:szCs w:val="24"/>
          <w:highlight w:val="none"/>
        </w:rPr>
      </w:pPr>
    </w:p>
    <w:p w14:paraId="6FCD591D">
      <w:pPr>
        <w:pStyle w:val="16"/>
        <w:spacing w:line="255" w:lineRule="auto"/>
        <w:rPr>
          <w:rFonts w:hint="default" w:ascii="Times New Roman" w:hAnsi="Times New Roman" w:cs="Times New Roman"/>
          <w:b/>
          <w:bCs/>
          <w:color w:val="000000"/>
          <w:kern w:val="2"/>
          <w:sz w:val="21"/>
          <w:szCs w:val="24"/>
          <w:highlight w:val="none"/>
        </w:rPr>
      </w:pPr>
    </w:p>
    <w:p w14:paraId="33E09982">
      <w:pPr>
        <w:pStyle w:val="16"/>
        <w:spacing w:line="255" w:lineRule="auto"/>
        <w:rPr>
          <w:rFonts w:hint="default" w:ascii="Times New Roman" w:hAnsi="Times New Roman" w:cs="Times New Roman"/>
          <w:b/>
          <w:bCs/>
          <w:color w:val="000000"/>
          <w:kern w:val="2"/>
          <w:sz w:val="21"/>
          <w:szCs w:val="24"/>
          <w:highlight w:val="none"/>
        </w:rPr>
      </w:pPr>
    </w:p>
    <w:p w14:paraId="4A6DE053">
      <w:pPr>
        <w:pStyle w:val="16"/>
        <w:spacing w:line="255" w:lineRule="auto"/>
        <w:rPr>
          <w:rFonts w:hint="default" w:ascii="Times New Roman" w:hAnsi="Times New Roman" w:cs="Times New Roman"/>
          <w:b/>
          <w:bCs/>
          <w:color w:val="000000"/>
          <w:kern w:val="2"/>
          <w:sz w:val="21"/>
          <w:szCs w:val="24"/>
          <w:highlight w:val="none"/>
        </w:rPr>
      </w:pPr>
    </w:p>
    <w:p w14:paraId="7443B0A8">
      <w:pPr>
        <w:pStyle w:val="16"/>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w:drawing>
          <wp:inline distT="0" distB="0" distL="0" distR="0">
            <wp:extent cx="5583555" cy="7620000"/>
            <wp:effectExtent l="0" t="0" r="0" b="0"/>
            <wp:docPr id="21070293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29389" name="图片 6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592079" cy="7630963"/>
                    </a:xfrm>
                    <a:prstGeom prst="rect">
                      <a:avLst/>
                    </a:prstGeom>
                  </pic:spPr>
                </pic:pic>
              </a:graphicData>
            </a:graphic>
          </wp:inline>
        </w:drawing>
      </w:r>
    </w:p>
    <w:p w14:paraId="63DD1B6F">
      <w:pPr>
        <w:pStyle w:val="16"/>
        <w:spacing w:line="255" w:lineRule="auto"/>
        <w:rPr>
          <w:rFonts w:hint="default" w:ascii="Times New Roman" w:hAnsi="Times New Roman" w:cs="Times New Roman"/>
          <w:b/>
          <w:bCs/>
          <w:color w:val="000000"/>
          <w:kern w:val="2"/>
          <w:sz w:val="21"/>
          <w:szCs w:val="24"/>
          <w:highlight w:val="none"/>
        </w:rPr>
      </w:pPr>
    </w:p>
    <w:p w14:paraId="34725BA6">
      <w:pPr>
        <w:spacing w:before="78" w:line="219" w:lineRule="auto"/>
        <w:ind w:left="42"/>
        <w:rPr>
          <w:rFonts w:hint="default" w:ascii="Times New Roman" w:hAnsi="Times New Roman" w:eastAsia="黑体" w:cs="Times New Roman"/>
          <w:spacing w:val="-4"/>
          <w:sz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86912" behindDoc="0" locked="0" layoutInCell="1" allowOverlap="1">
                <wp:simplePos x="0" y="0"/>
                <wp:positionH relativeFrom="column">
                  <wp:posOffset>2403475</wp:posOffset>
                </wp:positionH>
                <wp:positionV relativeFrom="paragraph">
                  <wp:posOffset>8950325</wp:posOffset>
                </wp:positionV>
                <wp:extent cx="482600" cy="196850"/>
                <wp:effectExtent l="0" t="0" r="0" b="0"/>
                <wp:wrapNone/>
                <wp:docPr id="502764715" name="矩形 66"/>
                <wp:cNvGraphicFramePr/>
                <a:graphic xmlns:a="http://schemas.openxmlformats.org/drawingml/2006/main">
                  <a:graphicData uri="http://schemas.microsoft.com/office/word/2010/wordprocessingShape">
                    <wps:wsp>
                      <wps:cNvSpPr/>
                      <wps:spPr>
                        <a:xfrm>
                          <a:off x="0" y="0"/>
                          <a:ext cx="482600" cy="196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6" o:spid="_x0000_s1026" o:spt="1" style="position:absolute;left:0pt;margin-left:189.25pt;margin-top:704.75pt;height:15.5pt;width:38pt;z-index:251686912;v-text-anchor:middle;mso-width-relative:page;mso-height-relative:page;" fillcolor="#FFFFFF [3212]" filled="t" stroked="f" coordsize="21600,21600" o:gfxdata="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JIwT9oAAAANAQAADwAAAAAAAAABACAAAAAiAAAAZHJzL2Rv&#10;d25yZXYueG1sUEsBAhQAFAAAAAgAh07iQBQWiRpxAgAA0wQAAA4AAAAAAAAAAQAgAAAAKQEAAGRy&#10;cy9lMm9Eb2MueG1sUEsFBgAAAAAGAAYAWQEAAAwGA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5888" behindDoc="0" locked="0" layoutInCell="1" allowOverlap="1">
                <wp:simplePos x="0" y="0"/>
                <wp:positionH relativeFrom="column">
                  <wp:posOffset>2397125</wp:posOffset>
                </wp:positionH>
                <wp:positionV relativeFrom="paragraph">
                  <wp:posOffset>8959215</wp:posOffset>
                </wp:positionV>
                <wp:extent cx="647700" cy="368300"/>
                <wp:effectExtent l="0" t="0" r="0" b="0"/>
                <wp:wrapNone/>
                <wp:docPr id="1691908176" name="矩形 65"/>
                <wp:cNvGraphicFramePr/>
                <a:graphic xmlns:a="http://schemas.openxmlformats.org/drawingml/2006/main">
                  <a:graphicData uri="http://schemas.microsoft.com/office/word/2010/wordprocessingShape">
                    <wps:wsp>
                      <wps:cNvSpPr/>
                      <wps:spPr>
                        <a:xfrm>
                          <a:off x="0" y="0"/>
                          <a:ext cx="647700" cy="368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5" o:spid="_x0000_s1026" o:spt="1" style="position:absolute;left:0pt;margin-left:188.75pt;margin-top:705.45pt;height:29pt;width:51pt;z-index:251685888;v-text-anchor:middle;mso-width-relative:page;mso-height-relative:page;" fillcolor="#FFFFFF [3212]" filled="t" stroked="f" coordsize="21600,21600" o:gfxdata="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qQ9pHbAAAADQEAAA8AAAAAAAAAAQAgAAAAIgAAAGRycy9k&#10;b3ducmV2LnhtbFBLAQIUABQAAAAIAIdO4kCMzTR+cQIAANQ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3840" behindDoc="0" locked="0" layoutInCell="1" allowOverlap="1">
                <wp:simplePos x="0" y="0"/>
                <wp:positionH relativeFrom="column">
                  <wp:posOffset>2295525</wp:posOffset>
                </wp:positionH>
                <wp:positionV relativeFrom="paragraph">
                  <wp:posOffset>9003665</wp:posOffset>
                </wp:positionV>
                <wp:extent cx="742950" cy="330200"/>
                <wp:effectExtent l="0" t="0" r="0" b="0"/>
                <wp:wrapNone/>
                <wp:docPr id="1123292449" name="矩形 64"/>
                <wp:cNvGraphicFramePr/>
                <a:graphic xmlns:a="http://schemas.openxmlformats.org/drawingml/2006/main">
                  <a:graphicData uri="http://schemas.microsoft.com/office/word/2010/wordprocessingShape">
                    <wps:wsp>
                      <wps:cNvSpPr/>
                      <wps:spPr>
                        <a:xfrm>
                          <a:off x="0" y="0"/>
                          <a:ext cx="742950" cy="330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4" o:spid="_x0000_s1026" o:spt="1" style="position:absolute;left:0pt;margin-left:180.75pt;margin-top:708.95pt;height:26pt;width:58.5pt;z-index:251683840;v-text-anchor:middle;mso-width-relative:page;mso-height-relative:page;" fillcolor="#FFFFFF [3212]" filled="t" stroked="f" coordsize="21600,21600" o:gfxdata="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OLPOvbAAAADQEAAA8AAAAAAAAAAQAgAAAAIgAAAGRycy9k&#10;b3ducmV2LnhtbFBLAQIUABQAAAAIAIdO4kBxH7U2cQIAANQ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2816" behindDoc="0" locked="0" layoutInCell="1" allowOverlap="1">
                <wp:simplePos x="0" y="0"/>
                <wp:positionH relativeFrom="column">
                  <wp:posOffset>2219325</wp:posOffset>
                </wp:positionH>
                <wp:positionV relativeFrom="paragraph">
                  <wp:posOffset>8971915</wp:posOffset>
                </wp:positionV>
                <wp:extent cx="844550" cy="349250"/>
                <wp:effectExtent l="0" t="0" r="0" b="0"/>
                <wp:wrapNone/>
                <wp:docPr id="476726009" name="矩形 63"/>
                <wp:cNvGraphicFramePr/>
                <a:graphic xmlns:a="http://schemas.openxmlformats.org/drawingml/2006/main">
                  <a:graphicData uri="http://schemas.microsoft.com/office/word/2010/wordprocessingShape">
                    <wps:wsp>
                      <wps:cNvSpPr/>
                      <wps:spPr>
                        <a:xfrm>
                          <a:off x="0" y="0"/>
                          <a:ext cx="844550" cy="3492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3" o:spid="_x0000_s1026" o:spt="1" style="position:absolute;left:0pt;margin-left:174.75pt;margin-top:706.45pt;height:27.5pt;width:66.5pt;z-index:251682816;v-text-anchor:middle;mso-width-relative:page;mso-height-relative:page;" fillcolor="#FFFFFF [3212]" filled="t" stroked="f" coordsize="21600,21600" o:gfxdata="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u/0zDbAAAADQEAAA8AAAAAAAAAAQAgAAAAIgAAAGRycy9k&#10;b3ducmV2LnhtbFBLAQIUABQAAAAIAIdO4kBla7b4cQIAANM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1792" behindDoc="0" locked="0" layoutInCell="1" allowOverlap="1">
                <wp:simplePos x="0" y="0"/>
                <wp:positionH relativeFrom="column">
                  <wp:posOffset>2263775</wp:posOffset>
                </wp:positionH>
                <wp:positionV relativeFrom="paragraph">
                  <wp:posOffset>8990965</wp:posOffset>
                </wp:positionV>
                <wp:extent cx="965200" cy="457200"/>
                <wp:effectExtent l="0" t="0" r="6350" b="0"/>
                <wp:wrapNone/>
                <wp:docPr id="969837078" name="矩形: 圆角 62"/>
                <wp:cNvGraphicFramePr/>
                <a:graphic xmlns:a="http://schemas.openxmlformats.org/drawingml/2006/main">
                  <a:graphicData uri="http://schemas.microsoft.com/office/word/2010/wordprocessingShape">
                    <wps:wsp>
                      <wps:cNvSpPr/>
                      <wps:spPr>
                        <a:xfrm>
                          <a:off x="0" y="0"/>
                          <a:ext cx="965200" cy="45720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62" o:spid="_x0000_s1026" o:spt="2" style="position:absolute;left:0pt;margin-left:178.25pt;margin-top:707.95pt;height:36pt;width:76pt;z-index:251681792;v-text-anchor:middle;mso-width-relative:page;mso-height-relative:page;" fillcolor="#FFFFFF [3212]" filled="t" stroked="f" coordsize="21600,21600" arcsize="0.166666666666667" o:gfxdata="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CtHHDZAAAADQEAAA8AAAAAAAAA&#10;AQAgAAAAIgAAAGRycy9kb3ducmV2LnhtbFBLAQIUABQAAAAIAIdO4kBkE6rHggIAAOAEAAAOAAAA&#10;AAAAAAEAIAAAACgBAABkcnMvZTJvRG9jLnhtbFBLBQYAAAAABgAGAFkBAAAcBgAAAAA=&#10;">
                <v:fill on="t" focussize="0,0"/>
                <v:stroke on="f" weight="1pt" miterlimit="8" joinstyle="miter"/>
                <v:imagedata o:title=""/>
                <o:lock v:ext="edit" aspectratio="f"/>
              </v:round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9744" behindDoc="0" locked="0" layoutInCell="1" allowOverlap="1">
                <wp:simplePos x="0" y="0"/>
                <wp:positionH relativeFrom="column">
                  <wp:posOffset>2441575</wp:posOffset>
                </wp:positionH>
                <wp:positionV relativeFrom="paragraph">
                  <wp:posOffset>8927465</wp:posOffset>
                </wp:positionV>
                <wp:extent cx="622300" cy="374650"/>
                <wp:effectExtent l="0" t="0" r="6350" b="6350"/>
                <wp:wrapNone/>
                <wp:docPr id="468165178" name="矩形 61"/>
                <wp:cNvGraphicFramePr/>
                <a:graphic xmlns:a="http://schemas.openxmlformats.org/drawingml/2006/main">
                  <a:graphicData uri="http://schemas.microsoft.com/office/word/2010/wordprocessingShape">
                    <wps:wsp>
                      <wps:cNvSpPr/>
                      <wps:spPr>
                        <a:xfrm>
                          <a:off x="0" y="0"/>
                          <a:ext cx="622300" cy="3746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1" o:spid="_x0000_s1026" o:spt="1" style="position:absolute;left:0pt;margin-left:192.25pt;margin-top:702.95pt;height:29.5pt;width:49pt;z-index:251679744;v-text-anchor:middle;mso-width-relative:page;mso-height-relative:page;" fillcolor="#FFFFFF [3212]" filled="t" stroked="f" coordsize="21600,21600" o:gfxdata="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MXRfvbAAAADQEAAA8AAAAAAAAAAQAgAAAAIgAAAGRycy9k&#10;b3ducmV2LnhtbFBLAQIUABQAAAAIAIdO4kAGHfsUcQIAANM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8720" behindDoc="0" locked="0" layoutInCell="1" allowOverlap="1">
                <wp:simplePos x="0" y="0"/>
                <wp:positionH relativeFrom="column">
                  <wp:posOffset>2390775</wp:posOffset>
                </wp:positionH>
                <wp:positionV relativeFrom="paragraph">
                  <wp:posOffset>9054465</wp:posOffset>
                </wp:positionV>
                <wp:extent cx="673100" cy="234950"/>
                <wp:effectExtent l="0" t="0" r="0" b="0"/>
                <wp:wrapNone/>
                <wp:docPr id="1484296059" name="矩形 60"/>
                <wp:cNvGraphicFramePr/>
                <a:graphic xmlns:a="http://schemas.openxmlformats.org/drawingml/2006/main">
                  <a:graphicData uri="http://schemas.microsoft.com/office/word/2010/wordprocessingShape">
                    <wps:wsp>
                      <wps:cNvSpPr/>
                      <wps:spPr>
                        <a:xfrm>
                          <a:off x="0" y="0"/>
                          <a:ext cx="673100" cy="234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0" o:spid="_x0000_s1026" o:spt="1" style="position:absolute;left:0pt;margin-left:188.25pt;margin-top:712.95pt;height:18.5pt;width:53pt;z-index:251678720;v-text-anchor:middle;mso-width-relative:page;mso-height-relative:page;" fillcolor="#FFFFFF [3212]" filled="t" stroked="f" coordsize="21600,21600" o:gfxdata="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WuE79wAAAANAQAADwAAAAAAAAABACAAAAAiAAAAZHJz&#10;L2Rvd25yZXYueG1sUEsBAhQAFAAAAAgAh07iQO5XrmVyAgAA1AQAAA4AAAAAAAAAAQAgAAAAKwEA&#10;AGRycy9lMm9Eb2MueG1sUEsFBgAAAAAGAAYAWQEAAA8GA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8960" behindDoc="0" locked="0" layoutInCell="1" allowOverlap="1">
                <wp:simplePos x="0" y="0"/>
                <wp:positionH relativeFrom="column">
                  <wp:posOffset>2409825</wp:posOffset>
                </wp:positionH>
                <wp:positionV relativeFrom="paragraph">
                  <wp:posOffset>8997315</wp:posOffset>
                </wp:positionV>
                <wp:extent cx="590550" cy="342900"/>
                <wp:effectExtent l="0" t="0" r="0" b="0"/>
                <wp:wrapNone/>
                <wp:docPr id="352479721" name="矩形 68"/>
                <wp:cNvGraphicFramePr/>
                <a:graphic xmlns:a="http://schemas.openxmlformats.org/drawingml/2006/main">
                  <a:graphicData uri="http://schemas.microsoft.com/office/word/2010/wordprocessingShape">
                    <wps:wsp>
                      <wps:cNvSpPr/>
                      <wps:spPr>
                        <a:xfrm>
                          <a:off x="0" y="0"/>
                          <a:ext cx="590550" cy="342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8" o:spid="_x0000_s1026" o:spt="1" style="position:absolute;left:0pt;margin-left:189.75pt;margin-top:708.45pt;height:27pt;width:46.5pt;z-index:251688960;v-text-anchor:middle;mso-width-relative:page;mso-height-relative:page;" fillcolor="#FFFFFF [3212]" filled="t" stroked="f" coordsize="21600,21600" o:gfxdata="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5CsqfbAAAADQEAAA8AAAAAAAAAAQAgAAAAIgAAAGRycy9k&#10;b3ducmV2LnhtbFBLAQIUABQAAAAIAIdO4kDGFX38cQIAANMEAAAOAAAAAAAAAAEAIAAAACoBAABk&#10;cnMvZTJvRG9jLnhtbFBLBQYAAAAABgAGAFkBAAANBgAAAAA=&#10;">
                <v:fill on="t" focussize="0,0"/>
                <v:stroke on="f" weight="1pt" miterlimit="8" joinstyle="miter"/>
                <v:imagedata o:title=""/>
                <o:lock v:ext="edit" aspectratio="f"/>
              </v:rect>
            </w:pict>
          </mc:Fallback>
        </mc:AlternateContent>
      </w:r>
    </w:p>
    <w:p w14:paraId="2232BF7B">
      <w:pPr>
        <w:pStyle w:val="4"/>
        <w:rPr>
          <w:rFonts w:hint="default" w:ascii="Times New Roman" w:hAnsi="Times New Roman" w:cs="Times New Roman"/>
          <w:highlight w:val="none"/>
        </w:rPr>
      </w:pPr>
    </w:p>
    <w:p w14:paraId="0FE892CD">
      <w:pP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89984" behindDoc="0" locked="0" layoutInCell="1" allowOverlap="1">
                <wp:simplePos x="0" y="0"/>
                <wp:positionH relativeFrom="column">
                  <wp:posOffset>2447925</wp:posOffset>
                </wp:positionH>
                <wp:positionV relativeFrom="paragraph">
                  <wp:posOffset>1109345</wp:posOffset>
                </wp:positionV>
                <wp:extent cx="546100" cy="273050"/>
                <wp:effectExtent l="0" t="0" r="6350" b="0"/>
                <wp:wrapNone/>
                <wp:docPr id="1828959876" name="矩形 69"/>
                <wp:cNvGraphicFramePr/>
                <a:graphic xmlns:a="http://schemas.openxmlformats.org/drawingml/2006/main">
                  <a:graphicData uri="http://schemas.microsoft.com/office/word/2010/wordprocessingShape">
                    <wps:wsp>
                      <wps:cNvSpPr/>
                      <wps:spPr>
                        <a:xfrm>
                          <a:off x="0" y="0"/>
                          <a:ext cx="546100" cy="2730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9" o:spid="_x0000_s1026" o:spt="1" style="position:absolute;left:0pt;margin-left:192.75pt;margin-top:87.35pt;height:21.5pt;width:43pt;z-index:251689984;v-text-anchor:middle;mso-width-relative:page;mso-height-relative:page;" fillcolor="#FFFFFF [3212]" filled="t" stroked="f" coordsize="21600,21600" o:gfxdata="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plcKUNoAAAALAQAADwAAAAAAAAABACAAAAAiAAAAZHJzL2Rv&#10;d25yZXYueG1sUEsBAhQAFAAAAAgAh07iQMdOhFVxAgAA1AQAAA4AAAAAAAAAAQAgAAAAKQEAAGRy&#10;cy9lMm9Eb2MueG1sUEsFBgAAAAAGAAYAWQEAAAwGAAAAAA==&#10;">
                <v:fill on="t" focussize="0,0"/>
                <v:stroke on="f" weight="1pt" miterlimit="8" joinstyle="miter"/>
                <v:imagedata o:title=""/>
                <o:lock v:ext="edit" aspectratio="f"/>
              </v:rect>
            </w:pict>
          </mc:Fallback>
        </mc:AlternateContent>
      </w:r>
    </w:p>
    <w:p w14:paraId="68547007">
      <w:pPr>
        <w:rPr>
          <w:rFonts w:hint="default" w:ascii="Times New Roman" w:hAnsi="Times New Roman" w:cs="Times New Roman"/>
          <w:highlight w:val="none"/>
        </w:rPr>
        <w:sectPr>
          <w:pgSz w:w="11906" w:h="16839"/>
          <w:pgMar w:top="1431" w:right="1785" w:bottom="1099" w:left="1785" w:header="0" w:footer="836" w:gutter="0"/>
          <w:cols w:space="720" w:num="1"/>
        </w:sectPr>
      </w:pPr>
    </w:p>
    <w:p w14:paraId="28D4830C">
      <w:pPr>
        <w:pStyle w:val="26"/>
        <w:ind w:left="0" w:leftChars="0"/>
        <w:rPr>
          <w:rFonts w:hint="default" w:ascii="Times New Roman" w:hAnsi="Times New Roman" w:cs="Times New Roman"/>
          <w:b/>
          <w:bCs/>
          <w:color w:val="000000"/>
          <w:highlight w:val="none"/>
          <w:lang w:val="en-US"/>
        </w:rPr>
      </w:pPr>
      <w:r>
        <w:rPr>
          <w:rFonts w:hint="default" w:ascii="Times New Roman" w:hAnsi="Times New Roman" w:cs="Times New Roman"/>
          <w:highlight w:val="none"/>
        </w:rPr>
        <mc:AlternateContent>
          <mc:Choice Requires="wps">
            <w:drawing>
              <wp:anchor distT="0" distB="0" distL="114300" distR="114300" simplePos="0" relativeHeight="251720704" behindDoc="0" locked="0" layoutInCell="1" allowOverlap="1">
                <wp:simplePos x="0" y="0"/>
                <wp:positionH relativeFrom="column">
                  <wp:posOffset>2378075</wp:posOffset>
                </wp:positionH>
                <wp:positionV relativeFrom="paragraph">
                  <wp:posOffset>8984615</wp:posOffset>
                </wp:positionV>
                <wp:extent cx="704850" cy="304800"/>
                <wp:effectExtent l="0" t="0" r="0" b="0"/>
                <wp:wrapNone/>
                <wp:docPr id="14" name="矩形 71"/>
                <wp:cNvGraphicFramePr/>
                <a:graphic xmlns:a="http://schemas.openxmlformats.org/drawingml/2006/main">
                  <a:graphicData uri="http://schemas.microsoft.com/office/word/2010/wordprocessingShape">
                    <wps:wsp>
                      <wps:cNvSpPr/>
                      <wps:spPr>
                        <a:xfrm>
                          <a:off x="0" y="0"/>
                          <a:ext cx="704850" cy="304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1" o:spid="_x0000_s1026" o:spt="1" style="position:absolute;left:0pt;margin-left:187.25pt;margin-top:707.45pt;height:24pt;width:55.5pt;z-index:251720704;v-text-anchor:middle;mso-width-relative:page;mso-height-relative:page;" fillcolor="#FFFFFF [3212]" filled="t" stroked="f" coordsize="21600,21600" o:gfxdata="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shUvvbAAAADQEAAA8AAAAAAAAAAQAgAAAAIgAAAGRycy9kb3ducmV2Lnht&#10;bFBLAQIUABQAAAAIAIdO4kDB+HxhaAIAAMwEAAAOAAAAAAAAAAEAIAAAACoBAABkcnMvZTJvRG9j&#10;LnhtbFBLBQYAAAAABgAGAFkBAAAE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1728" behindDoc="0" locked="0" layoutInCell="1" allowOverlap="1">
                <wp:simplePos x="0" y="0"/>
                <wp:positionH relativeFrom="column">
                  <wp:posOffset>2390775</wp:posOffset>
                </wp:positionH>
                <wp:positionV relativeFrom="paragraph">
                  <wp:posOffset>8990965</wp:posOffset>
                </wp:positionV>
                <wp:extent cx="546100" cy="355600"/>
                <wp:effectExtent l="0" t="0" r="6350" b="6350"/>
                <wp:wrapNone/>
                <wp:docPr id="24" name="矩形 72"/>
                <wp:cNvGraphicFramePr/>
                <a:graphic xmlns:a="http://schemas.openxmlformats.org/drawingml/2006/main">
                  <a:graphicData uri="http://schemas.microsoft.com/office/word/2010/wordprocessingShape">
                    <wps:wsp>
                      <wps:cNvSpPr/>
                      <wps:spPr>
                        <a:xfrm>
                          <a:off x="0" y="0"/>
                          <a:ext cx="546100" cy="355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2" o:spid="_x0000_s1026" o:spt="1" style="position:absolute;left:0pt;margin-left:188.25pt;margin-top:707.95pt;height:28pt;width:43pt;z-index:251721728;v-text-anchor:middle;mso-width-relative:page;mso-height-relative:page;" fillcolor="#FFFFFF [3212]" filled="t" stroked="f" coordsize="21600,21600" o:gfxdata="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yEkpNsAAAANAQAADwAAAAAAAAABACAAAAAiAAAAZHJzL2Rvd25yZXYu&#10;eG1sUEsBAhQAFAAAAAgAh07iQF+9dyhqAgAAzAQAAA4AAAAAAAAAAQAgAAAAKgEAAGRycy9lMm9E&#10;b2MueG1sUEsFBgAAAAAGAAYAWQEAAAYGA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highlight w:val="none"/>
        </w:rPr>
        <w:t>附件</w:t>
      </w:r>
      <w:r>
        <w:rPr>
          <w:rFonts w:hint="eastAsia" w:cs="Times New Roman"/>
          <w:b/>
          <w:bCs/>
          <w:color w:val="000000"/>
          <w:highlight w:val="none"/>
          <w:lang w:val="en-US" w:eastAsia="zh-CN"/>
        </w:rPr>
        <w:t>7用地证明</w:t>
      </w:r>
    </w:p>
    <w:p w14:paraId="32E7D287">
      <w:pPr>
        <w:rPr>
          <w:rFonts w:hint="eastAsia" w:ascii="Times New Roman" w:hAnsi="Times New Roman" w:eastAsia="宋体" w:cs="Times New Roman"/>
          <w:b/>
          <w:bCs/>
          <w:color w:val="000000"/>
          <w:highlight w:val="none"/>
          <w:lang w:eastAsia="zh-CN"/>
        </w:rPr>
      </w:pPr>
      <w:r>
        <w:rPr>
          <w:rFonts w:hint="eastAsia" w:ascii="Times New Roman" w:hAnsi="Times New Roman" w:eastAsia="宋体" w:cs="Times New Roman"/>
          <w:b/>
          <w:bCs/>
          <w:color w:val="000000"/>
          <w:highlight w:val="none"/>
          <w:lang w:eastAsia="zh-CN"/>
        </w:rPr>
        <w:drawing>
          <wp:inline distT="0" distB="0" distL="114300" distR="114300">
            <wp:extent cx="5424170" cy="8248650"/>
            <wp:effectExtent l="0" t="0" r="5080" b="0"/>
            <wp:docPr id="13" name="图片 13" descr="0dbc7e43cd737f217a2f637529887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dbc7e43cd737f217a2f637529887a21"/>
                    <pic:cNvPicPr>
                      <a:picLocks noChangeAspect="1"/>
                    </pic:cNvPicPr>
                  </pic:nvPicPr>
                  <pic:blipFill>
                    <a:blip r:embed="rId58">
                      <a:lum contrast="6000"/>
                    </a:blip>
                    <a:stretch>
                      <a:fillRect/>
                    </a:stretch>
                  </pic:blipFill>
                  <pic:spPr>
                    <a:xfrm>
                      <a:off x="0" y="0"/>
                      <a:ext cx="5424170" cy="8248650"/>
                    </a:xfrm>
                    <a:prstGeom prst="rect">
                      <a:avLst/>
                    </a:prstGeom>
                  </pic:spPr>
                </pic:pic>
              </a:graphicData>
            </a:graphic>
          </wp:inline>
        </w:drawing>
      </w:r>
    </w:p>
    <w:p w14:paraId="19020B34">
      <w:pP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br w:type="page"/>
      </w:r>
    </w:p>
    <w:p w14:paraId="341CA086">
      <w:pPr>
        <w:pStyle w:val="26"/>
        <w:ind w:left="0" w:leftChars="0"/>
        <w:rPr>
          <w:rFonts w:hint="default" w:ascii="Times New Roman" w:hAnsi="Times New Roman" w:cs="Times New Roman"/>
          <w:b/>
          <w:bCs/>
          <w:color w:val="000000"/>
          <w:highlight w:val="none"/>
        </w:rPr>
      </w:pPr>
      <w:r>
        <w:rPr>
          <w:rFonts w:hint="default" w:ascii="Times New Roman" w:hAnsi="Times New Roman" w:cs="Times New Roman"/>
          <w:highlight w:val="none"/>
        </w:rPr>
        <mc:AlternateContent>
          <mc:Choice Requires="wps">
            <w:drawing>
              <wp:anchor distT="0" distB="0" distL="114300" distR="114300" simplePos="0" relativeHeight="251691008" behindDoc="0" locked="0" layoutInCell="1" allowOverlap="1">
                <wp:simplePos x="0" y="0"/>
                <wp:positionH relativeFrom="column">
                  <wp:posOffset>2371725</wp:posOffset>
                </wp:positionH>
                <wp:positionV relativeFrom="paragraph">
                  <wp:posOffset>8019415</wp:posOffset>
                </wp:positionV>
                <wp:extent cx="698500" cy="438150"/>
                <wp:effectExtent l="0" t="0" r="6350" b="0"/>
                <wp:wrapNone/>
                <wp:docPr id="808283574" name="矩形 70"/>
                <wp:cNvGraphicFramePr/>
                <a:graphic xmlns:a="http://schemas.openxmlformats.org/drawingml/2006/main">
                  <a:graphicData uri="http://schemas.microsoft.com/office/word/2010/wordprocessingShape">
                    <wps:wsp>
                      <wps:cNvSpPr/>
                      <wps:spPr>
                        <a:xfrm>
                          <a:off x="0" y="0"/>
                          <a:ext cx="698500" cy="4381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0" o:spid="_x0000_s1026" o:spt="1" style="position:absolute;left:0pt;margin-left:186.75pt;margin-top:631.45pt;height:34.5pt;width:55pt;z-index:251691008;v-text-anchor:middle;mso-width-relative:page;mso-height-relative:page;" fillcolor="#FFFFFF [3212]" filled="t" stroked="f" coordsize="21600,21600" o:gfxdata="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K+7G02gAAAA0BAAAPAAAAAAAAAAEAIAAAACIAAABkcnMvZG93&#10;bnJldi54bWxQSwECFAAUAAAACACHTuJA7cYgGXACAADTBAAADgAAAAAAAAABACAAAAApAQAAZHJz&#10;L2Uyb0RvYy54bWxQSwUGAAAAAAYABgBZAQAACwY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2032" behindDoc="0" locked="0" layoutInCell="1" allowOverlap="1">
                <wp:simplePos x="0" y="0"/>
                <wp:positionH relativeFrom="column">
                  <wp:posOffset>2378075</wp:posOffset>
                </wp:positionH>
                <wp:positionV relativeFrom="paragraph">
                  <wp:posOffset>8984615</wp:posOffset>
                </wp:positionV>
                <wp:extent cx="704850" cy="304800"/>
                <wp:effectExtent l="0" t="0" r="0" b="0"/>
                <wp:wrapNone/>
                <wp:docPr id="1791042038" name="矩形 71"/>
                <wp:cNvGraphicFramePr/>
                <a:graphic xmlns:a="http://schemas.openxmlformats.org/drawingml/2006/main">
                  <a:graphicData uri="http://schemas.microsoft.com/office/word/2010/wordprocessingShape">
                    <wps:wsp>
                      <wps:cNvSpPr/>
                      <wps:spPr>
                        <a:xfrm>
                          <a:off x="0" y="0"/>
                          <a:ext cx="704850" cy="304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1" o:spid="_x0000_s1026" o:spt="1" style="position:absolute;left:0pt;margin-left:187.25pt;margin-top:707.45pt;height:24pt;width:55.5pt;z-index:251692032;v-text-anchor:middle;mso-width-relative:page;mso-height-relative:page;" fillcolor="#FFFFFF [3212]" filled="t" stroked="f" coordsize="21600,21600" o:gfxdata="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yFS+9sAAAANAQAADwAAAAAAAAABACAAAAAiAAAAZHJzL2Rv&#10;d25yZXYueG1sUEsBAhQAFAAAAAgAh07iQJ89GGpwAgAA1AQAAA4AAAAAAAAAAQAgAAAAKgEAAGRy&#10;cy9lMm9Eb2MueG1sUEsFBgAAAAAGAAYAWQEAAAwGA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3056" behindDoc="0" locked="0" layoutInCell="1" allowOverlap="1">
                <wp:simplePos x="0" y="0"/>
                <wp:positionH relativeFrom="column">
                  <wp:posOffset>2390775</wp:posOffset>
                </wp:positionH>
                <wp:positionV relativeFrom="paragraph">
                  <wp:posOffset>8990965</wp:posOffset>
                </wp:positionV>
                <wp:extent cx="546100" cy="355600"/>
                <wp:effectExtent l="0" t="0" r="6350" b="6350"/>
                <wp:wrapNone/>
                <wp:docPr id="5548703" name="矩形 72"/>
                <wp:cNvGraphicFramePr/>
                <a:graphic xmlns:a="http://schemas.openxmlformats.org/drawingml/2006/main">
                  <a:graphicData uri="http://schemas.microsoft.com/office/word/2010/wordprocessingShape">
                    <wps:wsp>
                      <wps:cNvSpPr/>
                      <wps:spPr>
                        <a:xfrm>
                          <a:off x="0" y="0"/>
                          <a:ext cx="546100" cy="355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2" o:spid="_x0000_s1026" o:spt="1" style="position:absolute;left:0pt;margin-left:188.25pt;margin-top:707.95pt;height:28pt;width:43pt;z-index:251693056;v-text-anchor:middle;mso-width-relative:page;mso-height-relative:page;" fillcolor="#FFFFFF [3212]" filled="t" stroked="f" coordsize="21600,21600" o:gfxdata="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HISSk2wAAAA0BAAAPAAAAAAAAAAEAIAAAACIAAABkcnMvZG93&#10;bnJldi54bWxQSwECFAAUAAAACACHTuJAIs/HKm8CAADRBAAADgAAAAAAAAABACAAAAAqAQAAZHJz&#10;L2Uyb0RvYy54bWxQSwUGAAAAAAYABgBZAQAACwY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highlight w:val="none"/>
        </w:rPr>
        <w:t>附件</w:t>
      </w:r>
      <w:r>
        <w:rPr>
          <w:rFonts w:hint="eastAsia" w:cs="Times New Roman"/>
          <w:b/>
          <w:bCs/>
          <w:color w:val="000000"/>
          <w:highlight w:val="none"/>
          <w:lang w:val="en-US" w:eastAsia="zh-CN"/>
        </w:rPr>
        <w:t>8</w:t>
      </w:r>
      <w:r>
        <w:rPr>
          <w:rFonts w:hint="default" w:ascii="Times New Roman" w:hAnsi="Times New Roman" w:cs="Times New Roman"/>
          <w:b/>
          <w:bCs/>
          <w:color w:val="000000"/>
          <w:highlight w:val="none"/>
        </w:rPr>
        <w:t>资料真实性承诺书</w:t>
      </w:r>
    </w:p>
    <w:p w14:paraId="49471603">
      <w:pPr>
        <w:pStyle w:val="26"/>
        <w:ind w:left="0" w:leftChars="0"/>
        <w:rPr>
          <w:rFonts w:hint="default" w:ascii="Times New Roman" w:hAnsi="Times New Roman" w:cs="Times New Roman"/>
          <w:highlight w:val="none"/>
        </w:rPr>
      </w:pPr>
    </w:p>
    <w:p w14:paraId="4724490E">
      <w:pPr>
        <w:pStyle w:val="16"/>
        <w:spacing w:line="256" w:lineRule="auto"/>
        <w:rPr>
          <w:rFonts w:hint="default" w:ascii="Times New Roman" w:hAnsi="Times New Roman" w:cs="Times New Roman"/>
          <w:highlight w:val="none"/>
        </w:rPr>
      </w:pPr>
    </w:p>
    <w:p w14:paraId="5613815D">
      <w:pPr>
        <w:spacing w:before="101" w:line="224" w:lineRule="auto"/>
        <w:jc w:val="center"/>
        <w:rPr>
          <w:rFonts w:hint="default" w:ascii="Times New Roman" w:hAnsi="Times New Roman" w:cs="Times New Roman"/>
          <w:sz w:val="44"/>
          <w:szCs w:val="44"/>
          <w:highlight w:val="none"/>
        </w:rPr>
      </w:pPr>
      <w:r>
        <w:rPr>
          <w:rFonts w:hint="default" w:ascii="Times New Roman" w:hAnsi="Times New Roman" w:cs="Times New Roman"/>
          <w:spacing w:val="10"/>
          <w:sz w:val="44"/>
          <w:szCs w:val="44"/>
          <w:highlight w:val="none"/>
        </w:rPr>
        <w:t>资料真实性承诺书</w:t>
      </w:r>
    </w:p>
    <w:p w14:paraId="4556C079">
      <w:pPr>
        <w:pStyle w:val="16"/>
        <w:spacing w:line="334" w:lineRule="auto"/>
        <w:rPr>
          <w:rFonts w:hint="default" w:ascii="Times New Roman" w:hAnsi="Times New Roman" w:cs="Times New Roman"/>
          <w:highlight w:val="none"/>
        </w:rPr>
      </w:pPr>
    </w:p>
    <w:p w14:paraId="2C22CD2E">
      <w:pPr>
        <w:pStyle w:val="16"/>
        <w:spacing w:line="321" w:lineRule="auto"/>
        <w:rPr>
          <w:rFonts w:hint="default" w:ascii="Times New Roman" w:hAnsi="Times New Roman" w:cs="Times New Roman"/>
          <w:highlight w:val="none"/>
        </w:rPr>
      </w:pPr>
    </w:p>
    <w:p w14:paraId="4E2634C7">
      <w:pPr>
        <w:spacing w:before="100" w:line="476" w:lineRule="auto"/>
        <w:ind w:left="23" w:firstLine="645"/>
        <w:rPr>
          <w:rFonts w:hint="default" w:ascii="Times New Roman" w:hAnsi="Times New Roman" w:cs="Times New Roman"/>
          <w:sz w:val="31"/>
          <w:szCs w:val="31"/>
          <w:highlight w:val="none"/>
        </w:rPr>
      </w:pPr>
      <w:r>
        <w:rPr>
          <w:rFonts w:hint="default" w:ascii="Times New Roman" w:hAnsi="Times New Roman" w:cs="Times New Roman"/>
          <w:spacing w:val="1"/>
          <w:sz w:val="31"/>
          <w:szCs w:val="31"/>
          <w:highlight w:val="none"/>
        </w:rPr>
        <w:t>我公司委托</w:t>
      </w:r>
      <w:r>
        <w:rPr>
          <w:rFonts w:hint="default" w:ascii="Times New Roman" w:hAnsi="Times New Roman" w:cs="Times New Roman"/>
          <w:spacing w:val="1"/>
          <w:sz w:val="31"/>
          <w:szCs w:val="31"/>
          <w:highlight w:val="none"/>
          <w:u w:val="single"/>
        </w:rPr>
        <w:t>淄博弘邦技术服务有限公司</w:t>
      </w:r>
      <w:r>
        <w:rPr>
          <w:rFonts w:hint="default" w:ascii="Times New Roman" w:hAnsi="Times New Roman" w:cs="Times New Roman"/>
          <w:spacing w:val="1"/>
          <w:sz w:val="31"/>
          <w:szCs w:val="31"/>
          <w:highlight w:val="none"/>
        </w:rPr>
        <w:t>编制的</w:t>
      </w:r>
      <w:r>
        <w:rPr>
          <w:rFonts w:hint="default" w:ascii="Times New Roman" w:hAnsi="Times New Roman" w:cs="Times New Roman"/>
          <w:spacing w:val="2"/>
          <w:sz w:val="31"/>
          <w:szCs w:val="31"/>
          <w:highlight w:val="none"/>
          <w:u w:val="single"/>
          <w:lang w:eastAsia="zh-CN"/>
        </w:rPr>
        <w:t>淄博齐钰达塑业有限公司</w:t>
      </w:r>
      <w:r>
        <w:rPr>
          <w:rFonts w:hint="default" w:ascii="Times New Roman" w:hAnsi="Times New Roman" w:cs="Times New Roman"/>
          <w:spacing w:val="2"/>
          <w:sz w:val="31"/>
          <w:szCs w:val="31"/>
          <w:highlight w:val="none"/>
          <w:u w:val="single"/>
        </w:rPr>
        <w:t>年产30万套塑料桶制品项目</w:t>
      </w:r>
      <w:r>
        <w:rPr>
          <w:rFonts w:hint="default" w:ascii="Times New Roman" w:hAnsi="Times New Roman" w:cs="Times New Roman"/>
          <w:spacing w:val="2"/>
          <w:sz w:val="31"/>
          <w:szCs w:val="31"/>
          <w:highlight w:val="none"/>
        </w:rPr>
        <w:t>环境影响报告表，已经我公司确认，环评报告所述内容与我公司建设项目情况一致；我公司对提供给</w:t>
      </w:r>
      <w:r>
        <w:rPr>
          <w:rFonts w:hint="default" w:ascii="Times New Roman" w:hAnsi="Times New Roman" w:cs="Times New Roman"/>
          <w:spacing w:val="2"/>
          <w:sz w:val="31"/>
          <w:szCs w:val="31"/>
          <w:highlight w:val="none"/>
          <w:u w:val="single"/>
        </w:rPr>
        <w:t>淄博弘邦技术服务有限公司</w:t>
      </w:r>
      <w:r>
        <w:rPr>
          <w:rFonts w:hint="default" w:ascii="Times New Roman" w:hAnsi="Times New Roman" w:cs="Times New Roman"/>
          <w:spacing w:val="2"/>
          <w:sz w:val="31"/>
          <w:szCs w:val="31"/>
          <w:highlight w:val="none"/>
        </w:rPr>
        <w:t>资料的准确性和真实性完全负责，如存在隐瞒和假报等情况及由此导致的一切后果，我公司负全部法律责任。</w:t>
      </w:r>
    </w:p>
    <w:p w14:paraId="2AC392AE">
      <w:pPr>
        <w:pStyle w:val="16"/>
        <w:spacing w:line="321" w:lineRule="auto"/>
        <w:rPr>
          <w:rFonts w:hint="default" w:ascii="Times New Roman" w:hAnsi="Times New Roman" w:cs="Times New Roman"/>
          <w:highlight w:val="none"/>
        </w:rPr>
      </w:pPr>
    </w:p>
    <w:p w14:paraId="2BDEF5A1">
      <w:pPr>
        <w:spacing w:before="101" w:line="225" w:lineRule="auto"/>
        <w:ind w:left="667"/>
        <w:rPr>
          <w:rFonts w:hint="default" w:ascii="Times New Roman" w:hAnsi="Times New Roman" w:cs="Times New Roman"/>
          <w:sz w:val="31"/>
          <w:szCs w:val="31"/>
          <w:highlight w:val="none"/>
        </w:rPr>
      </w:pPr>
      <w:r>
        <w:rPr>
          <w:rFonts w:hint="default" w:ascii="Times New Roman" w:hAnsi="Times New Roman" w:cs="Times New Roman"/>
          <w:spacing w:val="5"/>
          <w:sz w:val="31"/>
          <w:szCs w:val="31"/>
          <w:highlight w:val="none"/>
        </w:rPr>
        <w:t>特此承诺！</w:t>
      </w:r>
    </w:p>
    <w:p w14:paraId="2381E1DB">
      <w:pPr>
        <w:pStyle w:val="16"/>
        <w:spacing w:line="258" w:lineRule="auto"/>
        <w:rPr>
          <w:rFonts w:hint="default" w:ascii="Times New Roman" w:hAnsi="Times New Roman" w:cs="Times New Roman"/>
          <w:highlight w:val="none"/>
        </w:rPr>
      </w:pPr>
    </w:p>
    <w:p w14:paraId="48C24328">
      <w:pPr>
        <w:spacing w:before="91" w:line="624" w:lineRule="exact"/>
        <w:ind w:right="71"/>
        <w:jc w:val="right"/>
        <w:rPr>
          <w:rFonts w:hint="default" w:ascii="Times New Roman" w:hAnsi="Times New Roman" w:cs="Times New Roman"/>
          <w:spacing w:val="-1"/>
          <w:position w:val="26"/>
          <w:sz w:val="28"/>
          <w:szCs w:val="28"/>
          <w:highlight w:val="none"/>
        </w:rPr>
      </w:pPr>
    </w:p>
    <w:p w14:paraId="5F974300">
      <w:pPr>
        <w:spacing w:before="91" w:line="624" w:lineRule="exact"/>
        <w:ind w:right="71"/>
        <w:jc w:val="right"/>
        <w:rPr>
          <w:rFonts w:hint="eastAsia" w:ascii="Times New Roman" w:hAnsi="Times New Roman" w:eastAsia="宋体" w:cs="Times New Roman"/>
          <w:sz w:val="28"/>
          <w:szCs w:val="28"/>
          <w:highlight w:val="none"/>
          <w:lang w:eastAsia="zh-CN"/>
        </w:rPr>
      </w:pPr>
      <w:r>
        <w:rPr>
          <w:rFonts w:hint="default" w:ascii="Times New Roman" w:hAnsi="Times New Roman" w:cs="Times New Roman"/>
          <w:spacing w:val="-1"/>
          <w:position w:val="26"/>
          <w:sz w:val="28"/>
          <w:szCs w:val="28"/>
          <w:highlight w:val="none"/>
        </w:rPr>
        <w:t xml:space="preserve"> </w:t>
      </w:r>
      <w:r>
        <w:rPr>
          <w:rFonts w:hint="eastAsia" w:cs="Times New Roman"/>
          <w:spacing w:val="-1"/>
          <w:position w:val="26"/>
          <w:sz w:val="28"/>
          <w:szCs w:val="28"/>
          <w:highlight w:val="none"/>
          <w:lang w:eastAsia="zh-CN"/>
        </w:rPr>
        <w:t>淄博齐钰达塑业有限公司</w:t>
      </w:r>
    </w:p>
    <w:p w14:paraId="48F23F4D">
      <w:pPr>
        <w:spacing w:before="1" w:line="219" w:lineRule="auto"/>
        <w:ind w:firstLine="5560" w:firstLineChars="2000"/>
        <w:rPr>
          <w:rFonts w:hint="default" w:ascii="Times New Roman" w:hAnsi="Times New Roman" w:cs="Times New Roman"/>
          <w:spacing w:val="-1"/>
          <w:sz w:val="28"/>
          <w:szCs w:val="28"/>
          <w:highlight w:val="none"/>
        </w:rPr>
      </w:pPr>
    </w:p>
    <w:p w14:paraId="107340D2">
      <w:pPr>
        <w:spacing w:before="1" w:line="219" w:lineRule="auto"/>
        <w:ind w:firstLine="5282" w:firstLineChars="1900"/>
        <w:rPr>
          <w:rFonts w:hint="default" w:ascii="Times New Roman" w:hAnsi="Times New Roman" w:eastAsia="等线" w:cs="Times New Roman"/>
          <w:spacing w:val="-1"/>
          <w:sz w:val="28"/>
          <w:szCs w:val="28"/>
          <w:highlight w:val="none"/>
        </w:rPr>
      </w:pPr>
      <w:r>
        <w:rPr>
          <w:rFonts w:hint="default" w:ascii="Times New Roman" w:hAnsi="Times New Roman" w:cs="Times New Roman"/>
          <w:spacing w:val="-1"/>
          <w:sz w:val="28"/>
          <w:szCs w:val="28"/>
          <w:highlight w:val="none"/>
        </w:rPr>
        <w:t xml:space="preserve">  </w:t>
      </w:r>
      <w:r>
        <w:rPr>
          <w:rFonts w:hint="eastAsia" w:cs="Times New Roman"/>
          <w:spacing w:val="-1"/>
          <w:sz w:val="28"/>
          <w:szCs w:val="28"/>
          <w:highlight w:val="none"/>
          <w:lang w:val="en-US" w:eastAsia="zh-CN"/>
        </w:rPr>
        <w:t>2026</w:t>
      </w:r>
      <w:r>
        <w:rPr>
          <w:rFonts w:hint="default" w:ascii="Times New Roman" w:hAnsi="Times New Roman" w:eastAsia="Times New Roman" w:cs="Times New Roman"/>
          <w:spacing w:val="-1"/>
          <w:sz w:val="28"/>
          <w:szCs w:val="28"/>
          <w:highlight w:val="none"/>
        </w:rPr>
        <w:t>年</w:t>
      </w:r>
      <w:r>
        <w:rPr>
          <w:rFonts w:hint="eastAsia" w:eastAsia="宋体" w:cs="Times New Roman"/>
          <w:spacing w:val="-1"/>
          <w:sz w:val="28"/>
          <w:szCs w:val="28"/>
          <w:highlight w:val="none"/>
          <w:lang w:val="en-US" w:eastAsia="zh-CN"/>
        </w:rPr>
        <w:t>1</w:t>
      </w:r>
      <w:r>
        <w:rPr>
          <w:rFonts w:hint="default" w:ascii="Times New Roman" w:hAnsi="Times New Roman" w:eastAsia="Times New Roman" w:cs="Times New Roman"/>
          <w:spacing w:val="-1"/>
          <w:sz w:val="28"/>
          <w:szCs w:val="28"/>
          <w:highlight w:val="none"/>
        </w:rPr>
        <w:t>月</w:t>
      </w:r>
      <w:r>
        <w:rPr>
          <w:rFonts w:hint="eastAsia" w:eastAsia="等线" w:cs="Times New Roman"/>
          <w:spacing w:val="-1"/>
          <w:sz w:val="28"/>
          <w:szCs w:val="28"/>
          <w:highlight w:val="none"/>
          <w:lang w:val="en-US" w:eastAsia="zh-CN"/>
        </w:rPr>
        <w:t>24</w:t>
      </w:r>
      <w:r>
        <w:rPr>
          <w:rFonts w:hint="default" w:ascii="Times New Roman" w:hAnsi="Times New Roman" w:eastAsia="等线" w:cs="Times New Roman"/>
          <w:spacing w:val="-1"/>
          <w:sz w:val="28"/>
          <w:szCs w:val="28"/>
          <w:highlight w:val="none"/>
        </w:rPr>
        <w:t>日</w:t>
      </w:r>
    </w:p>
    <w:p w14:paraId="308A7595">
      <w:pPr>
        <w:spacing w:before="1" w:line="219" w:lineRule="auto"/>
        <w:ind w:firstLine="4170" w:firstLineChars="1500"/>
        <w:rPr>
          <w:rFonts w:hint="default" w:ascii="Times New Roman" w:hAnsi="Times New Roman" w:eastAsia="Times New Roman" w:cs="Times New Roman"/>
          <w:spacing w:val="-1"/>
          <w:sz w:val="28"/>
          <w:szCs w:val="28"/>
          <w:highlight w:val="none"/>
        </w:rPr>
        <w:sectPr>
          <w:footerReference r:id="rId12" w:type="default"/>
          <w:pgSz w:w="11906" w:h="16839"/>
          <w:pgMar w:top="1431" w:right="1785" w:bottom="1100" w:left="1785" w:header="0" w:footer="836" w:gutter="0"/>
          <w:cols w:space="720" w:num="1"/>
        </w:sectPr>
      </w:pPr>
    </w:p>
    <w:p w14:paraId="2C2CD649">
      <w:pPr>
        <w:spacing w:before="1" w:line="219" w:lineRule="auto"/>
        <w:rPr>
          <w:rFonts w:hint="eastAsia"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附件</w:t>
      </w:r>
      <w:r>
        <w:rPr>
          <w:rFonts w:hint="eastAsia" w:ascii="Times New Roman" w:hAnsi="Times New Roman" w:cs="Times New Roman"/>
          <w:b/>
          <w:bCs/>
          <w:color w:val="000000"/>
          <w:highlight w:val="none"/>
          <w:lang w:val="en-US" w:eastAsia="zh-CN"/>
        </w:rPr>
        <w:t>9危废承诺书</w:t>
      </w:r>
    </w:p>
    <w:p w14:paraId="0DD1F53B">
      <w:pPr>
        <w:spacing w:line="360" w:lineRule="auto"/>
        <w:jc w:val="center"/>
        <w:rPr>
          <w:rFonts w:hint="eastAsia"/>
          <w:b/>
          <w:bCs/>
          <w:color w:val="auto"/>
          <w:sz w:val="36"/>
          <w:szCs w:val="36"/>
        </w:rPr>
      </w:pPr>
    </w:p>
    <w:p w14:paraId="2B64FF7B">
      <w:pPr>
        <w:spacing w:line="360" w:lineRule="auto"/>
        <w:jc w:val="center"/>
        <w:rPr>
          <w:b/>
          <w:bCs/>
          <w:color w:val="auto"/>
          <w:sz w:val="36"/>
          <w:szCs w:val="36"/>
        </w:rPr>
      </w:pPr>
      <w:r>
        <w:rPr>
          <w:rFonts w:hint="eastAsia"/>
          <w:b/>
          <w:bCs/>
          <w:color w:val="auto"/>
          <w:sz w:val="36"/>
          <w:szCs w:val="36"/>
        </w:rPr>
        <w:t>危险废物合法处置承诺书</w:t>
      </w:r>
    </w:p>
    <w:p w14:paraId="07D059AC">
      <w:pPr>
        <w:spacing w:line="360" w:lineRule="auto"/>
        <w:rPr>
          <w:color w:val="auto"/>
          <w:sz w:val="28"/>
          <w:szCs w:val="28"/>
        </w:rPr>
      </w:pPr>
    </w:p>
    <w:p w14:paraId="4CFE9F8E">
      <w:pPr>
        <w:spacing w:line="360" w:lineRule="auto"/>
        <w:rPr>
          <w:color w:val="auto"/>
          <w:sz w:val="28"/>
          <w:szCs w:val="28"/>
        </w:rPr>
      </w:pPr>
      <w:r>
        <w:rPr>
          <w:rFonts w:hint="eastAsia"/>
          <w:color w:val="auto"/>
          <w:sz w:val="28"/>
          <w:szCs w:val="28"/>
        </w:rPr>
        <w:t>淄博市生态环境局临淄分局：</w:t>
      </w:r>
    </w:p>
    <w:p w14:paraId="0F471955">
      <w:pPr>
        <w:spacing w:line="360" w:lineRule="auto"/>
        <w:ind w:firstLine="480"/>
        <w:rPr>
          <w:rFonts w:hint="eastAsia" w:eastAsia="宋体"/>
          <w:color w:val="auto"/>
          <w:sz w:val="28"/>
          <w:szCs w:val="28"/>
          <w:lang w:eastAsia="zh-CN"/>
        </w:rPr>
      </w:pPr>
      <w:r>
        <w:rPr>
          <w:rFonts w:hint="eastAsia"/>
          <w:color w:val="auto"/>
          <w:sz w:val="28"/>
          <w:szCs w:val="28"/>
        </w:rPr>
        <w:t>无机二氧化硅纳米新材料项目运营期间，产生的危险废物主要为</w:t>
      </w:r>
      <w:r>
        <w:rPr>
          <w:rFonts w:hint="eastAsia" w:ascii="Times New Roman" w:hAnsi="Times New Roman" w:eastAsia="宋体" w:cs="宋体"/>
          <w:color w:val="auto"/>
          <w:sz w:val="28"/>
          <w:szCs w:val="28"/>
        </w:rPr>
        <w:t>：</w:t>
      </w:r>
      <w:r>
        <w:rPr>
          <w:rFonts w:hint="eastAsia"/>
          <w:color w:val="auto"/>
          <w:sz w:val="28"/>
          <w:szCs w:val="28"/>
        </w:rPr>
        <w:t>废润滑油，类别为：HW08，危废代码：900-217-08</w:t>
      </w:r>
      <w:r>
        <w:rPr>
          <w:rFonts w:hint="eastAsia"/>
          <w:color w:val="auto"/>
          <w:sz w:val="28"/>
          <w:szCs w:val="28"/>
          <w:lang w:eastAsia="zh-CN"/>
        </w:rPr>
        <w:t>；</w:t>
      </w:r>
      <w:r>
        <w:rPr>
          <w:rFonts w:hint="eastAsia"/>
          <w:color w:val="auto"/>
          <w:sz w:val="28"/>
          <w:szCs w:val="28"/>
        </w:rPr>
        <w:t>废润滑油</w:t>
      </w:r>
      <w:r>
        <w:rPr>
          <w:rFonts w:hint="eastAsia"/>
          <w:color w:val="auto"/>
          <w:sz w:val="28"/>
          <w:szCs w:val="28"/>
          <w:lang w:val="en-US" w:eastAsia="zh-CN"/>
        </w:rPr>
        <w:t>桶</w:t>
      </w:r>
      <w:r>
        <w:rPr>
          <w:rFonts w:hint="eastAsia"/>
          <w:color w:val="auto"/>
          <w:sz w:val="28"/>
          <w:szCs w:val="28"/>
        </w:rPr>
        <w:t>，类别为：HW08，危废代码：900-</w:t>
      </w:r>
      <w:r>
        <w:rPr>
          <w:rFonts w:hint="eastAsia"/>
          <w:color w:val="auto"/>
          <w:sz w:val="28"/>
          <w:szCs w:val="28"/>
          <w:lang w:val="en-US" w:eastAsia="zh-CN"/>
        </w:rPr>
        <w:t>249</w:t>
      </w:r>
      <w:r>
        <w:rPr>
          <w:rFonts w:hint="eastAsia"/>
          <w:color w:val="auto"/>
          <w:sz w:val="28"/>
          <w:szCs w:val="28"/>
        </w:rPr>
        <w:t>-08</w:t>
      </w:r>
      <w:r>
        <w:rPr>
          <w:rFonts w:hint="eastAsia"/>
          <w:color w:val="auto"/>
          <w:sz w:val="28"/>
          <w:szCs w:val="28"/>
          <w:lang w:eastAsia="zh-CN"/>
        </w:rPr>
        <w:t>；</w:t>
      </w:r>
      <w:r>
        <w:rPr>
          <w:rFonts w:hint="eastAsia"/>
          <w:color w:val="auto"/>
          <w:sz w:val="28"/>
          <w:szCs w:val="28"/>
        </w:rPr>
        <w:t>废活性炭</w:t>
      </w:r>
      <w:r>
        <w:rPr>
          <w:rFonts w:hint="eastAsia"/>
          <w:color w:val="auto"/>
          <w:sz w:val="28"/>
          <w:szCs w:val="28"/>
          <w:lang w:eastAsia="zh-CN"/>
        </w:rPr>
        <w:t>，</w:t>
      </w:r>
      <w:r>
        <w:rPr>
          <w:rFonts w:hint="eastAsia"/>
          <w:color w:val="auto"/>
          <w:sz w:val="28"/>
          <w:szCs w:val="28"/>
        </w:rPr>
        <w:t>类别为：</w:t>
      </w:r>
      <w:r>
        <w:rPr>
          <w:rFonts w:hint="eastAsia"/>
          <w:color w:val="auto"/>
          <w:sz w:val="28"/>
          <w:szCs w:val="28"/>
        </w:rPr>
        <w:tab/>
      </w:r>
      <w:r>
        <w:rPr>
          <w:rFonts w:hint="eastAsia"/>
          <w:color w:val="auto"/>
          <w:sz w:val="28"/>
          <w:szCs w:val="28"/>
        </w:rPr>
        <w:t>HW49</w:t>
      </w:r>
      <w:r>
        <w:rPr>
          <w:rFonts w:hint="eastAsia"/>
          <w:color w:val="auto"/>
          <w:sz w:val="28"/>
          <w:szCs w:val="28"/>
        </w:rPr>
        <w:tab/>
      </w:r>
      <w:r>
        <w:rPr>
          <w:rFonts w:hint="eastAsia"/>
          <w:color w:val="auto"/>
          <w:sz w:val="28"/>
          <w:szCs w:val="28"/>
        </w:rPr>
        <w:t>危废代码：900-039-49</w:t>
      </w:r>
      <w:r>
        <w:rPr>
          <w:rFonts w:hint="eastAsia"/>
          <w:color w:val="auto"/>
          <w:sz w:val="28"/>
          <w:szCs w:val="28"/>
          <w:lang w:eastAsia="zh-CN"/>
        </w:rPr>
        <w:t>。</w:t>
      </w:r>
    </w:p>
    <w:p w14:paraId="08B98106">
      <w:pPr>
        <w:spacing w:line="360" w:lineRule="auto"/>
        <w:ind w:firstLine="480"/>
        <w:rPr>
          <w:color w:val="auto"/>
          <w:sz w:val="28"/>
          <w:szCs w:val="28"/>
        </w:rPr>
      </w:pPr>
      <w:r>
        <w:rPr>
          <w:rFonts w:hint="eastAsia"/>
          <w:color w:val="auto"/>
          <w:sz w:val="28"/>
          <w:szCs w:val="28"/>
        </w:rPr>
        <w:t>我单位承诺，严格按照《危险废物贮存污染控制标准》（GB18597-2023）、《危险废物转移管理办法》要求收集、储存、转移危险废物，以上危险废物均合法处置，不违规转移，按照危险废物规范化管理的要求严格管理。</w:t>
      </w:r>
    </w:p>
    <w:p w14:paraId="6D41260B">
      <w:pPr>
        <w:spacing w:line="360" w:lineRule="auto"/>
        <w:ind w:firstLine="3819" w:firstLineChars="1364"/>
        <w:rPr>
          <w:color w:val="auto"/>
          <w:sz w:val="28"/>
          <w:szCs w:val="28"/>
        </w:rPr>
      </w:pPr>
    </w:p>
    <w:p w14:paraId="77EE688A">
      <w:pPr>
        <w:spacing w:line="360" w:lineRule="auto"/>
        <w:ind w:firstLine="3200" w:firstLineChars="1000"/>
        <w:rPr>
          <w:color w:val="auto"/>
          <w:sz w:val="32"/>
          <w:szCs w:val="32"/>
        </w:rPr>
      </w:pPr>
    </w:p>
    <w:p w14:paraId="2865B6BB">
      <w:pPr>
        <w:spacing w:line="360" w:lineRule="auto"/>
        <w:ind w:firstLine="3200" w:firstLineChars="1000"/>
        <w:rPr>
          <w:color w:val="auto"/>
          <w:sz w:val="32"/>
          <w:szCs w:val="32"/>
        </w:rPr>
      </w:pPr>
    </w:p>
    <w:p w14:paraId="1BF09E11">
      <w:pPr>
        <w:spacing w:line="360" w:lineRule="auto"/>
        <w:ind w:left="4470" w:leftChars="1824" w:hanging="640" w:hangingChars="200"/>
        <w:rPr>
          <w:rFonts w:hint="eastAsia"/>
          <w:color w:val="auto"/>
          <w:sz w:val="32"/>
          <w:szCs w:val="32"/>
        </w:rPr>
      </w:pPr>
      <w:r>
        <w:rPr>
          <w:rFonts w:hint="eastAsia"/>
          <w:color w:val="auto"/>
          <w:sz w:val="32"/>
          <w:szCs w:val="32"/>
        </w:rPr>
        <w:t xml:space="preserve"> </w:t>
      </w:r>
      <w:r>
        <w:rPr>
          <w:rFonts w:hint="eastAsia"/>
          <w:color w:val="auto"/>
          <w:sz w:val="32"/>
          <w:szCs w:val="32"/>
          <w:lang w:val="en-US" w:eastAsia="zh-CN"/>
        </w:rPr>
        <w:t xml:space="preserve">    </w:t>
      </w:r>
      <w:bookmarkStart w:id="18" w:name="_GoBack"/>
      <w:bookmarkEnd w:id="18"/>
      <w:r>
        <w:rPr>
          <w:rFonts w:hint="eastAsia"/>
          <w:color w:val="auto"/>
          <w:sz w:val="32"/>
          <w:szCs w:val="32"/>
        </w:rPr>
        <w:t>淄博齐钰达塑业有限公司</w:t>
      </w:r>
    </w:p>
    <w:p w14:paraId="15FFB7C6">
      <w:pPr>
        <w:spacing w:line="360" w:lineRule="auto"/>
        <w:ind w:left="4470" w:leftChars="1824" w:hanging="640" w:hangingChars="200"/>
        <w:rPr>
          <w:rFonts w:hint="eastAsia"/>
          <w:color w:val="auto"/>
          <w:sz w:val="32"/>
          <w:szCs w:val="32"/>
        </w:rPr>
      </w:pPr>
    </w:p>
    <w:p w14:paraId="3D7F6370">
      <w:pPr>
        <w:spacing w:before="1" w:line="219" w:lineRule="auto"/>
        <w:ind w:firstLine="5120" w:firstLineChars="1600"/>
        <w:rPr>
          <w:rFonts w:hint="eastAsia" w:ascii="Times New Roman" w:hAnsi="Times New Roman" w:cs="Times New Roman"/>
          <w:b/>
          <w:bCs/>
          <w:color w:val="000000"/>
          <w:highlight w:val="none"/>
          <w:lang w:val="en-US" w:eastAsia="zh-CN"/>
        </w:rPr>
      </w:pPr>
      <w:r>
        <w:rPr>
          <w:rFonts w:hint="eastAsia"/>
          <w:color w:val="auto"/>
          <w:sz w:val="32"/>
          <w:szCs w:val="32"/>
        </w:rPr>
        <w:t>202</w:t>
      </w:r>
      <w:r>
        <w:rPr>
          <w:rFonts w:hint="eastAsia"/>
          <w:color w:val="auto"/>
          <w:sz w:val="32"/>
          <w:szCs w:val="32"/>
          <w:lang w:val="en-US" w:eastAsia="zh-CN"/>
        </w:rPr>
        <w:t>6</w:t>
      </w:r>
      <w:r>
        <w:rPr>
          <w:rFonts w:hint="eastAsia"/>
          <w:color w:val="auto"/>
          <w:sz w:val="32"/>
          <w:szCs w:val="32"/>
        </w:rPr>
        <w:t>年</w:t>
      </w:r>
      <w:r>
        <w:rPr>
          <w:rFonts w:hint="eastAsia"/>
          <w:color w:val="auto"/>
          <w:sz w:val="32"/>
          <w:szCs w:val="32"/>
          <w:lang w:val="en-US" w:eastAsia="zh-CN"/>
        </w:rPr>
        <w:t>1</w:t>
      </w:r>
      <w:r>
        <w:rPr>
          <w:rFonts w:hint="eastAsia"/>
          <w:color w:val="auto"/>
          <w:sz w:val="32"/>
          <w:szCs w:val="32"/>
        </w:rPr>
        <w:t>月</w:t>
      </w:r>
      <w:r>
        <w:rPr>
          <w:rFonts w:hint="eastAsia"/>
          <w:color w:val="auto"/>
          <w:sz w:val="32"/>
          <w:szCs w:val="32"/>
          <w:lang w:val="en-US" w:eastAsia="zh-CN"/>
        </w:rPr>
        <w:t>24</w:t>
      </w:r>
      <w:r>
        <w:rPr>
          <w:rFonts w:hint="eastAsia"/>
          <w:color w:val="auto"/>
          <w:sz w:val="32"/>
          <w:szCs w:val="32"/>
        </w:rPr>
        <w:t>日</w:t>
      </w:r>
    </w:p>
    <w:p w14:paraId="0A6A05FF">
      <w:pPr>
        <w:spacing w:before="1" w:line="219" w:lineRule="auto"/>
        <w:rPr>
          <w:rFonts w:hint="eastAsia" w:ascii="Times New Roman" w:hAnsi="Times New Roman" w:cs="Times New Roman"/>
          <w:b/>
          <w:bCs/>
          <w:color w:val="000000"/>
          <w:highlight w:val="none"/>
          <w:lang w:val="en-US" w:eastAsia="zh-CN"/>
        </w:rPr>
      </w:pPr>
    </w:p>
    <w:p w14:paraId="7F01BD15">
      <w:pPr>
        <w:spacing w:before="1" w:line="219" w:lineRule="auto"/>
        <w:rPr>
          <w:rFonts w:hint="eastAsia" w:ascii="Times New Roman" w:hAnsi="Times New Roman" w:cs="Times New Roman"/>
          <w:b/>
          <w:bCs/>
          <w:color w:val="000000"/>
          <w:highlight w:val="none"/>
          <w:lang w:val="en-US" w:eastAsia="zh-CN"/>
        </w:rPr>
      </w:pPr>
    </w:p>
    <w:p w14:paraId="7BA7C83C">
      <w:pPr>
        <w:spacing w:before="1" w:line="219" w:lineRule="auto"/>
        <w:rPr>
          <w:rFonts w:hint="default" w:ascii="Times New Roman" w:hAnsi="Times New Roman" w:cs="Times New Roman"/>
          <w:b/>
          <w:bCs/>
          <w:color w:val="000000"/>
          <w:highlight w:val="none"/>
          <w:lang w:val="en-US" w:eastAsia="zh-CN"/>
        </w:rPr>
      </w:pPr>
    </w:p>
    <w:p w14:paraId="307AA1C2">
      <w:pPr>
        <w:spacing w:before="1" w:line="219" w:lineRule="auto"/>
        <w:rPr>
          <w:rFonts w:hint="default" w:ascii="Times New Roman" w:hAnsi="Times New Roman" w:cs="Times New Roman"/>
          <w:b/>
          <w:bCs/>
          <w:color w:val="000000"/>
          <w:highlight w:val="none"/>
          <w:lang w:val="en-US" w:eastAsia="zh-CN"/>
        </w:rPr>
      </w:pPr>
    </w:p>
    <w:p w14:paraId="0BB72FCF">
      <w:pPr>
        <w:spacing w:before="1" w:line="219" w:lineRule="auto"/>
        <w:rPr>
          <w:rFonts w:hint="default" w:ascii="Times New Roman" w:hAnsi="Times New Roman" w:cs="Times New Roman"/>
          <w:b/>
          <w:bCs/>
          <w:color w:val="000000"/>
          <w:highlight w:val="none"/>
          <w:lang w:val="en-US" w:eastAsia="zh-CN"/>
        </w:rPr>
      </w:pPr>
    </w:p>
    <w:p w14:paraId="15F108B8">
      <w:pPr>
        <w:spacing w:before="1" w:line="219" w:lineRule="auto"/>
        <w:rPr>
          <w:rFonts w:hint="default" w:ascii="Times New Roman" w:hAnsi="Times New Roman" w:cs="Times New Roman"/>
          <w:b/>
          <w:bCs/>
          <w:color w:val="000000"/>
          <w:highlight w:val="none"/>
          <w:lang w:val="en-US" w:eastAsia="zh-CN"/>
        </w:rPr>
      </w:pPr>
    </w:p>
    <w:p w14:paraId="4B275C77">
      <w:pPr>
        <w:spacing w:before="1" w:line="219" w:lineRule="auto"/>
        <w:rPr>
          <w:rFonts w:hint="default" w:ascii="Times New Roman" w:hAnsi="Times New Roman" w:cs="Times New Roman"/>
          <w:b/>
          <w:bCs/>
          <w:color w:val="000000"/>
          <w:highlight w:val="none"/>
          <w:lang w:val="en-US" w:eastAsia="zh-CN"/>
        </w:rPr>
      </w:pPr>
    </w:p>
    <w:p w14:paraId="4B2B5AE9">
      <w:pPr>
        <w:spacing w:before="1" w:line="219" w:lineRule="auto"/>
        <w:rPr>
          <w:rFonts w:hint="default" w:ascii="Times New Roman" w:hAnsi="Times New Roman" w:cs="Times New Roman"/>
          <w:b/>
          <w:bCs/>
          <w:color w:val="000000"/>
          <w:highlight w:val="none"/>
          <w:lang w:val="en-US" w:eastAsia="zh-CN"/>
        </w:rPr>
      </w:pPr>
    </w:p>
    <w:p w14:paraId="603C6E7C">
      <w:pPr>
        <w:spacing w:before="1" w:line="219" w:lineRule="auto"/>
        <w:rPr>
          <w:rFonts w:hint="default" w:ascii="Times New Roman" w:hAnsi="Times New Roman" w:cs="Times New Roman"/>
          <w:b/>
          <w:bCs/>
          <w:color w:val="000000"/>
          <w:highlight w:val="none"/>
          <w:lang w:val="en-US" w:eastAsia="zh-CN"/>
        </w:rPr>
      </w:pPr>
    </w:p>
    <w:p w14:paraId="4E94D316">
      <w:pPr>
        <w:spacing w:before="1" w:line="219" w:lineRule="auto"/>
        <w:rPr>
          <w:rFonts w:hint="default" w:ascii="Times New Roman" w:hAnsi="Times New Roman" w:cs="Times New Roman"/>
          <w:b/>
          <w:bCs/>
          <w:color w:val="000000"/>
          <w:highlight w:val="none"/>
          <w:lang w:val="en-US" w:eastAsia="zh-CN"/>
        </w:rPr>
      </w:pPr>
    </w:p>
    <w:p w14:paraId="3DEC4367">
      <w:pPr>
        <w:pStyle w:val="26"/>
        <w:ind w:left="0" w:leftChars="0"/>
        <w:rPr>
          <w:rFonts w:hint="default" w:ascii="Times New Roman" w:hAnsi="Times New Roman" w:cs="Times New Roman"/>
          <w:b/>
          <w:bCs/>
          <w:color w:val="000000"/>
          <w:highlight w:val="none"/>
        </w:rPr>
      </w:pPr>
    </w:p>
    <w:p w14:paraId="0A34245A">
      <w:pPr>
        <w:pStyle w:val="26"/>
        <w:ind w:left="0" w:leftChars="0"/>
        <w:rPr>
          <w:rFonts w:hint="default" w:ascii="Times New Roman" w:hAnsi="Times New Roman" w:cs="Times New Roman"/>
          <w:b/>
          <w:bCs/>
          <w:color w:val="000000"/>
          <w:highlight w:val="none"/>
        </w:rPr>
      </w:pPr>
    </w:p>
    <w:p w14:paraId="463694A5">
      <w:pPr>
        <w:pStyle w:val="26"/>
        <w:ind w:left="0" w:leftChars="0"/>
        <w:rPr>
          <w:rFonts w:hint="default" w:ascii="Times New Roman" w:hAnsi="Times New Roman" w:cs="Times New Roman"/>
          <w:b/>
          <w:bCs/>
          <w:color w:val="000000"/>
          <w:highlight w:val="none"/>
        </w:rPr>
      </w:pPr>
    </w:p>
    <w:p w14:paraId="4ACD9EEF">
      <w:pPr>
        <w:pStyle w:val="26"/>
        <w:ind w:left="0" w:leftChars="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附件</w:t>
      </w:r>
      <w:r>
        <w:rPr>
          <w:rFonts w:hint="eastAsia" w:cs="Times New Roman"/>
          <w:b/>
          <w:bCs/>
          <w:color w:val="000000"/>
          <w:highlight w:val="none"/>
          <w:lang w:val="en-US" w:eastAsia="zh-CN"/>
        </w:rPr>
        <w:t>10</w:t>
      </w:r>
      <w:r>
        <w:rPr>
          <w:rFonts w:hint="default" w:ascii="Times New Roman" w:hAnsi="Times New Roman" w:cs="Times New Roman"/>
          <w:b/>
          <w:bCs/>
          <w:color w:val="000000"/>
          <w:highlight w:val="none"/>
        </w:rPr>
        <w:t>确认说明</w:t>
      </w:r>
    </w:p>
    <w:p w14:paraId="4D570D71">
      <w:pPr>
        <w:pStyle w:val="26"/>
        <w:ind w:left="0" w:leftChars="0"/>
        <w:rPr>
          <w:rFonts w:hint="default" w:ascii="Times New Roman" w:hAnsi="Times New Roman" w:cs="Times New Roman"/>
          <w:b/>
          <w:bCs/>
          <w:color w:val="000000"/>
          <w:highlight w:val="none"/>
        </w:rPr>
      </w:pPr>
    </w:p>
    <w:p w14:paraId="1FAB80FE">
      <w:pPr>
        <w:pStyle w:val="275"/>
        <w:jc w:val="center"/>
        <w:rPr>
          <w:rFonts w:hint="default" w:ascii="Times New Roman" w:hAnsi="Times New Roman" w:cs="Times New Roman"/>
          <w:b/>
          <w:bCs/>
          <w:sz w:val="44"/>
          <w:szCs w:val="44"/>
          <w:highlight w:val="none"/>
        </w:rPr>
      </w:pPr>
      <w:r>
        <w:rPr>
          <w:rFonts w:hint="default" w:ascii="Times New Roman" w:hAnsi="Times New Roman" w:cs="Times New Roman"/>
          <w:b/>
          <w:bCs/>
          <w:sz w:val="44"/>
          <w:szCs w:val="44"/>
          <w:highlight w:val="none"/>
          <w:lang w:val="en-US"/>
        </w:rPr>
        <w:t>已阅确认说明</w:t>
      </w:r>
    </w:p>
    <w:p w14:paraId="11805B0E">
      <w:pPr>
        <w:pStyle w:val="276"/>
        <w:spacing w:after="0" w:line="360" w:lineRule="auto"/>
        <w:rPr>
          <w:rFonts w:hint="default" w:ascii="Times New Roman" w:hAnsi="Times New Roman" w:cs="Times New Roman"/>
          <w:sz w:val="32"/>
          <w:szCs w:val="32"/>
          <w:highlight w:val="none"/>
          <w:lang w:val="en-US" w:eastAsia="zh-CN"/>
        </w:rPr>
      </w:pPr>
    </w:p>
    <w:p w14:paraId="0431E635">
      <w:pPr>
        <w:spacing w:line="360" w:lineRule="auto"/>
        <w:jc w:val="left"/>
        <w:rPr>
          <w:rFonts w:hint="default" w:ascii="Times New Roman" w:hAnsi="Times New Roman" w:cs="Times New Roman"/>
          <w:sz w:val="32"/>
          <w:szCs w:val="32"/>
          <w:highlight w:val="none"/>
        </w:rPr>
      </w:pPr>
      <w:r>
        <w:rPr>
          <w:rFonts w:hint="default" w:ascii="Times New Roman" w:hAnsi="Times New Roman" w:cs="Times New Roman"/>
          <w:sz w:val="32"/>
          <w:szCs w:val="32"/>
          <w:highlight w:val="none"/>
        </w:rPr>
        <w:t xml:space="preserve">       我单位委托</w:t>
      </w:r>
      <w:r>
        <w:rPr>
          <w:rFonts w:hint="default" w:ascii="Times New Roman" w:hAnsi="Times New Roman" w:cs="Times New Roman"/>
          <w:sz w:val="32"/>
          <w:szCs w:val="32"/>
          <w:highlight w:val="none"/>
          <w:u w:val="single"/>
        </w:rPr>
        <w:t>淄博弘邦技术服务有限公司</w:t>
      </w:r>
      <w:r>
        <w:rPr>
          <w:rFonts w:hint="default" w:ascii="Times New Roman" w:hAnsi="Times New Roman" w:cs="Times New Roman"/>
          <w:sz w:val="32"/>
          <w:szCs w:val="32"/>
          <w:highlight w:val="none"/>
        </w:rPr>
        <w:t>编制的《</w:t>
      </w:r>
      <w:r>
        <w:rPr>
          <w:rFonts w:hint="eastAsia" w:cs="Times New Roman"/>
          <w:sz w:val="32"/>
          <w:szCs w:val="32"/>
          <w:highlight w:val="none"/>
          <w:u w:val="single"/>
          <w:lang w:eastAsia="zh-CN"/>
        </w:rPr>
        <w:t>淄博齐钰达塑业有限公司年产30万套塑料桶制品项目</w:t>
      </w:r>
      <w:r>
        <w:rPr>
          <w:rFonts w:hint="default" w:ascii="Times New Roman" w:hAnsi="Times New Roman" w:cs="Times New Roman"/>
          <w:sz w:val="32"/>
          <w:szCs w:val="32"/>
          <w:highlight w:val="none"/>
        </w:rPr>
        <w:t>》环境影响评价报告表，报批版报告表内容已经我单位确认，环评报告所述内容与我单位建设项目一致，我单位将严格按照环评报告所示内容建设，确保批建一致。</w:t>
      </w:r>
    </w:p>
    <w:p w14:paraId="095922A0">
      <w:pPr>
        <w:pStyle w:val="276"/>
        <w:spacing w:after="0" w:line="570" w:lineRule="exact"/>
        <w:ind w:firstLine="3200" w:firstLineChars="1000"/>
        <w:jc w:val="left"/>
        <w:rPr>
          <w:rFonts w:hint="default" w:ascii="Times New Roman" w:hAnsi="Times New Roman" w:cs="Times New Roman"/>
          <w:sz w:val="32"/>
          <w:szCs w:val="32"/>
          <w:highlight w:val="none"/>
          <w:lang w:val="en-US" w:eastAsia="zh-CN"/>
        </w:rPr>
      </w:pPr>
    </w:p>
    <w:p w14:paraId="3B91FD69">
      <w:pPr>
        <w:pStyle w:val="276"/>
        <w:spacing w:after="0" w:line="570" w:lineRule="exact"/>
        <w:ind w:firstLine="3200" w:firstLineChars="1000"/>
        <w:jc w:val="left"/>
        <w:rPr>
          <w:rFonts w:hint="default" w:ascii="Times New Roman" w:hAnsi="Times New Roman" w:cs="Times New Roman"/>
          <w:sz w:val="32"/>
          <w:szCs w:val="32"/>
          <w:highlight w:val="none"/>
          <w:lang w:val="en-US" w:eastAsia="zh-CN"/>
        </w:rPr>
      </w:pPr>
    </w:p>
    <w:p w14:paraId="6AB38234">
      <w:pPr>
        <w:spacing w:before="78" w:line="219" w:lineRule="auto"/>
        <w:ind w:firstLine="3840" w:firstLineChars="1200"/>
        <w:rPr>
          <w:rFonts w:hint="eastAsia" w:ascii="Times New Roman" w:hAnsi="Times New Roman" w:eastAsia="宋体" w:cs="Times New Roman"/>
          <w:sz w:val="32"/>
          <w:szCs w:val="32"/>
          <w:highlight w:val="none"/>
          <w:lang w:eastAsia="zh-CN" w:bidi="zh-TW"/>
        </w:rPr>
      </w:pPr>
      <w:r>
        <w:rPr>
          <w:rFonts w:hint="eastAsia" w:cs="Times New Roman"/>
          <w:sz w:val="32"/>
          <w:szCs w:val="32"/>
          <w:highlight w:val="none"/>
          <w:lang w:eastAsia="zh-CN" w:bidi="zh-TW"/>
        </w:rPr>
        <w:t>淄博齐钰达塑业有限公司</w:t>
      </w:r>
    </w:p>
    <w:p w14:paraId="0396F5A9">
      <w:pPr>
        <w:spacing w:before="78" w:line="219" w:lineRule="auto"/>
        <w:ind w:left="42" w:firstLine="4160" w:firstLineChars="1300"/>
        <w:rPr>
          <w:rFonts w:hint="default" w:ascii="Times New Roman" w:hAnsi="Times New Roman" w:cs="Times New Roman"/>
          <w:sz w:val="32"/>
          <w:szCs w:val="32"/>
          <w:highlight w:val="none"/>
          <w:u w:val="single"/>
          <w:lang w:bidi="zh-TW"/>
        </w:rPr>
      </w:pPr>
    </w:p>
    <w:p w14:paraId="515B1608">
      <w:pPr>
        <w:ind w:firstLine="4480" w:firstLineChars="1400"/>
        <w:jc w:val="left"/>
        <w:rPr>
          <w:rFonts w:hint="default" w:ascii="Times New Roman" w:hAnsi="Times New Roman" w:cs="Times New Roman"/>
          <w:highlight w:val="none"/>
        </w:rPr>
        <w:sectPr>
          <w:pgSz w:w="11906" w:h="16839"/>
          <w:pgMar w:top="1431" w:right="1785" w:bottom="1099" w:left="1785" w:header="0" w:footer="836" w:gutter="0"/>
          <w:cols w:space="720" w:num="1"/>
        </w:sectPr>
      </w:pPr>
      <w:r>
        <w:rPr>
          <w:rFonts w:hint="default" w:ascii="Times New Roman" w:hAnsi="Times New Roman" w:cs="Times New Roman"/>
          <w:sz w:val="32"/>
          <w:szCs w:val="32"/>
          <w:highlight w:val="none"/>
          <w:lang w:bidi="zh-TW"/>
        </w:rPr>
        <w:t xml:space="preserve"> </w:t>
      </w:r>
      <w:r>
        <w:rPr>
          <w:rFonts w:hint="eastAsia" w:cs="Times New Roman"/>
          <w:sz w:val="32"/>
          <w:szCs w:val="32"/>
          <w:highlight w:val="none"/>
          <w:lang w:val="en-US" w:eastAsia="zh-CN" w:bidi="zh-TW"/>
        </w:rPr>
        <w:t>2026</w:t>
      </w:r>
      <w:r>
        <w:rPr>
          <w:rFonts w:hint="default" w:ascii="Times New Roman" w:hAnsi="Times New Roman" w:cs="Times New Roman"/>
          <w:sz w:val="32"/>
          <w:szCs w:val="32"/>
          <w:highlight w:val="none"/>
          <w:lang w:bidi="zh-TW"/>
        </w:rPr>
        <w:t>年</w:t>
      </w:r>
      <w:r>
        <w:rPr>
          <w:rFonts w:hint="eastAsia" w:cs="Times New Roman"/>
          <w:sz w:val="32"/>
          <w:szCs w:val="32"/>
          <w:highlight w:val="none"/>
          <w:lang w:val="en-US" w:eastAsia="zh-CN" w:bidi="zh-TW"/>
        </w:rPr>
        <w:t>1</w:t>
      </w:r>
      <w:r>
        <w:rPr>
          <w:rFonts w:hint="default" w:ascii="Times New Roman" w:hAnsi="Times New Roman" w:cs="Times New Roman"/>
          <w:sz w:val="32"/>
          <w:szCs w:val="32"/>
          <w:highlight w:val="none"/>
          <w:lang w:bidi="zh-TW"/>
        </w:rPr>
        <w:t>月</w:t>
      </w:r>
      <w:r>
        <w:rPr>
          <w:rFonts w:hint="eastAsia" w:cs="Times New Roman"/>
          <w:sz w:val="32"/>
          <w:szCs w:val="32"/>
          <w:highlight w:val="none"/>
          <w:lang w:val="en-US" w:eastAsia="zh-CN" w:bidi="zh-TW"/>
        </w:rPr>
        <w:t>24</w:t>
      </w:r>
      <w:r>
        <w:rPr>
          <w:rFonts w:hint="default" w:ascii="Times New Roman" w:hAnsi="Times New Roman" w:cs="Times New Roman"/>
          <w:sz w:val="32"/>
          <w:szCs w:val="32"/>
          <w:highlight w:val="none"/>
          <w:lang w:bidi="zh-TW"/>
        </w:rPr>
        <w:t>日</w:t>
      </w:r>
    </w:p>
    <w:p w14:paraId="2E690F3E">
      <w:pPr>
        <w:rPr>
          <w:rFonts w:hint="default" w:ascii="Times New Roman" w:hAnsi="Times New Roman" w:eastAsia="黑体" w:cs="Times New Roman"/>
          <w:spacing w:val="-4"/>
          <w:sz w:val="24"/>
          <w:highlight w:val="none"/>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94080" behindDoc="0" locked="0" layoutInCell="1" allowOverlap="1">
                <wp:simplePos x="0" y="0"/>
                <wp:positionH relativeFrom="column">
                  <wp:posOffset>2479675</wp:posOffset>
                </wp:positionH>
                <wp:positionV relativeFrom="paragraph">
                  <wp:posOffset>9060815</wp:posOffset>
                </wp:positionV>
                <wp:extent cx="457200" cy="304800"/>
                <wp:effectExtent l="0" t="0" r="0" b="0"/>
                <wp:wrapNone/>
                <wp:docPr id="44101253" name="矩形 74"/>
                <wp:cNvGraphicFramePr/>
                <a:graphic xmlns:a="http://schemas.openxmlformats.org/drawingml/2006/main">
                  <a:graphicData uri="http://schemas.microsoft.com/office/word/2010/wordprocessingShape">
                    <wps:wsp>
                      <wps:cNvSpPr/>
                      <wps:spPr>
                        <a:xfrm>
                          <a:off x="0" y="0"/>
                          <a:ext cx="457200" cy="304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4" o:spid="_x0000_s1026" o:spt="1" style="position:absolute;left:0pt;margin-left:195.25pt;margin-top:713.45pt;height:24pt;width:36pt;z-index:251694080;v-text-anchor:middle;mso-width-relative:page;mso-height-relative:page;" fillcolor="#FFFFFF [3212]" filled="t" stroked="f" coordsize="21600,21600" o:gfxdata="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kxUbfbAAAADQEAAA8AAAAAAAAAAQAgAAAAIgAAAGRycy9kb3du&#10;cmV2LnhtbFBLAQIUABQAAAAIAIdO4kDN6mA/bgIAANIEAAAOAAAAAAAAAAEAIAAAACoBAABkcnMv&#10;ZTJvRG9jLnhtbFBLBQYAAAAABgAGAFkBAAAKBgAAAAA=&#10;">
                <v:fill on="t" focussize="0,0"/>
                <v:stroke on="f" weight="1pt" miterlimit="8" joinstyle="miter"/>
                <v:imagedata o:title=""/>
                <o:lock v:ext="edit" aspectratio="f"/>
              </v:rect>
            </w:pict>
          </mc:Fallback>
        </mc:AlternateContent>
      </w:r>
    </w:p>
    <w:p w14:paraId="0F7A8B4D">
      <w:pPr>
        <w:pStyle w:val="16"/>
        <w:spacing w:line="245" w:lineRule="auto"/>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63360" behindDoc="0" locked="0" layoutInCell="1" allowOverlap="1">
                <wp:simplePos x="0" y="0"/>
                <wp:positionH relativeFrom="column">
                  <wp:posOffset>3032760</wp:posOffset>
                </wp:positionH>
                <wp:positionV relativeFrom="paragraph">
                  <wp:posOffset>2951480</wp:posOffset>
                </wp:positionV>
                <wp:extent cx="990600" cy="297815"/>
                <wp:effectExtent l="238760" t="4445" r="5080" b="855980"/>
                <wp:wrapNone/>
                <wp:docPr id="33" name="矩形标注 33"/>
                <wp:cNvGraphicFramePr/>
                <a:graphic xmlns:a="http://schemas.openxmlformats.org/drawingml/2006/main">
                  <a:graphicData uri="http://schemas.microsoft.com/office/word/2010/wordprocessingShape">
                    <wps:wsp>
                      <wps:cNvSpPr/>
                      <wps:spPr>
                        <a:xfrm>
                          <a:off x="0" y="0"/>
                          <a:ext cx="990600" cy="297815"/>
                        </a:xfrm>
                        <a:prstGeom prst="wedgeRectCallout">
                          <a:avLst>
                            <a:gd name="adj1" fmla="val -72046"/>
                            <a:gd name="adj2" fmla="val 322815"/>
                          </a:avLst>
                        </a:prstGeom>
                        <a:solidFill>
                          <a:srgbClr val="FFFFFF"/>
                        </a:solidFill>
                        <a:ln w="9525" cap="flat" cmpd="sng">
                          <a:solidFill>
                            <a:srgbClr val="000000"/>
                          </a:solidFill>
                          <a:prstDash val="solid"/>
                          <a:miter/>
                          <a:headEnd type="none" w="med" len="med"/>
                          <a:tailEnd type="none" w="med" len="med"/>
                        </a:ln>
                      </wps:spPr>
                      <wps:txbx>
                        <w:txbxContent>
                          <w:p w14:paraId="01765655">
                            <w:pPr>
                              <w:rPr>
                                <w:color w:val="FF0000"/>
                                <w:sz w:val="28"/>
                                <w:szCs w:val="28"/>
                              </w:rPr>
                            </w:pPr>
                            <w:r>
                              <w:rPr>
                                <w:rFonts w:hint="eastAsia"/>
                                <w:color w:val="FF0000"/>
                                <w:sz w:val="28"/>
                                <w:szCs w:val="28"/>
                              </w:rPr>
                              <w:t>项目位置</w:t>
                            </w:r>
                          </w:p>
                        </w:txbxContent>
                      </wps:txbx>
                      <wps:bodyPr upright="1"/>
                    </wps:wsp>
                  </a:graphicData>
                </a:graphic>
              </wp:anchor>
            </w:drawing>
          </mc:Choice>
          <mc:Fallback>
            <w:pict>
              <v:shape id="_x0000_s1026" o:spid="_x0000_s1026" o:spt="61" type="#_x0000_t61" style="position:absolute;left:0pt;margin-left:238.8pt;margin-top:232.4pt;height:23.45pt;width:78pt;z-index:251663360;mso-width-relative:page;mso-height-relative:page;" fillcolor="#FFFFFF" filled="t" stroked="t" coordsize="21600,21600" o:gfxdata="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Oj77twAAAALAQAADwAAAAAAAAABACAAAAAiAAAAZHJzL2Rv&#10;d25yZXYueG1sUEsBAhQAFAAAAAgAh07iQGnhEEg2AgAAjwQAAA4AAAAAAAAAAQAgAAAAKwEAAGRy&#10;cy9lMm9Eb2MueG1sUEsFBgAAAAAGAAYAWQEAANMFAAAAAA==&#10;" adj="-4762,80528">
                <v:fill on="t" focussize="0,0"/>
                <v:stroke color="#000000" joinstyle="miter"/>
                <v:imagedata o:title=""/>
                <o:lock v:ext="edit" aspectratio="f"/>
                <v:textbox>
                  <w:txbxContent>
                    <w:p w14:paraId="01765655">
                      <w:pPr>
                        <w:rPr>
                          <w:color w:val="FF0000"/>
                          <w:sz w:val="28"/>
                          <w:szCs w:val="28"/>
                        </w:rPr>
                      </w:pPr>
                      <w:r>
                        <w:rPr>
                          <w:rFonts w:hint="eastAsia"/>
                          <w:color w:val="FF0000"/>
                          <w:sz w:val="28"/>
                          <w:szCs w:val="28"/>
                        </w:rPr>
                        <w:t>项目位置</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3600" behindDoc="0" locked="0" layoutInCell="1" allowOverlap="1">
                <wp:simplePos x="0" y="0"/>
                <wp:positionH relativeFrom="column">
                  <wp:posOffset>2693670</wp:posOffset>
                </wp:positionH>
                <wp:positionV relativeFrom="paragraph">
                  <wp:posOffset>3963035</wp:posOffset>
                </wp:positionV>
                <wp:extent cx="200025" cy="171450"/>
                <wp:effectExtent l="15875" t="13970" r="27940" b="12700"/>
                <wp:wrapNone/>
                <wp:docPr id="63" name="五角星 63"/>
                <wp:cNvGraphicFramePr/>
                <a:graphic xmlns:a="http://schemas.openxmlformats.org/drawingml/2006/main">
                  <a:graphicData uri="http://schemas.microsoft.com/office/word/2010/wordprocessingShape">
                    <wps:wsp>
                      <wps:cNvSpPr>
                        <a:spLocks noChangeArrowheads="1"/>
                      </wps:cNvSpPr>
                      <wps:spPr bwMode="auto">
                        <a:xfrm>
                          <a:off x="0" y="0"/>
                          <a:ext cx="200025" cy="171450"/>
                        </a:xfrm>
                        <a:prstGeom prst="star5">
                          <a:avLst/>
                        </a:prstGeom>
                        <a:solidFill>
                          <a:srgbClr val="FF0000"/>
                        </a:solidFill>
                        <a:ln w="9525" algn="ctr">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212.1pt;margin-top:312.05pt;height:13.5pt;width:15.75pt;z-index:251673600;mso-width-relative:page;mso-height-relative:page;" fillcolor="#FF0000" filled="t" stroked="t" coordsize="200025,171450" o:gfxdata="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JPRV/2AAAAAsBAAAPAAAAAAAAAAEAIAAA&#10;ACIAAABkcnMvZG93bnJldi54bWxQSwECFAAUAAAACACHTuJAn7HU+kUCAACNBAAADgAAAAAAAAAB&#10;ACAAAAAnAQAAZHJzL2Uyb0RvYy54bWxQSwUGAAAAAAYABgBZAQAA3gUAAAAA&#10;" path="m0,65487l76403,65488,100012,0,123621,65488,200024,65487,138213,105961,161823,171449,100012,130975,38201,171449,61811,105961xe">
                <v:path o:connectlocs="100012,0;0,65487;38201,171449;161823,171449;200024,65487" o:connectangles="247,164,82,82,0"/>
                <v:fill on="t" focussize="0,0"/>
                <v:stroke color="#000000" miterlimit="8" joinstyle="miter"/>
                <v:imagedata o:title=""/>
                <o:lock v:ext="edit" aspectratio="f"/>
              </v:shape>
            </w:pict>
          </mc:Fallback>
        </mc:AlternateContent>
      </w:r>
      <w:r>
        <w:rPr>
          <w:rFonts w:hint="default" w:ascii="Times New Roman" w:hAnsi="Times New Roman" w:cs="Times New Roman"/>
          <w:highlight w:val="none"/>
        </w:rPr>
        <w:drawing>
          <wp:anchor distT="0" distB="0" distL="114300" distR="114300" simplePos="0" relativeHeight="251674624" behindDoc="0" locked="0" layoutInCell="1" allowOverlap="1">
            <wp:simplePos x="0" y="0"/>
            <wp:positionH relativeFrom="column">
              <wp:posOffset>4464685</wp:posOffset>
            </wp:positionH>
            <wp:positionV relativeFrom="paragraph">
              <wp:posOffset>29845</wp:posOffset>
            </wp:positionV>
            <wp:extent cx="1193800" cy="1243330"/>
            <wp:effectExtent l="0" t="0" r="635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193800" cy="124333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0" distR="0">
            <wp:extent cx="5143500" cy="7865745"/>
            <wp:effectExtent l="19050" t="19050" r="19050" b="20955"/>
            <wp:docPr id="64" name="图片 64" descr="临淄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临淄区"/>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144341" cy="7867174"/>
                    </a:xfrm>
                    <a:prstGeom prst="rect">
                      <a:avLst/>
                    </a:prstGeom>
                    <a:noFill/>
                    <a:ln w="19050" cmpd="sng">
                      <a:solidFill>
                        <a:schemeClr val="tx1"/>
                      </a:solidFill>
                      <a:miter lim="800000"/>
                      <a:headEnd/>
                      <a:tailEnd/>
                    </a:ln>
                    <a:effectLst/>
                  </pic:spPr>
                </pic:pic>
              </a:graphicData>
            </a:graphic>
          </wp:inline>
        </w:drawing>
      </w:r>
    </w:p>
    <w:p w14:paraId="6B3ED147">
      <w:pPr>
        <w:spacing w:before="78" w:line="219" w:lineRule="auto"/>
        <w:ind w:left="42"/>
        <w:jc w:val="center"/>
        <w:rPr>
          <w:rFonts w:hint="default" w:ascii="Times New Roman" w:hAnsi="Times New Roman" w:eastAsia="黑体" w:cs="Times New Roman"/>
          <w:spacing w:val="-4"/>
          <w:sz w:val="24"/>
          <w:highlight w:val="none"/>
        </w:rPr>
        <w:sectPr>
          <w:footerReference r:id="rId13" w:type="default"/>
          <w:pgSz w:w="11906" w:h="16839"/>
          <w:pgMar w:top="1437" w:right="1099" w:bottom="1416" w:left="1012" w:header="0" w:footer="836" w:gutter="0"/>
          <w:cols w:space="720" w:num="1"/>
        </w:sect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95104" behindDoc="0" locked="0" layoutInCell="1" allowOverlap="1">
                <wp:simplePos x="0" y="0"/>
                <wp:positionH relativeFrom="column">
                  <wp:posOffset>2786380</wp:posOffset>
                </wp:positionH>
                <wp:positionV relativeFrom="paragraph">
                  <wp:posOffset>379095</wp:posOffset>
                </wp:positionV>
                <wp:extent cx="704850" cy="285750"/>
                <wp:effectExtent l="0" t="0" r="0" b="0"/>
                <wp:wrapNone/>
                <wp:docPr id="308031162"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19.4pt;margin-top:29.85pt;height:22.5pt;width:55.5pt;z-index:251695104;v-text-anchor:middle;mso-width-relative:page;mso-height-relative:page;" fillcolor="#FFFFFF [3212]" filled="t" stroked="f" coordsize="21600,21600" o:gfxdata="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Kn+wdNoAAAAKAQAADwAAAAAAAAABACAAAAAiAAAAZHJzL2Rv&#10;d25yZXYueG1sUEsBAhQAFAAAAAgAh07iQIFiXr9xAgAA0wQAAA4AAAAAAAAAAQAgAAAAKQEAAGRy&#10;cy9lMm9Eb2MueG1sUEsFBgAAAAAGAAYAWQEAAAwGA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附图1  项目地理位置图（比例尺1:20万）</w:t>
      </w:r>
    </w:p>
    <w:p w14:paraId="63EF757F">
      <w:pPr>
        <w:pStyle w:val="16"/>
        <w:spacing w:line="243" w:lineRule="auto"/>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758592" behindDoc="0" locked="0" layoutInCell="1" allowOverlap="1">
                <wp:simplePos x="0" y="0"/>
                <wp:positionH relativeFrom="column">
                  <wp:posOffset>3848735</wp:posOffset>
                </wp:positionH>
                <wp:positionV relativeFrom="paragraph">
                  <wp:posOffset>2478405</wp:posOffset>
                </wp:positionV>
                <wp:extent cx="778510" cy="299085"/>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778510" cy="2990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949BBD">
                            <w:pPr>
                              <w:jc w:val="center"/>
                              <w:rPr>
                                <w:rFonts w:hint="default"/>
                                <w:highlight w:val="none"/>
                                <w:lang w:val="en-US" w:eastAsia="zh-CN"/>
                              </w:rPr>
                            </w:pPr>
                            <w:r>
                              <w:rPr>
                                <w:rFonts w:hint="eastAsia"/>
                                <w:highlight w:val="none"/>
                                <w:lang w:val="en-US" w:eastAsia="zh-CN"/>
                              </w:rPr>
                              <w:t>闲置厂房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05pt;margin-top:195.15pt;height:23.55pt;width:61.3pt;z-index:251758592;mso-width-relative:page;mso-height-relative:page;" filled="f" stroked="f" coordsize="21600,21600" o:gfxdata="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j9lHd0AAAALAQAADwAAAAAAAAABACAAAAAiAAAA&#10;ZHJzL2Rvd25yZXYueG1sUEsBAhQAFAAAAAgAh07iQIMX0oY7AgAAZwQAAA4AAAAAAAAAAQAgAAAA&#10;LAEAAGRycy9lMm9Eb2MueG1sUEsFBgAAAAAGAAYAWQEAANkFAAAAAA==&#10;">
                <v:fill on="f" focussize="0,0"/>
                <v:stroke on="f" weight="0.5pt"/>
                <v:imagedata o:title=""/>
                <o:lock v:ext="edit" aspectratio="f"/>
                <v:textbox>
                  <w:txbxContent>
                    <w:p w14:paraId="1D949BBD">
                      <w:pPr>
                        <w:jc w:val="center"/>
                        <w:rPr>
                          <w:rFonts w:hint="default"/>
                          <w:highlight w:val="none"/>
                          <w:lang w:val="en-US" w:eastAsia="zh-CN"/>
                        </w:rPr>
                      </w:pPr>
                      <w:r>
                        <w:rPr>
                          <w:rFonts w:hint="eastAsia"/>
                          <w:highlight w:val="none"/>
                          <w:lang w:val="en-US" w:eastAsia="zh-CN"/>
                        </w:rPr>
                        <w:t>闲置厂房</w:t>
                      </w:r>
                    </w:p>
                  </w:txbxContent>
                </v:textbox>
              </v:shape>
            </w:pict>
          </mc:Fallback>
        </mc:AlternateContent>
      </w:r>
      <w:r>
        <w:rPr>
          <w:sz w:val="18"/>
          <w:highlight w:val="none"/>
        </w:rPr>
        <mc:AlternateContent>
          <mc:Choice Requires="wps">
            <w:drawing>
              <wp:anchor distT="0" distB="0" distL="114300" distR="114300" simplePos="0" relativeHeight="251757568" behindDoc="0" locked="0" layoutInCell="1" allowOverlap="1">
                <wp:simplePos x="0" y="0"/>
                <wp:positionH relativeFrom="column">
                  <wp:posOffset>4034155</wp:posOffset>
                </wp:positionH>
                <wp:positionV relativeFrom="paragraph">
                  <wp:posOffset>2556510</wp:posOffset>
                </wp:positionV>
                <wp:extent cx="161925" cy="278130"/>
                <wp:effectExtent l="18415" t="13335" r="29210" b="13335"/>
                <wp:wrapNone/>
                <wp:docPr id="56" name="矩形 56"/>
                <wp:cNvGraphicFramePr/>
                <a:graphic xmlns:a="http://schemas.openxmlformats.org/drawingml/2006/main">
                  <a:graphicData uri="http://schemas.microsoft.com/office/word/2010/wordprocessingShape">
                    <wps:wsp>
                      <wps:cNvSpPr/>
                      <wps:spPr>
                        <a:xfrm rot="300000">
                          <a:off x="0" y="0"/>
                          <a:ext cx="161925" cy="278130"/>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65pt;margin-top:201.3pt;height:21.9pt;width:12.75pt;rotation:327680f;z-index:251757568;v-text-anchor:middle;mso-width-relative:page;mso-height-relative:page;" fillcolor="#00B0F0" filled="t" stroked="t" coordsize="21600,21600" o:gfxdata="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DkMcOLXAAAACwEAAA8AAAAA&#10;AAAAAQAgAAAAIgAAAGRycy9kb3ducmV2LnhtbFBLAQIUABQAAAAIAIdO4kCR2op/hwIAACMFAAAO&#10;AAAAAAAAAAEAIAAAACYBAABkcnMvZTJvRG9jLnhtbFBLBQYAAAAABgAGAFkBAAAfBgAAAAA=&#10;">
                <v:fill on="t" opacity="19660f" focussize="0,0"/>
                <v:stroke weight="1pt" color="#FFFF00 [2404]"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53472" behindDoc="0" locked="0" layoutInCell="1" allowOverlap="1">
                <wp:simplePos x="0" y="0"/>
                <wp:positionH relativeFrom="column">
                  <wp:posOffset>3010535</wp:posOffset>
                </wp:positionH>
                <wp:positionV relativeFrom="paragraph">
                  <wp:posOffset>4040505</wp:posOffset>
                </wp:positionV>
                <wp:extent cx="778510" cy="54673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778510"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23E894">
                            <w:pPr>
                              <w:jc w:val="center"/>
                              <w:rPr>
                                <w:rFonts w:hint="default"/>
                                <w:highlight w:val="none"/>
                                <w:lang w:val="en-US" w:eastAsia="zh-CN"/>
                              </w:rPr>
                            </w:pPr>
                            <w:r>
                              <w:rPr>
                                <w:rFonts w:hint="eastAsia"/>
                                <w:highlight w:val="none"/>
                                <w:lang w:val="en-US" w:eastAsia="zh-CN"/>
                              </w:rPr>
                              <w:t>其他企业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05pt;margin-top:318.15pt;height:43.05pt;width:61.3pt;z-index:251753472;mso-width-relative:page;mso-height-relative:page;" filled="f" stroked="f" coordsize="21600,21600" o:gfxdata="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JZxIJ3QAAAAsBAAAPAAAAAAAAAAEAIAAAACIA&#10;AABkcnMvZG93bnJldi54bWxQSwECFAAUAAAACACHTuJA61Pv1D0CAABpBAAADgAAAAAAAAABACAA&#10;AAAsAQAAZHJzL2Uyb0RvYy54bWxQSwUGAAAAAAYABgBZAQAA2wUAAAAA&#10;">
                <v:fill on="f" focussize="0,0"/>
                <v:stroke on="f" weight="0.5pt"/>
                <v:imagedata o:title=""/>
                <o:lock v:ext="edit" aspectratio="f"/>
                <v:textbox>
                  <w:txbxContent>
                    <w:p w14:paraId="2123E894">
                      <w:pPr>
                        <w:jc w:val="center"/>
                        <w:rPr>
                          <w:rFonts w:hint="default"/>
                          <w:highlight w:val="none"/>
                          <w:lang w:val="en-US" w:eastAsia="zh-CN"/>
                        </w:rPr>
                      </w:pPr>
                      <w:r>
                        <w:rPr>
                          <w:rFonts w:hint="eastAsia"/>
                          <w:highlight w:val="none"/>
                          <w:lang w:val="en-US" w:eastAsia="zh-CN"/>
                        </w:rPr>
                        <w:t>其他企业</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52448" behindDoc="0" locked="0" layoutInCell="1" allowOverlap="1">
                <wp:simplePos x="0" y="0"/>
                <wp:positionH relativeFrom="column">
                  <wp:posOffset>2267585</wp:posOffset>
                </wp:positionH>
                <wp:positionV relativeFrom="paragraph">
                  <wp:posOffset>3345180</wp:posOffset>
                </wp:positionV>
                <wp:extent cx="778510" cy="546735"/>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778510"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C20E8C">
                            <w:pPr>
                              <w:jc w:val="center"/>
                              <w:rPr>
                                <w:rFonts w:hint="default"/>
                                <w:highlight w:val="none"/>
                                <w:lang w:val="en-US" w:eastAsia="zh-CN"/>
                              </w:rPr>
                            </w:pPr>
                            <w:r>
                              <w:rPr>
                                <w:rFonts w:hint="eastAsia"/>
                                <w:highlight w:val="none"/>
                                <w:lang w:val="en-US" w:eastAsia="zh-CN"/>
                              </w:rPr>
                              <w:t>彭州石化公司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55pt;margin-top:263.4pt;height:43.05pt;width:61.3pt;z-index:251752448;mso-width-relative:page;mso-height-relative:page;" filled="f" stroked="f" coordsize="21600,21600" o:gfxdata="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5TRaJ3QAAAAsBAAAPAAAAAAAAAAEAIAAAACIA&#10;AABkcnMvZG93bnJldi54bWxQSwECFAAUAAAACACHTuJAfEPHjj0CAABpBAAADgAAAAAAAAABACAA&#10;AAAsAQAAZHJzL2Uyb0RvYy54bWxQSwUGAAAAAAYABgBZAQAA2wUAAAAA&#10;">
                <v:fill on="f" focussize="0,0"/>
                <v:stroke on="f" weight="0.5pt"/>
                <v:imagedata o:title=""/>
                <o:lock v:ext="edit" aspectratio="f"/>
                <v:textbox>
                  <w:txbxContent>
                    <w:p w14:paraId="3FC20E8C">
                      <w:pPr>
                        <w:jc w:val="center"/>
                        <w:rPr>
                          <w:rFonts w:hint="default"/>
                          <w:highlight w:val="none"/>
                          <w:lang w:val="en-US" w:eastAsia="zh-CN"/>
                        </w:rPr>
                      </w:pPr>
                      <w:r>
                        <w:rPr>
                          <w:rFonts w:hint="eastAsia"/>
                          <w:highlight w:val="none"/>
                          <w:lang w:val="en-US" w:eastAsia="zh-CN"/>
                        </w:rPr>
                        <w:t>彭州石化公司</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51424" behindDoc="0" locked="0" layoutInCell="1" allowOverlap="1">
                <wp:simplePos x="0" y="0"/>
                <wp:positionH relativeFrom="column">
                  <wp:posOffset>2267585</wp:posOffset>
                </wp:positionH>
                <wp:positionV relativeFrom="paragraph">
                  <wp:posOffset>2840355</wp:posOffset>
                </wp:positionV>
                <wp:extent cx="778510" cy="54673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778510"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95E328">
                            <w:pPr>
                              <w:jc w:val="center"/>
                              <w:rPr>
                                <w:rFonts w:hint="default"/>
                                <w:highlight w:val="none"/>
                                <w:lang w:val="en-US" w:eastAsia="zh-CN"/>
                              </w:rPr>
                            </w:pPr>
                            <w:r>
                              <w:rPr>
                                <w:rFonts w:hint="eastAsia"/>
                                <w:highlight w:val="none"/>
                                <w:lang w:val="en-US" w:eastAsia="zh-CN"/>
                              </w:rPr>
                              <w:t>千程石化设备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55pt;margin-top:223.65pt;height:43.05pt;width:61.3pt;z-index:251751424;mso-width-relative:page;mso-height-relative:page;" filled="f" stroked="f" coordsize="21600,21600" o:gfxdata="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xiKre3QAAAAsBAAAPAAAAAAAAAAEAIAAAACIA&#10;AABkcnMvZG93bnJldi54bWxQSwECFAAUAAAACACHTuJA8UzfuD0CAABpBAAADgAAAAAAAAABACAA&#10;AAAsAQAAZHJzL2Uyb0RvYy54bWxQSwUGAAAAAAYABgBZAQAA2wUAAAAA&#10;">
                <v:fill on="f" focussize="0,0"/>
                <v:stroke on="f" weight="0.5pt"/>
                <v:imagedata o:title=""/>
                <o:lock v:ext="edit" aspectratio="f"/>
                <v:textbox>
                  <w:txbxContent>
                    <w:p w14:paraId="4B95E328">
                      <w:pPr>
                        <w:jc w:val="center"/>
                        <w:rPr>
                          <w:rFonts w:hint="default"/>
                          <w:highlight w:val="none"/>
                          <w:lang w:val="en-US" w:eastAsia="zh-CN"/>
                        </w:rPr>
                      </w:pPr>
                      <w:r>
                        <w:rPr>
                          <w:rFonts w:hint="eastAsia"/>
                          <w:highlight w:val="none"/>
                          <w:lang w:val="en-US" w:eastAsia="zh-CN"/>
                        </w:rPr>
                        <w:t>千程石化设备</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50400" behindDoc="0" locked="0" layoutInCell="1" allowOverlap="1">
                <wp:simplePos x="0" y="0"/>
                <wp:positionH relativeFrom="column">
                  <wp:posOffset>2324735</wp:posOffset>
                </wp:positionH>
                <wp:positionV relativeFrom="paragraph">
                  <wp:posOffset>2145030</wp:posOffset>
                </wp:positionV>
                <wp:extent cx="864235" cy="546735"/>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864235"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BEFF75">
                            <w:pPr>
                              <w:jc w:val="center"/>
                              <w:rPr>
                                <w:rFonts w:hint="default"/>
                                <w:highlight w:val="none"/>
                                <w:lang w:val="en-US" w:eastAsia="zh-CN"/>
                              </w:rPr>
                            </w:pPr>
                            <w:r>
                              <w:rPr>
                                <w:rFonts w:hint="eastAsia"/>
                                <w:highlight w:val="none"/>
                                <w:lang w:val="en-US" w:eastAsia="zh-CN"/>
                              </w:rPr>
                              <w:t>山东安然节能科技公司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05pt;margin-top:168.9pt;height:43.05pt;width:68.05pt;z-index:251750400;mso-width-relative:page;mso-height-relative:page;" filled="f" stroked="f" coordsize="21600,21600" o:gfxdata="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HKft9wAAAALAQAADwAAAAAAAAABACAAAAAiAAAA&#10;ZHJzL2Rvd25yZXYueG1sUEsBAhQAFAAAAAgAh07iQJxUSHM8AgAAaQQAAA4AAAAAAAAAAQAgAAAA&#10;KwEAAGRycy9lMm9Eb2MueG1sUEsFBgAAAAAGAAYAWQEAANkFAAAAAA==&#10;">
                <v:fill on="f" focussize="0,0"/>
                <v:stroke on="f" weight="0.5pt"/>
                <v:imagedata o:title=""/>
                <o:lock v:ext="edit" aspectratio="f"/>
                <v:textbox>
                  <w:txbxContent>
                    <w:p w14:paraId="23BEFF75">
                      <w:pPr>
                        <w:jc w:val="center"/>
                        <w:rPr>
                          <w:rFonts w:hint="default"/>
                          <w:highlight w:val="none"/>
                          <w:lang w:val="en-US" w:eastAsia="zh-CN"/>
                        </w:rPr>
                      </w:pPr>
                      <w:r>
                        <w:rPr>
                          <w:rFonts w:hint="eastAsia"/>
                          <w:highlight w:val="none"/>
                          <w:lang w:val="en-US" w:eastAsia="zh-CN"/>
                        </w:rPr>
                        <w:t>山东安然节能科技公司</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49376" behindDoc="0" locked="0" layoutInCell="1" allowOverlap="1">
                <wp:simplePos x="0" y="0"/>
                <wp:positionH relativeFrom="column">
                  <wp:posOffset>3181985</wp:posOffset>
                </wp:positionH>
                <wp:positionV relativeFrom="paragraph">
                  <wp:posOffset>2935605</wp:posOffset>
                </wp:positionV>
                <wp:extent cx="778510" cy="54673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778510"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F861D8">
                            <w:pPr>
                              <w:jc w:val="center"/>
                              <w:rPr>
                                <w:rFonts w:hint="default"/>
                                <w:highlight w:val="none"/>
                                <w:lang w:val="en-US" w:eastAsia="zh-CN"/>
                              </w:rPr>
                            </w:pPr>
                            <w:r>
                              <w:rPr>
                                <w:rFonts w:hint="eastAsia"/>
                                <w:highlight w:val="none"/>
                                <w:lang w:val="en-US" w:eastAsia="zh-CN"/>
                              </w:rPr>
                              <w:t>其他企业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55pt;margin-top:231.15pt;height:43.05pt;width:61.3pt;z-index:251749376;mso-width-relative:page;mso-height-relative:page;" filled="f" stroked="f" coordsize="21600,21600" o:gfxdata="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&#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cfJhNsAAAALAQAADwAAAAAAAAABACAAAAAiAAAA&#10;ZHJzL2Rvd25yZXYueG1sUEsBAhQAFAAAAAgAh07iQN9tjww9AgAAaQQAAA4AAAAAAAAAAQAgAAAA&#10;KgEAAGRycy9lMm9Eb2MueG1sUEsFBgAAAAAGAAYAWQEAANkFAAAAAA==&#10;">
                <v:fill on="f" focussize="0,0"/>
                <v:stroke on="f" weight="0.5pt"/>
                <v:imagedata o:title=""/>
                <o:lock v:ext="edit" aspectratio="f"/>
                <v:textbox>
                  <w:txbxContent>
                    <w:p w14:paraId="04F861D8">
                      <w:pPr>
                        <w:jc w:val="center"/>
                        <w:rPr>
                          <w:rFonts w:hint="default"/>
                          <w:highlight w:val="none"/>
                          <w:lang w:val="en-US" w:eastAsia="zh-CN"/>
                        </w:rPr>
                      </w:pPr>
                      <w:r>
                        <w:rPr>
                          <w:rFonts w:hint="eastAsia"/>
                          <w:highlight w:val="none"/>
                          <w:lang w:val="en-US" w:eastAsia="zh-CN"/>
                        </w:rPr>
                        <w:t>其他企业</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48352" behindDoc="0" locked="0" layoutInCell="1" allowOverlap="1">
                <wp:simplePos x="0" y="0"/>
                <wp:positionH relativeFrom="column">
                  <wp:posOffset>3048635</wp:posOffset>
                </wp:positionH>
                <wp:positionV relativeFrom="paragraph">
                  <wp:posOffset>2240280</wp:posOffset>
                </wp:positionV>
                <wp:extent cx="778510" cy="54673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778510"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7D23B7">
                            <w:pPr>
                              <w:jc w:val="center"/>
                              <w:rPr>
                                <w:rFonts w:hint="default"/>
                                <w:highlight w:val="none"/>
                                <w:lang w:val="en-US" w:eastAsia="zh-CN"/>
                              </w:rPr>
                            </w:pPr>
                            <w:r>
                              <w:rPr>
                                <w:rFonts w:hint="eastAsia"/>
                                <w:highlight w:val="none"/>
                                <w:lang w:val="en-US" w:eastAsia="zh-CN"/>
                              </w:rPr>
                              <w:t>太乙制药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05pt;margin-top:176.4pt;height:43.05pt;width:61.3pt;z-index:251748352;mso-width-relative:page;mso-height-relative:page;" filled="f" stroked="f" coordsize="21600,21600" o:gfxdata="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nk1Wp2wAAAAsBAAAPAAAAAAAAAAEAIAAAACIAAABk&#10;cnMvZG93bnJldi54bWxQSwECFAAUAAAACACHTuJASH2nVjwCAABpBAAADgAAAAAAAAABACAAAAAq&#10;AQAAZHJzL2Uyb0RvYy54bWxQSwUGAAAAAAYABgBZAQAA2AUAAAAA&#10;">
                <v:fill on="f" focussize="0,0"/>
                <v:stroke on="f" weight="0.5pt"/>
                <v:imagedata o:title=""/>
                <o:lock v:ext="edit" aspectratio="f"/>
                <v:textbox>
                  <w:txbxContent>
                    <w:p w14:paraId="077D23B7">
                      <w:pPr>
                        <w:jc w:val="center"/>
                        <w:rPr>
                          <w:rFonts w:hint="default"/>
                          <w:highlight w:val="none"/>
                          <w:lang w:val="en-US" w:eastAsia="zh-CN"/>
                        </w:rPr>
                      </w:pPr>
                      <w:r>
                        <w:rPr>
                          <w:rFonts w:hint="eastAsia"/>
                          <w:highlight w:val="none"/>
                          <w:lang w:val="en-US" w:eastAsia="zh-CN"/>
                        </w:rPr>
                        <w:t>太乙制药</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47328" behindDoc="0" locked="0" layoutInCell="1" allowOverlap="1">
                <wp:simplePos x="0" y="0"/>
                <wp:positionH relativeFrom="column">
                  <wp:posOffset>4820285</wp:posOffset>
                </wp:positionH>
                <wp:positionV relativeFrom="paragraph">
                  <wp:posOffset>2402205</wp:posOffset>
                </wp:positionV>
                <wp:extent cx="778510" cy="54673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778510" cy="546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E6F7EA">
                            <w:pPr>
                              <w:jc w:val="center"/>
                              <w:rPr>
                                <w:rFonts w:hint="default"/>
                                <w:highlight w:val="none"/>
                                <w:lang w:val="en-US" w:eastAsia="zh-CN"/>
                              </w:rPr>
                            </w:pPr>
                            <w:r>
                              <w:rPr>
                                <w:rFonts w:hint="eastAsia"/>
                                <w:highlight w:val="none"/>
                                <w:lang w:val="en-US" w:eastAsia="zh-CN"/>
                              </w:rPr>
                              <w:t>临淄育新实业公司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55pt;margin-top:189.15pt;height:43.05pt;width:61.3pt;z-index:251747328;mso-width-relative:page;mso-height-relative:page;" filled="f" stroked="f" coordsize="21600,21600" o:gfxdata="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&#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xu7EPdAAAACwEAAA8AAAAAAAAAAQAgAAAAIgAA&#10;AGRycy9kb3ducmV2LnhtbFBLAQIUABQAAAAIAIdO4kDFcr9gPAIAAGkEAAAOAAAAAAAAAAEAIAAA&#10;ACwBAABkcnMvZTJvRG9jLnhtbFBLBQYAAAAABgAGAFkBAADaBQAAAAA=&#10;">
                <v:fill on="f" focussize="0,0"/>
                <v:stroke on="f" weight="0.5pt"/>
                <v:imagedata o:title=""/>
                <o:lock v:ext="edit" aspectratio="f"/>
                <v:textbox>
                  <w:txbxContent>
                    <w:p w14:paraId="22E6F7EA">
                      <w:pPr>
                        <w:jc w:val="center"/>
                        <w:rPr>
                          <w:rFonts w:hint="default"/>
                          <w:highlight w:val="none"/>
                          <w:lang w:val="en-US" w:eastAsia="zh-CN"/>
                        </w:rPr>
                      </w:pPr>
                      <w:r>
                        <w:rPr>
                          <w:rFonts w:hint="eastAsia"/>
                          <w:highlight w:val="none"/>
                          <w:lang w:val="en-US" w:eastAsia="zh-CN"/>
                        </w:rPr>
                        <w:t>临淄育新实业公司</w:t>
                      </w:r>
                    </w:p>
                  </w:txbxContent>
                </v:textbox>
              </v:shape>
            </w:pict>
          </mc:Fallback>
        </mc:AlternateContent>
      </w:r>
      <w:r>
        <w:rPr>
          <w:sz w:val="18"/>
          <w:highlight w:val="none"/>
        </w:rPr>
        <mc:AlternateContent>
          <mc:Choice Requires="wps">
            <w:drawing>
              <wp:anchor distT="0" distB="0" distL="114300" distR="114300" simplePos="0" relativeHeight="251746304" behindDoc="0" locked="0" layoutInCell="1" allowOverlap="1">
                <wp:simplePos x="0" y="0"/>
                <wp:positionH relativeFrom="column">
                  <wp:posOffset>3023235</wp:posOffset>
                </wp:positionH>
                <wp:positionV relativeFrom="paragraph">
                  <wp:posOffset>4062730</wp:posOffset>
                </wp:positionV>
                <wp:extent cx="848995" cy="308610"/>
                <wp:effectExtent l="18415" t="43180" r="27940" b="48260"/>
                <wp:wrapNone/>
                <wp:docPr id="99" name="矩形 99"/>
                <wp:cNvGraphicFramePr/>
                <a:graphic xmlns:a="http://schemas.openxmlformats.org/drawingml/2006/main">
                  <a:graphicData uri="http://schemas.microsoft.com/office/word/2010/wordprocessingShape">
                    <wps:wsp>
                      <wps:cNvSpPr/>
                      <wps:spPr>
                        <a:xfrm rot="300000">
                          <a:off x="0" y="0"/>
                          <a:ext cx="848995" cy="308610"/>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05pt;margin-top:319.9pt;height:24.3pt;width:66.85pt;rotation:327680f;z-index:251746304;v-text-anchor:middle;mso-width-relative:page;mso-height-relative:page;" fillcolor="#00B0F0" filled="t" stroked="t" coordsize="21600,21600" o:gfxdata="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AA9oV2AAAAAsBAAAPAAAA&#10;AAAAAAEAIAAAACIAAABkcnMvZG93bnJldi54bWxQSwECFAAUAAAACACHTuJA1+POxIcCAAAjBQAA&#10;DgAAAAAAAAABACAAAAAnAQAAZHJzL2Uyb0RvYy54bWxQSwUGAAAAAAYABgBZAQAAIAYAAAAA&#10;">
                <v:fill on="t" opacity="19660f" focussize="0,0"/>
                <v:stroke weight="1pt" color="#FFFF00 [2404]" miterlimit="8" joinstyle="miter"/>
                <v:imagedata o:title=""/>
                <o:lock v:ext="edit" aspectratio="f"/>
              </v:rect>
            </w:pict>
          </mc:Fallback>
        </mc:AlternateContent>
      </w:r>
      <w:r>
        <w:rPr>
          <w:sz w:val="18"/>
          <w:highlight w:val="none"/>
        </w:rPr>
        <mc:AlternateContent>
          <mc:Choice Requires="wps">
            <w:drawing>
              <wp:anchor distT="0" distB="0" distL="114300" distR="114300" simplePos="0" relativeHeight="251745280" behindDoc="0" locked="0" layoutInCell="1" allowOverlap="1">
                <wp:simplePos x="0" y="0"/>
                <wp:positionH relativeFrom="column">
                  <wp:posOffset>3042285</wp:posOffset>
                </wp:positionH>
                <wp:positionV relativeFrom="paragraph">
                  <wp:posOffset>2857500</wp:posOffset>
                </wp:positionV>
                <wp:extent cx="1202690" cy="1175385"/>
                <wp:effectExtent l="55880" t="57150" r="55880" b="62865"/>
                <wp:wrapNone/>
                <wp:docPr id="98" name="矩形 98"/>
                <wp:cNvGraphicFramePr/>
                <a:graphic xmlns:a="http://schemas.openxmlformats.org/drawingml/2006/main">
                  <a:graphicData uri="http://schemas.microsoft.com/office/word/2010/wordprocessingShape">
                    <wps:wsp>
                      <wps:cNvSpPr/>
                      <wps:spPr>
                        <a:xfrm rot="300000">
                          <a:off x="0" y="0"/>
                          <a:ext cx="1202690" cy="1175385"/>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55pt;margin-top:225pt;height:92.55pt;width:94.7pt;rotation:327680f;z-index:251745280;v-text-anchor:middle;mso-width-relative:page;mso-height-relative:page;" fillcolor="#00B0F0" filled="t" stroked="t" coordsize="21600,21600" o:gfxdata="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9aehBNkAAAALAQAADwAA&#10;AAAAAAABACAAAAAiAAAAZHJzL2Rvd25yZXYueG1sUEsBAhQAFAAAAAgAh07iQMePcA+HAgAAJQUA&#10;AA4AAAAAAAAAAQAgAAAAKAEAAGRycy9lMm9Eb2MueG1sUEsFBgAAAAAGAAYAWQEAACEGAAAAAA==&#10;">
                <v:fill on="t" opacity="19660f" focussize="0,0"/>
                <v:stroke weight="1pt" color="#FFFF00 [2404]" miterlimit="8" joinstyle="miter"/>
                <v:imagedata o:title=""/>
                <o:lock v:ext="edit" aspectratio="f"/>
              </v:rect>
            </w:pict>
          </mc:Fallback>
        </mc:AlternateContent>
      </w:r>
      <w:r>
        <w:rPr>
          <w:sz w:val="18"/>
          <w:highlight w:val="none"/>
        </w:rPr>
        <mc:AlternateContent>
          <mc:Choice Requires="wps">
            <w:drawing>
              <wp:anchor distT="0" distB="0" distL="114300" distR="114300" simplePos="0" relativeHeight="251744256" behindDoc="0" locked="0" layoutInCell="1" allowOverlap="1">
                <wp:simplePos x="0" y="0"/>
                <wp:positionH relativeFrom="column">
                  <wp:posOffset>2440305</wp:posOffset>
                </wp:positionH>
                <wp:positionV relativeFrom="paragraph">
                  <wp:posOffset>3366770</wp:posOffset>
                </wp:positionV>
                <wp:extent cx="393065" cy="368935"/>
                <wp:effectExtent l="22225" t="23495" r="22860" b="26670"/>
                <wp:wrapNone/>
                <wp:docPr id="97" name="矩形 97"/>
                <wp:cNvGraphicFramePr/>
                <a:graphic xmlns:a="http://schemas.openxmlformats.org/drawingml/2006/main">
                  <a:graphicData uri="http://schemas.microsoft.com/office/word/2010/wordprocessingShape">
                    <wps:wsp>
                      <wps:cNvSpPr/>
                      <wps:spPr>
                        <a:xfrm rot="300000">
                          <a:off x="0" y="0"/>
                          <a:ext cx="393065" cy="368935"/>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15pt;margin-top:265.1pt;height:29.05pt;width:30.95pt;rotation:327680f;z-index:251744256;v-text-anchor:middle;mso-width-relative:page;mso-height-relative:page;" fillcolor="#00B0F0" filled="t" stroked="t" coordsize="21600,21600" o:gfxdata="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uSLH/ZAAAACwEAAA8A&#10;AAAAAAAAAQAgAAAAIgAAAGRycy9kb3ducmV2LnhtbFBLAQIUABQAAAAIAIdO4kB8fzN3iAIAACMF&#10;AAAOAAAAAAAAAAEAIAAAACgBAABkcnMvZTJvRG9jLnhtbFBLBQYAAAAABgAGAFkBAAAiBgAAAAA=&#10;">
                <v:fill on="t" opacity="19660f" focussize="0,0"/>
                <v:stroke weight="1pt" color="#FFFF00 [2404]" miterlimit="8" joinstyle="miter"/>
                <v:imagedata o:title=""/>
                <o:lock v:ext="edit" aspectratio="f"/>
              </v:rect>
            </w:pict>
          </mc:Fallback>
        </mc:AlternateContent>
      </w:r>
      <w:r>
        <w:rPr>
          <w:sz w:val="18"/>
          <w:highlight w:val="none"/>
        </w:rPr>
        <mc:AlternateContent>
          <mc:Choice Requires="wps">
            <w:drawing>
              <wp:anchor distT="0" distB="0" distL="114300" distR="114300" simplePos="0" relativeHeight="251743232" behindDoc="0" locked="0" layoutInCell="1" allowOverlap="1">
                <wp:simplePos x="0" y="0"/>
                <wp:positionH relativeFrom="column">
                  <wp:posOffset>2480310</wp:posOffset>
                </wp:positionH>
                <wp:positionV relativeFrom="paragraph">
                  <wp:posOffset>2785110</wp:posOffset>
                </wp:positionV>
                <wp:extent cx="393065" cy="548640"/>
                <wp:effectExtent l="29845" t="22860" r="34290" b="38100"/>
                <wp:wrapNone/>
                <wp:docPr id="96" name="矩形 96"/>
                <wp:cNvGraphicFramePr/>
                <a:graphic xmlns:a="http://schemas.openxmlformats.org/drawingml/2006/main">
                  <a:graphicData uri="http://schemas.microsoft.com/office/word/2010/wordprocessingShape">
                    <wps:wsp>
                      <wps:cNvSpPr/>
                      <wps:spPr>
                        <a:xfrm rot="300000">
                          <a:off x="0" y="0"/>
                          <a:ext cx="393065" cy="548640"/>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3pt;margin-top:219.3pt;height:43.2pt;width:30.95pt;rotation:327680f;z-index:251743232;v-text-anchor:middle;mso-width-relative:page;mso-height-relative:page;" fillcolor="#00B0F0" filled="t" stroked="t" coordsize="21600,21600" o:gfxdata="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Cdi1qrZAAAACwEAAA8A&#10;AAAAAAAAAQAgAAAAIgAAAGRycy9kb3ducmV2LnhtbFBLAQIUABQAAAAIAIdO4kCX5m/JiAIAACMF&#10;AAAOAAAAAAAAAAEAIAAAACgBAABkcnMvZTJvRG9jLnhtbFBLBQYAAAAABgAGAFkBAAAiBgAAAAA=&#10;">
                <v:fill on="t" opacity="19660f" focussize="0,0"/>
                <v:stroke weight="1pt" color="#FFFF00 [2404]" miterlimit="8" joinstyle="miter"/>
                <v:imagedata o:title=""/>
                <o:lock v:ext="edit" aspectratio="f"/>
              </v:rect>
            </w:pict>
          </mc:Fallback>
        </mc:AlternateContent>
      </w:r>
      <w:r>
        <w:rPr>
          <w:sz w:val="18"/>
          <w:highlight w:val="none"/>
        </w:rPr>
        <mc:AlternateContent>
          <mc:Choice Requires="wps">
            <w:drawing>
              <wp:anchor distT="0" distB="0" distL="114300" distR="114300" simplePos="0" relativeHeight="251742208" behindDoc="0" locked="0" layoutInCell="1" allowOverlap="1">
                <wp:simplePos x="0" y="0"/>
                <wp:positionH relativeFrom="column">
                  <wp:posOffset>2420620</wp:posOffset>
                </wp:positionH>
                <wp:positionV relativeFrom="paragraph">
                  <wp:posOffset>2099310</wp:posOffset>
                </wp:positionV>
                <wp:extent cx="608330" cy="605790"/>
                <wp:effectExtent l="32385" t="32385" r="45085" b="47625"/>
                <wp:wrapNone/>
                <wp:docPr id="95" name="矩形 95"/>
                <wp:cNvGraphicFramePr/>
                <a:graphic xmlns:a="http://schemas.openxmlformats.org/drawingml/2006/main">
                  <a:graphicData uri="http://schemas.microsoft.com/office/word/2010/wordprocessingShape">
                    <wps:wsp>
                      <wps:cNvSpPr/>
                      <wps:spPr>
                        <a:xfrm rot="300000">
                          <a:off x="0" y="0"/>
                          <a:ext cx="608330" cy="605790"/>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6pt;margin-top:165.3pt;height:47.7pt;width:47.9pt;rotation:327680f;z-index:251742208;v-text-anchor:middle;mso-width-relative:page;mso-height-relative:page;" fillcolor="#00B0F0" filled="t" stroked="t" coordsize="21600,21600" o:gfxdata="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NS5XmTYAAAACwEAAA8AAAAA&#10;AAAAAQAgAAAAIgAAAGRycy9kb3ducmV2LnhtbFBLAQIUABQAAAAIAIdO4kDDAXonhgIAACMFAAAO&#10;AAAAAAAAAAEAIAAAACcBAABkcnMvZTJvRG9jLnhtbFBLBQYAAAAABgAGAFkBAAAfBgAAAAA=&#10;">
                <v:fill on="t" opacity="19660f" focussize="0,0"/>
                <v:stroke weight="1pt" color="#FFFF00 [2404]" miterlimit="8" joinstyle="miter"/>
                <v:imagedata o:title=""/>
                <o:lock v:ext="edit" aspectratio="f"/>
              </v:rect>
            </w:pict>
          </mc:Fallback>
        </mc:AlternateContent>
      </w:r>
      <w:r>
        <w:rPr>
          <w:sz w:val="18"/>
          <w:highlight w:val="none"/>
        </w:rPr>
        <mc:AlternateContent>
          <mc:Choice Requires="wps">
            <w:drawing>
              <wp:anchor distT="0" distB="0" distL="114300" distR="114300" simplePos="0" relativeHeight="251741184" behindDoc="0" locked="0" layoutInCell="1" allowOverlap="1">
                <wp:simplePos x="0" y="0"/>
                <wp:positionH relativeFrom="column">
                  <wp:posOffset>4819015</wp:posOffset>
                </wp:positionH>
                <wp:positionV relativeFrom="paragraph">
                  <wp:posOffset>2332990</wp:posOffset>
                </wp:positionV>
                <wp:extent cx="781685" cy="605790"/>
                <wp:effectExtent l="31750" t="40005" r="43815" b="40005"/>
                <wp:wrapNone/>
                <wp:docPr id="94" name="矩形 94"/>
                <wp:cNvGraphicFramePr/>
                <a:graphic xmlns:a="http://schemas.openxmlformats.org/drawingml/2006/main">
                  <a:graphicData uri="http://schemas.microsoft.com/office/word/2010/wordprocessingShape">
                    <wps:wsp>
                      <wps:cNvSpPr/>
                      <wps:spPr>
                        <a:xfrm rot="300000">
                          <a:off x="0" y="0"/>
                          <a:ext cx="781685" cy="605790"/>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9.45pt;margin-top:183.7pt;height:47.7pt;width:61.55pt;rotation:327680f;z-index:251741184;v-text-anchor:middle;mso-width-relative:page;mso-height-relative:page;" fillcolor="#00B0F0" filled="t" stroked="t" coordsize="21600,21600" o:gfxdata="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O/b9W2gAAAAsBAAAP&#10;AAAAAAAAAAEAIAAAACIAAABkcnMvZG93bnJldi54bWxQSwECFAAUAAAACACHTuJAKj5qrogCAAAj&#10;BQAADgAAAAAAAAABACAAAAApAQAAZHJzL2Uyb0RvYy54bWxQSwUGAAAAAAYABgBZAQAAIwYAAAAA&#10;">
                <v:fill on="t" opacity="19660f" focussize="0,0"/>
                <v:stroke weight="1pt" color="#FFFF00 [2404]" miterlimit="8" joinstyle="miter"/>
                <v:imagedata o:title=""/>
                <o:lock v:ext="edit" aspectratio="f"/>
              </v:rect>
            </w:pict>
          </mc:Fallback>
        </mc:AlternateContent>
      </w:r>
      <w:r>
        <w:rPr>
          <w:sz w:val="18"/>
          <w:highlight w:val="none"/>
        </w:rPr>
        <mc:AlternateContent>
          <mc:Choice Requires="wps">
            <w:drawing>
              <wp:anchor distT="0" distB="0" distL="114300" distR="114300" simplePos="0" relativeHeight="251740160" behindDoc="0" locked="0" layoutInCell="1" allowOverlap="1">
                <wp:simplePos x="0" y="0"/>
                <wp:positionH relativeFrom="column">
                  <wp:posOffset>3104515</wp:posOffset>
                </wp:positionH>
                <wp:positionV relativeFrom="paragraph">
                  <wp:posOffset>2174240</wp:posOffset>
                </wp:positionV>
                <wp:extent cx="638810" cy="605790"/>
                <wp:effectExtent l="31750" t="33655" r="34290" b="46355"/>
                <wp:wrapNone/>
                <wp:docPr id="93" name="矩形 93"/>
                <wp:cNvGraphicFramePr/>
                <a:graphic xmlns:a="http://schemas.openxmlformats.org/drawingml/2006/main">
                  <a:graphicData uri="http://schemas.microsoft.com/office/word/2010/wordprocessingShape">
                    <wps:wsp>
                      <wps:cNvSpPr/>
                      <wps:spPr>
                        <a:xfrm rot="300000">
                          <a:off x="4201795" y="2650490"/>
                          <a:ext cx="638810" cy="605790"/>
                        </a:xfrm>
                        <a:prstGeom prst="rect">
                          <a:avLst/>
                        </a:prstGeom>
                        <a:solidFill>
                          <a:srgbClr val="00B0F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45pt;margin-top:171.2pt;height:47.7pt;width:50.3pt;rotation:327680f;z-index:251740160;v-text-anchor:middle;mso-width-relative:page;mso-height-relative:page;" fillcolor="#00B0F0" filled="t" stroked="t" coordsize="21600,21600" o:gfxdata="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MX9xC&#10;2QAAAAsBAAAPAAAAAAAAAAEAIAAAACIAAABkcnMvZG93bnJldi54bWxQSwECFAAUAAAACACHTuJA&#10;dVPR/ZICAAAvBQAADgAAAAAAAAABACAAAAAoAQAAZHJzL2Uyb0RvYy54bWxQSwUGAAAAAAYABgBZ&#10;AQAALAYAAAAA&#10;">
                <v:fill on="t" opacity="19660f" focussize="0,0"/>
                <v:stroke weight="1pt" color="#FFFF00 [2404]"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9200" behindDoc="0" locked="0" layoutInCell="1" allowOverlap="1">
                <wp:simplePos x="0" y="0"/>
                <wp:positionH relativeFrom="column">
                  <wp:posOffset>3074035</wp:posOffset>
                </wp:positionH>
                <wp:positionV relativeFrom="paragraph">
                  <wp:posOffset>3367405</wp:posOffset>
                </wp:positionV>
                <wp:extent cx="730885" cy="25146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73088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EC8464">
                            <w:pPr>
                              <w:jc w:val="center"/>
                              <w:rPr>
                                <w:rFonts w:hint="default" w:eastAsia="宋体"/>
                                <w:highlight w:val="cyan"/>
                                <w:lang w:val="en-US" w:eastAsia="zh-CN"/>
                              </w:rPr>
                            </w:pPr>
                            <w:r>
                              <w:rPr>
                                <w:rFonts w:hint="eastAsia"/>
                                <w:highlight w:val="cyan"/>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05pt;margin-top:265.15pt;height:19.8pt;width:57.55pt;z-index:251699200;mso-width-relative:page;mso-height-relative:page;" filled="f" stroked="f" coordsize="21600,21600" o:gfxdata="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8DK9XN0AAAALAQAADwAAAAAAAAABACAAAAAi&#10;AAAAZHJzL2Rvd25yZXYueG1sUEsBAhQAFAAAAAgAh07iQN0VKgg+AgAAZwQAAA4AAAAAAAAAAQAg&#10;AAAALAEAAGRycy9lMm9Eb2MueG1sUEsFBgAAAAAGAAYAWQEAANwFAAAAAA==&#10;">
                <v:fill on="f" focussize="0,0"/>
                <v:stroke on="f" weight="0.5pt"/>
                <v:imagedata o:title=""/>
                <o:lock v:ext="edit" aspectratio="f"/>
                <v:textbox>
                  <w:txbxContent>
                    <w:p w14:paraId="67EC8464">
                      <w:pPr>
                        <w:jc w:val="center"/>
                        <w:rPr>
                          <w:rFonts w:hint="default" w:eastAsia="宋体"/>
                          <w:highlight w:val="cyan"/>
                          <w:lang w:val="en-US" w:eastAsia="zh-CN"/>
                        </w:rPr>
                      </w:pPr>
                      <w:r>
                        <w:rPr>
                          <w:rFonts w:hint="eastAsia"/>
                          <w:highlight w:val="cyan"/>
                          <w:lang w:val="en-US" w:eastAsia="zh-CN"/>
                        </w:rPr>
                        <w:t>500m</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5344" behindDoc="0" locked="0" layoutInCell="1" allowOverlap="1">
                <wp:simplePos x="0" y="0"/>
                <wp:positionH relativeFrom="column">
                  <wp:posOffset>2459990</wp:posOffset>
                </wp:positionH>
                <wp:positionV relativeFrom="paragraph">
                  <wp:posOffset>1049655</wp:posOffset>
                </wp:positionV>
                <wp:extent cx="3599815" cy="3390265"/>
                <wp:effectExtent l="9525" t="9525" r="10160" b="10160"/>
                <wp:wrapNone/>
                <wp:docPr id="47" name="椭圆 47"/>
                <wp:cNvGraphicFramePr/>
                <a:graphic xmlns:a="http://schemas.openxmlformats.org/drawingml/2006/main">
                  <a:graphicData uri="http://schemas.microsoft.com/office/word/2010/wordprocessingShape">
                    <wps:wsp>
                      <wps:cNvSpPr/>
                      <wps:spPr>
                        <a:xfrm>
                          <a:off x="0" y="0"/>
                          <a:ext cx="3599815" cy="3390265"/>
                        </a:xfrm>
                        <a:prstGeom prst="ellipse">
                          <a:avLst/>
                        </a:pr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93.7pt;margin-top:82.65pt;height:266.95pt;width:283.45pt;z-index:251705344;mso-width-relative:page;mso-height-relative:page;" filled="f" stroked="t" coordsize="21600,21600" o:gfxdata="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LH0xfbAAAACwEAAA8AAAAAAAAAAQAgAAAAIgAAAGRycy9kb3ducmV2&#10;LnhtbFBLAQIUABQAAAAIAIdO4kCSjTei+QEAAPIDAAAOAAAAAAAAAAEAIAAAACoBAABkcnMvZTJv&#10;RG9jLnhtbFBLBQYAAAAABgAGAFkBAACVBQAAAAA=&#10;">
                <v:fill on="f" focussize="0,0"/>
                <v:stroke weight="1.5pt" color="#FF0000" joinstyle="round"/>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4320" behindDoc="0" locked="0" layoutInCell="1" allowOverlap="1">
                <wp:simplePos x="0" y="0"/>
                <wp:positionH relativeFrom="column">
                  <wp:posOffset>3896360</wp:posOffset>
                </wp:positionH>
                <wp:positionV relativeFrom="paragraph">
                  <wp:posOffset>1125855</wp:posOffset>
                </wp:positionV>
                <wp:extent cx="1339850" cy="31813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339850"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502B6E">
                            <w:pPr>
                              <w:jc w:val="center"/>
                              <w:rPr>
                                <w:rFonts w:hint="default"/>
                                <w:highlight w:val="cyan"/>
                                <w:lang w:val="en-US" w:eastAsia="zh-CN"/>
                              </w:rPr>
                            </w:pPr>
                            <w:r>
                              <w:rPr>
                                <w:rFonts w:hint="eastAsia"/>
                                <w:highlight w:val="cyan"/>
                                <w:lang w:val="en-US" w:eastAsia="zh-CN"/>
                              </w:rPr>
                              <w:t>西于家村 475m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8pt;margin-top:88.65pt;height:25.05pt;width:105.5pt;z-index:251704320;mso-width-relative:page;mso-height-relative:page;" filled="f" stroked="f" coordsize="21600,21600" o:gfxdata="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rfrS/bAAAACwEAAA8AAAAAAAAAAQAgAAAAIgAAAGRy&#10;cy9kb3ducmV2LnhtbFBLAQIUABQAAAAIAIdO4kBjx+iIOwIAAGgEAAAOAAAAAAAAAAEAIAAAACoB&#10;AABkcnMvZTJvRG9jLnhtbFBLBQYAAAAABgAGAFkBAADXBQAAAAA=&#10;">
                <v:fill on="f" focussize="0,0"/>
                <v:stroke on="f" weight="0.5pt"/>
                <v:imagedata o:title=""/>
                <o:lock v:ext="edit" aspectratio="f"/>
                <v:textbox>
                  <w:txbxContent>
                    <w:p w14:paraId="5E502B6E">
                      <w:pPr>
                        <w:jc w:val="center"/>
                        <w:rPr>
                          <w:rFonts w:hint="default"/>
                          <w:highlight w:val="cyan"/>
                          <w:lang w:val="en-US" w:eastAsia="zh-CN"/>
                        </w:rPr>
                      </w:pPr>
                      <w:r>
                        <w:rPr>
                          <w:rFonts w:hint="eastAsia"/>
                          <w:highlight w:val="cyan"/>
                          <w:lang w:val="en-US" w:eastAsia="zh-CN"/>
                        </w:rPr>
                        <w:t>西于家村 475m</w:t>
                      </w:r>
                    </w:p>
                  </w:txbxContent>
                </v:textbox>
              </v:shape>
            </w:pict>
          </mc:Fallback>
        </mc:AlternateContent>
      </w:r>
      <w:r>
        <w:rPr>
          <w:sz w:val="18"/>
          <w:highlight w:val="none"/>
        </w:rPr>
        <mc:AlternateContent>
          <mc:Choice Requires="wps">
            <w:drawing>
              <wp:anchor distT="0" distB="0" distL="114300" distR="114300" simplePos="0" relativeHeight="251703296" behindDoc="0" locked="0" layoutInCell="1" allowOverlap="1">
                <wp:simplePos x="0" y="0"/>
                <wp:positionH relativeFrom="column">
                  <wp:posOffset>3977640</wp:posOffset>
                </wp:positionH>
                <wp:positionV relativeFrom="paragraph">
                  <wp:posOffset>714375</wp:posOffset>
                </wp:positionV>
                <wp:extent cx="1295400" cy="828675"/>
                <wp:effectExtent l="6985" t="6985" r="12065" b="21590"/>
                <wp:wrapNone/>
                <wp:docPr id="15" name="任意多边形 15"/>
                <wp:cNvGraphicFramePr/>
                <a:graphic xmlns:a="http://schemas.openxmlformats.org/drawingml/2006/main">
                  <a:graphicData uri="http://schemas.microsoft.com/office/word/2010/wordprocessingShape">
                    <wps:wsp>
                      <wps:cNvSpPr/>
                      <wps:spPr>
                        <a:xfrm>
                          <a:off x="4675505" y="1303655"/>
                          <a:ext cx="1295400" cy="828675"/>
                        </a:xfrm>
                        <a:custGeom>
                          <a:avLst/>
                          <a:gdLst>
                            <a:gd name="connisteX0" fmla="*/ 47625 w 1295400"/>
                            <a:gd name="connsiteY0" fmla="*/ 247650 h 828675"/>
                            <a:gd name="connisteX1" fmla="*/ 0 w 1295400"/>
                            <a:gd name="connsiteY1" fmla="*/ 685800 h 828675"/>
                            <a:gd name="connisteX2" fmla="*/ 1181100 w 1295400"/>
                            <a:gd name="connsiteY2" fmla="*/ 828675 h 828675"/>
                            <a:gd name="connisteX3" fmla="*/ 1162050 w 1295400"/>
                            <a:gd name="connsiteY3" fmla="*/ 533400 h 828675"/>
                            <a:gd name="connisteX4" fmla="*/ 1295400 w 1295400"/>
                            <a:gd name="connsiteY4" fmla="*/ 533400 h 828675"/>
                            <a:gd name="connisteX5" fmla="*/ 1295400 w 1295400"/>
                            <a:gd name="connsiteY5" fmla="*/ 161925 h 828675"/>
                            <a:gd name="connisteX6" fmla="*/ 885825 w 1295400"/>
                            <a:gd name="connsiteY6" fmla="*/ 85725 h 828675"/>
                            <a:gd name="connisteX7" fmla="*/ 876300 w 1295400"/>
                            <a:gd name="connsiteY7" fmla="*/ 0 h 828675"/>
                            <a:gd name="connisteX8" fmla="*/ 733425 w 1295400"/>
                            <a:gd name="connsiteY8" fmla="*/ 19050 h 828675"/>
                            <a:gd name="connisteX9" fmla="*/ 752475 w 1295400"/>
                            <a:gd name="connsiteY9" fmla="*/ 104775 h 828675"/>
                            <a:gd name="connisteX10" fmla="*/ 542925 w 1295400"/>
                            <a:gd name="connsiteY10" fmla="*/ 76200 h 828675"/>
                            <a:gd name="connisteX11" fmla="*/ 514350 w 1295400"/>
                            <a:gd name="connsiteY11" fmla="*/ 161925 h 828675"/>
                            <a:gd name="connisteX12" fmla="*/ 333375 w 1295400"/>
                            <a:gd name="connsiteY12" fmla="*/ 142875 h 828675"/>
                            <a:gd name="connisteX13" fmla="*/ 323850 w 1295400"/>
                            <a:gd name="connsiteY13" fmla="*/ 209550 h 828675"/>
                            <a:gd name="connisteX14" fmla="*/ 57150 w 1295400"/>
                            <a:gd name="connsiteY14" fmla="*/ 200025 h 828675"/>
                            <a:gd name="connisteX15" fmla="*/ 47625 w 1295400"/>
                            <a:gd name="connsiteY15" fmla="*/ 247650 h 8286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1295400" h="828675">
                              <a:moveTo>
                                <a:pt x="47625" y="247650"/>
                              </a:moveTo>
                              <a:lnTo>
                                <a:pt x="0" y="685800"/>
                              </a:lnTo>
                              <a:lnTo>
                                <a:pt x="1181100" y="828675"/>
                              </a:lnTo>
                              <a:lnTo>
                                <a:pt x="1162050" y="533400"/>
                              </a:lnTo>
                              <a:lnTo>
                                <a:pt x="1295400" y="533400"/>
                              </a:lnTo>
                              <a:lnTo>
                                <a:pt x="1295400" y="161925"/>
                              </a:lnTo>
                              <a:lnTo>
                                <a:pt x="885825" y="85725"/>
                              </a:lnTo>
                              <a:lnTo>
                                <a:pt x="876300" y="0"/>
                              </a:lnTo>
                              <a:lnTo>
                                <a:pt x="733425" y="19050"/>
                              </a:lnTo>
                              <a:lnTo>
                                <a:pt x="752475" y="104775"/>
                              </a:lnTo>
                              <a:lnTo>
                                <a:pt x="542925" y="76200"/>
                              </a:lnTo>
                              <a:lnTo>
                                <a:pt x="514350" y="161925"/>
                              </a:lnTo>
                              <a:lnTo>
                                <a:pt x="333375" y="142875"/>
                              </a:lnTo>
                              <a:lnTo>
                                <a:pt x="323850" y="209550"/>
                              </a:lnTo>
                              <a:lnTo>
                                <a:pt x="57150" y="200025"/>
                              </a:lnTo>
                              <a:lnTo>
                                <a:pt x="47625" y="247650"/>
                              </a:lnTo>
                              <a:close/>
                            </a:path>
                          </a:pathLst>
                        </a:custGeom>
                        <a:solidFill>
                          <a:srgbClr val="FFFF00">
                            <a:alpha val="78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3.2pt;margin-top:56.25pt;height:65.25pt;width:102pt;z-index:251703296;mso-width-relative:page;mso-height-relative:page;" fillcolor="#FFFF00" filled="t" stroked="t" coordsize="1295400,828675" o:gfxdata="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" path="m47625,247650l0,685800,1181100,828675,1162050,533400,1295400,533400,1295400,161925,885825,85725,876300,0,733425,19050,752475,104775,542925,76200,514350,161925,333375,142875,323850,209550,57150,200025,47625,247650xe">
                <v:path o:connectlocs="47625,247650;0,685800;1181100,828675;1162050,533400;1295400,533400;1295400,161925;885825,85725;876300,0;733425,19050;752475,104775;542925,76200;514350,161925;333375,142875;323850,209550;57150,200025;47625,247650" o:connectangles="0,0,0,0,0,0,0,0,0,0,0,0,0,0,0,0"/>
                <v:fill on="t" opacity="51118f" focussize="0,0"/>
                <v:stroke weight="1pt" color="#FFFF0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2576" behindDoc="0" locked="0" layoutInCell="1" allowOverlap="1">
                <wp:simplePos x="0" y="0"/>
                <wp:positionH relativeFrom="column">
                  <wp:posOffset>4437380</wp:posOffset>
                </wp:positionH>
                <wp:positionV relativeFrom="paragraph">
                  <wp:posOffset>3625215</wp:posOffset>
                </wp:positionV>
                <wp:extent cx="930275" cy="297815"/>
                <wp:effectExtent l="121920" t="822960" r="14605" b="22225"/>
                <wp:wrapNone/>
                <wp:docPr id="54" name="矩形标注 54"/>
                <wp:cNvGraphicFramePr/>
                <a:graphic xmlns:a="http://schemas.openxmlformats.org/drawingml/2006/main">
                  <a:graphicData uri="http://schemas.microsoft.com/office/word/2010/wordprocessingShape">
                    <wps:wsp>
                      <wps:cNvSpPr/>
                      <wps:spPr>
                        <a:xfrm>
                          <a:off x="0" y="0"/>
                          <a:ext cx="930275" cy="297815"/>
                        </a:xfrm>
                        <a:prstGeom prst="wedgeRectCallout">
                          <a:avLst>
                            <a:gd name="adj1" fmla="val -61331"/>
                            <a:gd name="adj2" fmla="val -314818"/>
                          </a:avLst>
                        </a:prstGeom>
                        <a:solidFill>
                          <a:srgbClr val="FFFF00"/>
                        </a:solidFill>
                        <a:ln w="9525" cap="flat" cmpd="sng">
                          <a:solidFill>
                            <a:srgbClr val="000000"/>
                          </a:solidFill>
                          <a:prstDash val="solid"/>
                          <a:miter/>
                          <a:headEnd type="none" w="med" len="med"/>
                          <a:tailEnd type="none" w="med" len="med"/>
                        </a:ln>
                      </wps:spPr>
                      <wps:txbx>
                        <w:txbxContent>
                          <w:p w14:paraId="1B2F5BA2">
                            <w:pPr>
                              <w:rPr>
                                <w:sz w:val="28"/>
                                <w:szCs w:val="28"/>
                              </w:rPr>
                            </w:pPr>
                            <w:r>
                              <w:rPr>
                                <w:rFonts w:hint="eastAsia"/>
                                <w:sz w:val="28"/>
                                <w:szCs w:val="28"/>
                              </w:rPr>
                              <w:t>项目位置</w:t>
                            </w:r>
                          </w:p>
                        </w:txbxContent>
                      </wps:txbx>
                      <wps:bodyPr upright="1"/>
                    </wps:wsp>
                  </a:graphicData>
                </a:graphic>
              </wp:anchor>
            </w:drawing>
          </mc:Choice>
          <mc:Fallback>
            <w:pict>
              <v:shape id="_x0000_s1026" o:spid="_x0000_s1026" o:spt="61" type="#_x0000_t61" style="position:absolute;left:0pt;margin-left:349.4pt;margin-top:285.45pt;height:23.45pt;width:73.25pt;z-index:251672576;mso-width-relative:page;mso-height-relative:page;" fillcolor="#FFFF00" filled="t" stroked="t" coordsize="21600,21600" o:gfxdata="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89V0WNoAAAALAQAADwAAAAAAAAABACAAAAAiAAAAZHJz&#10;L2Rvd25yZXYueG1sUEsBAhQAFAAAAAgAh07iQAXo4D47AgAAkAQAAA4AAAAAAAAAAQAgAAAAKQEA&#10;AGRycy9lMm9Eb2MueG1sUEsFBgAAAAAGAAYAWQEAANYFAAAAAA==&#10;" adj="-2447,-57201">
                <v:fill on="t" focussize="0,0"/>
                <v:stroke color="#000000" joinstyle="miter"/>
                <v:imagedata o:title=""/>
                <o:lock v:ext="edit" aspectratio="f"/>
                <v:textbox>
                  <w:txbxContent>
                    <w:p w14:paraId="1B2F5BA2">
                      <w:pPr>
                        <w:rPr>
                          <w:sz w:val="28"/>
                          <w:szCs w:val="28"/>
                        </w:rPr>
                      </w:pPr>
                      <w:r>
                        <w:rPr>
                          <w:rFonts w:hint="eastAsia"/>
                          <w:sz w:val="28"/>
                          <w:szCs w:val="28"/>
                        </w:rPr>
                        <w:t>项目位置</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5408" behindDoc="0" locked="0" layoutInCell="1" allowOverlap="1">
                <wp:simplePos x="0" y="0"/>
                <wp:positionH relativeFrom="column">
                  <wp:posOffset>2987040</wp:posOffset>
                </wp:positionH>
                <wp:positionV relativeFrom="paragraph">
                  <wp:posOffset>2787650</wp:posOffset>
                </wp:positionV>
                <wp:extent cx="1227455" cy="1155700"/>
                <wp:effectExtent l="0" t="6985" r="10795" b="18415"/>
                <wp:wrapNone/>
                <wp:docPr id="52" name="直接连接符 52"/>
                <wp:cNvGraphicFramePr/>
                <a:graphic xmlns:a="http://schemas.openxmlformats.org/drawingml/2006/main">
                  <a:graphicData uri="http://schemas.microsoft.com/office/word/2010/wordprocessingShape">
                    <wps:wsp>
                      <wps:cNvCnPr>
                        <a:endCxn id="47" idx="3"/>
                      </wps:cNvCnPr>
                      <wps:spPr>
                        <a:xfrm flipH="1">
                          <a:off x="0" y="0"/>
                          <a:ext cx="1227455" cy="1155700"/>
                        </a:xfrm>
                        <a:prstGeom prst="line">
                          <a:avLst/>
                        </a:prstGeom>
                        <a:ln w="19050"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x;margin-left:235.2pt;margin-top:219.5pt;height:91pt;width:96.65pt;z-index:251665408;mso-width-relative:page;mso-height-relative:page;" filled="f" stroked="t" coordsize="21600,21600" o:gfxdata="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Ly+WN2QAAAAsBAAAP&#10;AAAAAAAAAAEAIAAAACIAAABkcnMvZG93bnJldi54bWxQSwECFAAUAAAACACHTuJApotFiRcCAAAU&#10;BAAADgAAAAAAAAABACAAAAAoAQAAZHJzL2Uyb0RvYy54bWxQSwUGAAAAAAYABgBZAQAAsQUAAAAA&#10;">
                <v:fill on="f" focussize="0,0"/>
                <v:stroke weight="1.5pt" color="#FF0000" joinstyle="round" endarrow="open"/>
                <v:imagedata o:title=""/>
                <o:lock v:ext="edit" aspectratio="f"/>
              </v:lin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1552" behindDoc="0" locked="0" layoutInCell="1" allowOverlap="1">
                <wp:simplePos x="0" y="0"/>
                <wp:positionH relativeFrom="column">
                  <wp:posOffset>4197350</wp:posOffset>
                </wp:positionH>
                <wp:positionV relativeFrom="paragraph">
                  <wp:posOffset>2705735</wp:posOffset>
                </wp:positionV>
                <wp:extent cx="183515" cy="137795"/>
                <wp:effectExtent l="12700" t="14605" r="13335" b="19050"/>
                <wp:wrapNone/>
                <wp:docPr id="66" name="矩形 66"/>
                <wp:cNvGraphicFramePr/>
                <a:graphic xmlns:a="http://schemas.openxmlformats.org/drawingml/2006/main">
                  <a:graphicData uri="http://schemas.microsoft.com/office/word/2010/wordprocessingShape">
                    <wps:wsp>
                      <wps:cNvSpPr/>
                      <wps:spPr>
                        <a:xfrm rot="300000">
                          <a:off x="4445635" y="3625215"/>
                          <a:ext cx="183515" cy="137795"/>
                        </a:xfrm>
                        <a:prstGeom prst="rect">
                          <a:avLst/>
                        </a:prstGeom>
                        <a:solidFill>
                          <a:srgbClr val="FF0000">
                            <a:alpha val="80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5pt;margin-top:213.05pt;height:10.85pt;width:14.45pt;rotation:327680f;z-index:251671552;v-text-anchor:middle;mso-width-relative:page;mso-height-relative:page;" fillcolor="#FF0000" filled="t" stroked="t" coordsize="21600,21600" o:gfxdata="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7MmC52gAA&#10;AAsBAAAPAAAAAAAAAAEAIAAAACIAAABkcnMvZG93bnJldi54bWxQSwECFAAUAAAACACHTuJABoEH&#10;kI4CAAAvBQAADgAAAAAAAAABACAAAAApAQAAZHJzL2Uyb0RvYy54bWxQSwUGAAAAAAYABgBZAQAA&#10;KQYAAAAA&#10;">
                <v:fill on="t" opacity="52428f" focussize="0,0"/>
                <v:stroke weight="1pt" color="#FF0000 [2404]" miterlimit="8" joinstyle="miter"/>
                <v:imagedata o:title=""/>
                <o:lock v:ext="edit" aspectratio="f"/>
              </v:rect>
            </w:pict>
          </mc:Fallback>
        </mc:AlternateContent>
      </w:r>
      <w:r>
        <w:rPr>
          <w:highlight w:val="none"/>
        </w:rPr>
        <w:drawing>
          <wp:inline distT="0" distB="0" distL="114300" distR="114300">
            <wp:extent cx="9088755" cy="5310505"/>
            <wp:effectExtent l="0" t="0" r="17145" b="444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61"/>
                    <a:stretch>
                      <a:fillRect/>
                    </a:stretch>
                  </pic:blipFill>
                  <pic:spPr>
                    <a:xfrm>
                      <a:off x="0" y="0"/>
                      <a:ext cx="9088755" cy="5310505"/>
                    </a:xfrm>
                    <a:prstGeom prst="rect">
                      <a:avLst/>
                    </a:prstGeom>
                    <a:noFill/>
                    <a:ln>
                      <a:noFill/>
                    </a:ln>
                  </pic:spPr>
                </pic:pic>
              </a:graphicData>
            </a:graphic>
          </wp:inline>
        </w:drawing>
      </w:r>
      <w:r>
        <w:rPr>
          <w:rFonts w:hint="default" w:ascii="Times New Roman" w:hAnsi="Times New Roman" w:cs="Times New Roman"/>
          <w:highlight w:val="none"/>
        </w:rPr>
        <w:drawing>
          <wp:anchor distT="0" distB="0" distL="114300" distR="114300" simplePos="0" relativeHeight="251675648" behindDoc="0" locked="0" layoutInCell="1" allowOverlap="1">
            <wp:simplePos x="0" y="0"/>
            <wp:positionH relativeFrom="column">
              <wp:posOffset>7275830</wp:posOffset>
            </wp:positionH>
            <wp:positionV relativeFrom="paragraph">
              <wp:posOffset>35560</wp:posOffset>
            </wp:positionV>
            <wp:extent cx="1193800" cy="1243330"/>
            <wp:effectExtent l="0" t="0" r="10160" b="635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193800" cy="1243330"/>
                    </a:xfrm>
                    <a:prstGeom prst="rect">
                      <a:avLst/>
                    </a:prstGeom>
                    <a:noFill/>
                    <a:ln>
                      <a:noFill/>
                    </a:ln>
                  </pic:spPr>
                </pic:pic>
              </a:graphicData>
            </a:graphic>
          </wp:anchor>
        </w:drawing>
      </w:r>
    </w:p>
    <w:p w14:paraId="747B67C5">
      <w:pPr>
        <w:pStyle w:val="16"/>
        <w:spacing w:line="243" w:lineRule="auto"/>
        <w:jc w:val="center"/>
        <w:rPr>
          <w:rFonts w:hint="default" w:ascii="Times New Roman" w:hAnsi="Times New Roman" w:eastAsia="黑体" w:cs="Times New Roman"/>
          <w:spacing w:val="-4"/>
          <w:sz w:val="24"/>
          <w:szCs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60288" behindDoc="0" locked="0" layoutInCell="1" allowOverlap="1">
                <wp:simplePos x="0" y="0"/>
                <wp:positionH relativeFrom="column">
                  <wp:posOffset>8482965</wp:posOffset>
                </wp:positionH>
                <wp:positionV relativeFrom="paragraph">
                  <wp:posOffset>3103880</wp:posOffset>
                </wp:positionV>
                <wp:extent cx="311785" cy="716280"/>
                <wp:effectExtent l="5080" t="4445" r="18415" b="10795"/>
                <wp:wrapNone/>
                <wp:docPr id="51" name="文本框 51"/>
                <wp:cNvGraphicFramePr/>
                <a:graphic xmlns:a="http://schemas.openxmlformats.org/drawingml/2006/main">
                  <a:graphicData uri="http://schemas.microsoft.com/office/word/2010/wordprocessingShape">
                    <wps:wsp>
                      <wps:cNvSpPr txBox="1"/>
                      <wps:spPr>
                        <a:xfrm>
                          <a:off x="0" y="0"/>
                          <a:ext cx="311785" cy="716280"/>
                        </a:xfrm>
                        <a:prstGeom prst="rect">
                          <a:avLst/>
                        </a:prstGeom>
                        <a:solidFill>
                          <a:srgbClr val="FDEADA"/>
                        </a:solidFill>
                        <a:ln w="9525" cap="flat" cmpd="sng">
                          <a:solidFill>
                            <a:srgbClr val="000000"/>
                          </a:solidFill>
                          <a:prstDash val="solid"/>
                          <a:miter/>
                          <a:headEnd type="none" w="med" len="med"/>
                          <a:tailEnd type="none" w="med" len="med"/>
                        </a:ln>
                      </wps:spPr>
                      <wps:txbx>
                        <w:txbxContent>
                          <w:p w14:paraId="2C48DBEA">
                            <w:r>
                              <w:rPr>
                                <w:rFonts w:hint="eastAsia"/>
                              </w:rPr>
                              <w:t>田家庄</w:t>
                            </w:r>
                          </w:p>
                        </w:txbxContent>
                      </wps:txbx>
                      <wps:bodyPr upright="1"/>
                    </wps:wsp>
                  </a:graphicData>
                </a:graphic>
              </wp:anchor>
            </w:drawing>
          </mc:Choice>
          <mc:Fallback>
            <w:pict>
              <v:shape id="_x0000_s1026" o:spid="_x0000_s1026" o:spt="202" type="#_x0000_t202" style="position:absolute;left:0pt;margin-left:667.95pt;margin-top:244.4pt;height:56.4pt;width:24.55pt;z-index:251660288;mso-width-relative:page;mso-height-relative:page;" fillcolor="#FDEADA" filled="t" stroked="t" coordsize="21600,21600" o:gfxdata="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s5872QAAAA0BAAAPAAAAAAAA&#10;AAEAIAAAACIAAABkcnMvZG93bnJldi54bWxQSwECFAAUAAAACACHTuJAnterFhECAAA3BAAADgAA&#10;AAAAAAABACAAAAAoAQAAZHJzL2Uyb0RvYy54bWxQSwUGAAAAAAYABgBZAQAAqwUAAAAA&#10;">
                <v:fill on="t" focussize="0,0"/>
                <v:stroke color="#000000" joinstyle="miter"/>
                <v:imagedata o:title=""/>
                <o:lock v:ext="edit" aspectratio="f"/>
                <v:textbox>
                  <w:txbxContent>
                    <w:p w14:paraId="2C48DBEA">
                      <w:r>
                        <w:rPr>
                          <w:rFonts w:hint="eastAsia"/>
                        </w:rPr>
                        <w:t>田家庄</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59264" behindDoc="0" locked="0" layoutInCell="1" allowOverlap="1">
                <wp:simplePos x="0" y="0"/>
                <wp:positionH relativeFrom="column">
                  <wp:posOffset>8025765</wp:posOffset>
                </wp:positionH>
                <wp:positionV relativeFrom="paragraph">
                  <wp:posOffset>2577465</wp:posOffset>
                </wp:positionV>
                <wp:extent cx="868680" cy="2400300"/>
                <wp:effectExtent l="6350" t="6350" r="8890" b="16510"/>
                <wp:wrapNone/>
                <wp:docPr id="50" name="任意多边形 50"/>
                <wp:cNvGraphicFramePr/>
                <a:graphic xmlns:a="http://schemas.openxmlformats.org/drawingml/2006/main">
                  <a:graphicData uri="http://schemas.microsoft.com/office/word/2010/wordprocessingShape">
                    <wps:wsp>
                      <wps:cNvSpPr/>
                      <wps:spPr>
                        <a:xfrm>
                          <a:off x="0" y="0"/>
                          <a:ext cx="868680" cy="2400300"/>
                        </a:xfrm>
                        <a:custGeom>
                          <a:avLst/>
                          <a:gdLst/>
                          <a:ahLst/>
                          <a:cxnLst/>
                          <a:rect l="0" t="0" r="0" b="0"/>
                          <a:pathLst>
                            <a:path w="1368" h="3780">
                              <a:moveTo>
                                <a:pt x="1368" y="0"/>
                              </a:moveTo>
                              <a:lnTo>
                                <a:pt x="492" y="205"/>
                              </a:lnTo>
                              <a:lnTo>
                                <a:pt x="528" y="889"/>
                              </a:lnTo>
                              <a:lnTo>
                                <a:pt x="48" y="876"/>
                              </a:lnTo>
                              <a:lnTo>
                                <a:pt x="0" y="1776"/>
                              </a:lnTo>
                              <a:lnTo>
                                <a:pt x="624" y="1885"/>
                              </a:lnTo>
                              <a:lnTo>
                                <a:pt x="648" y="3780"/>
                              </a:lnTo>
                              <a:lnTo>
                                <a:pt x="1368" y="3636"/>
                              </a:lnTo>
                              <a:lnTo>
                                <a:pt x="1320" y="3660"/>
                              </a:lnTo>
                              <a:lnTo>
                                <a:pt x="1368" y="0"/>
                              </a:lnTo>
                              <a:close/>
                            </a:path>
                          </a:pathLst>
                        </a:custGeom>
                        <a:solidFill>
                          <a:srgbClr val="FDEADA">
                            <a:alpha val="21999"/>
                          </a:srgbClr>
                        </a:solidFill>
                        <a:ln w="12700"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31.95pt;margin-top:202.95pt;height:189pt;width:68.4pt;z-index:251659264;mso-width-relative:page;mso-height-relative:page;" fillcolor="#FDEADA" filled="t" stroked="t" coordsize="1368,3780" o:gfxdata="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zsMFtNoAAAANAQAADwAAAAAAAAABACAAAAAiAAAAZHJz&#10;L2Rvd25yZXYueG1sUEsBAhQAFAAAAAgAh07iQIdiDLytAgAATwYAAA4AAAAAAAAAAQAgAAAAKQEA&#10;AGRycy9lMm9Eb2MueG1sUEsFBgAAAAAGAAYAWQEAAEgGAAAAAA==&#10;" path="m1368,0l492,205,528,889,48,876,0,1776,624,1885,648,3780,1368,3636,1320,3660,1368,0xe">
                <v:fill on="t" opacity="14417f" focussize="0,0"/>
                <v:stroke weight="1pt" color="#FFC000" joinstyle="round"/>
                <v:imagedata o:title=""/>
                <o:lock v:ext="edit" aspectratio="f"/>
              </v:shape>
            </w:pict>
          </mc:Fallback>
        </mc:AlternateContent>
      </w:r>
      <w:r>
        <w:rPr>
          <w:rFonts w:hint="default" w:ascii="Times New Roman" w:hAnsi="Times New Roman" w:eastAsia="黑体" w:cs="Times New Roman"/>
          <w:spacing w:val="-4"/>
          <w:sz w:val="24"/>
          <w:szCs w:val="24"/>
          <w:highlight w:val="none"/>
        </w:rPr>
        <w:t>附图2  环境保护目标及周边关系图</w:t>
      </w:r>
    </w:p>
    <w:p w14:paraId="3D48DA37">
      <w:pPr>
        <w:spacing w:before="78" w:line="219" w:lineRule="auto"/>
        <w:ind w:left="42"/>
        <w:jc w:val="center"/>
        <w:rPr>
          <w:rFonts w:hint="default" w:ascii="Times New Roman" w:hAnsi="Times New Roman" w:cs="Times New Roman"/>
          <w:highlight w:val="none"/>
        </w:rPr>
      </w:pPr>
      <w:r>
        <w:rPr>
          <w:sz w:val="21"/>
          <w:highlight w:val="none"/>
        </w:rPr>
        <mc:AlternateContent>
          <mc:Choice Requires="wps">
            <w:drawing>
              <wp:anchor distT="0" distB="0" distL="114300" distR="114300" simplePos="0" relativeHeight="251718656" behindDoc="0" locked="0" layoutInCell="1" allowOverlap="1">
                <wp:simplePos x="0" y="0"/>
                <wp:positionH relativeFrom="column">
                  <wp:posOffset>6721475</wp:posOffset>
                </wp:positionH>
                <wp:positionV relativeFrom="paragraph">
                  <wp:posOffset>3215640</wp:posOffset>
                </wp:positionV>
                <wp:extent cx="559435" cy="304165"/>
                <wp:effectExtent l="13970" t="13970" r="17145" b="24765"/>
                <wp:wrapNone/>
                <wp:docPr id="48" name="文本框 48"/>
                <wp:cNvGraphicFramePr/>
                <a:graphic xmlns:a="http://schemas.openxmlformats.org/drawingml/2006/main">
                  <a:graphicData uri="http://schemas.microsoft.com/office/word/2010/wordprocessingShape">
                    <wps:wsp>
                      <wps:cNvSpPr txBox="1"/>
                      <wps:spPr>
                        <a:xfrm>
                          <a:off x="0" y="0"/>
                          <a:ext cx="559435" cy="304165"/>
                        </a:xfrm>
                        <a:prstGeom prst="rect">
                          <a:avLst/>
                        </a:prstGeom>
                        <a:solidFill>
                          <a:schemeClr val="bg1"/>
                        </a:solidFill>
                        <a:ln w="28575">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52ECD900">
                            <w:pPr>
                              <w:jc w:val="center"/>
                              <w:rPr>
                                <w:rFonts w:hint="default" w:eastAsia="宋体"/>
                                <w:sz w:val="18"/>
                                <w:szCs w:val="18"/>
                                <w:lang w:val="en-US" w:eastAsia="zh-CN"/>
                              </w:rPr>
                            </w:pPr>
                            <w:r>
                              <w:rPr>
                                <w:rFonts w:hint="eastAsia"/>
                                <w:sz w:val="18"/>
                                <w:szCs w:val="18"/>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25pt;margin-top:253.2pt;height:23.95pt;width:44.05pt;z-index:251718656;mso-width-relative:page;mso-height-relative:page;" fillcolor="#FFFFFF [3212]" filled="t" stroked="t" coordsize="21600,21600" o:gfxdata="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RW+r9kA&#10;AAANAQAADwAAAAAAAAABACAAAAAiAAAAZHJzL2Rvd25yZXYueG1sUEsBAhQAFAAAAAgAh07iQFgE&#10;54pXAgAAugQAAA4AAAAAAAAAAQAgAAAAKAEAAGRycy9lMm9Eb2MueG1sUEsFBgAAAAAGAAYAWQEA&#10;APEFAAAAAA==&#10;">
                <v:fill on="t" focussize="0,0"/>
                <v:stroke weight="2.25pt" color="#FF0000 [3204]" joinstyle="round"/>
                <v:imagedata o:title=""/>
                <o:lock v:ext="edit" aspectratio="f"/>
                <v:textbox>
                  <w:txbxContent>
                    <w:p w14:paraId="52ECD900">
                      <w:pPr>
                        <w:jc w:val="center"/>
                        <w:rPr>
                          <w:rFonts w:hint="default" w:eastAsia="宋体"/>
                          <w:sz w:val="18"/>
                          <w:szCs w:val="18"/>
                          <w:lang w:val="en-US" w:eastAsia="zh-CN"/>
                        </w:rPr>
                      </w:pPr>
                      <w:r>
                        <w:rPr>
                          <w:rFonts w:hint="eastAsia"/>
                          <w:sz w:val="18"/>
                          <w:szCs w:val="18"/>
                          <w:lang w:val="en-US" w:eastAsia="zh-CN"/>
                        </w:rPr>
                        <w:t>危废间</w:t>
                      </w:r>
                    </w:p>
                  </w:txbxContent>
                </v:textbox>
              </v:shape>
            </w:pict>
          </mc:Fallback>
        </mc:AlternateContent>
      </w:r>
      <w:r>
        <w:rPr>
          <w:sz w:val="21"/>
          <w:highlight w:val="none"/>
        </w:rPr>
        <mc:AlternateContent>
          <mc:Choice Requires="wps">
            <w:drawing>
              <wp:anchor distT="0" distB="0" distL="114300" distR="114300" simplePos="0" relativeHeight="251719680" behindDoc="0" locked="0" layoutInCell="1" allowOverlap="1">
                <wp:simplePos x="0" y="0"/>
                <wp:positionH relativeFrom="column">
                  <wp:posOffset>5264785</wp:posOffset>
                </wp:positionH>
                <wp:positionV relativeFrom="paragraph">
                  <wp:posOffset>320040</wp:posOffset>
                </wp:positionV>
                <wp:extent cx="671830" cy="485775"/>
                <wp:effectExtent l="13970" t="13970" r="19050" b="14605"/>
                <wp:wrapNone/>
                <wp:docPr id="55" name="文本框 55"/>
                <wp:cNvGraphicFramePr/>
                <a:graphic xmlns:a="http://schemas.openxmlformats.org/drawingml/2006/main">
                  <a:graphicData uri="http://schemas.microsoft.com/office/word/2010/wordprocessingShape">
                    <wps:wsp>
                      <wps:cNvSpPr txBox="1"/>
                      <wps:spPr>
                        <a:xfrm>
                          <a:off x="0" y="0"/>
                          <a:ext cx="671830" cy="485775"/>
                        </a:xfrm>
                        <a:prstGeom prst="rect">
                          <a:avLst/>
                        </a:prstGeom>
                        <a:noFill/>
                        <a:ln w="28575">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F353C8B">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一般固废暂存处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4.55pt;margin-top:25.2pt;height:38.25pt;width:52.9pt;z-index:251719680;mso-width-relative:page;mso-height-relative:page;" filled="f" stroked="t" coordsize="21600,21600" o:gfxdata="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6SDAdoAAAAK&#10;AQAADwAAAAAAAAABACAAAAAiAAAAZHJzL2Rvd25yZXYueG1sUEsBAhQAFAAAAAgAh07iQA0/mB5T&#10;AgAAkQQAAA4AAAAAAAAAAQAgAAAAKQEAAGRycy9lMm9Eb2MueG1sUEsFBgAAAAAGAAYAWQEAAO4F&#10;AAAAAA==&#10;">
                <v:fill on="f" focussize="0,0"/>
                <v:stroke weight="2.25pt" color="#FF0000 [3204]" joinstyle="round"/>
                <v:imagedata o:title=""/>
                <o:lock v:ext="edit" aspectratio="f"/>
                <v:textbox>
                  <w:txbxContent>
                    <w:p w14:paraId="7F353C8B">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一般固废暂存处</w:t>
                      </w:r>
                    </w:p>
                  </w:txbxContent>
                </v:textbox>
              </v:shape>
            </w:pict>
          </mc:Fallback>
        </mc:AlternateContent>
      </w:r>
      <w:r>
        <w:rPr>
          <w:sz w:val="21"/>
          <w:highlight w:val="none"/>
        </w:rPr>
        <mc:AlternateContent>
          <mc:Choice Requires="wps">
            <w:drawing>
              <wp:anchor distT="0" distB="0" distL="114300" distR="114300" simplePos="0" relativeHeight="251713536" behindDoc="0" locked="0" layoutInCell="1" allowOverlap="1">
                <wp:simplePos x="0" y="0"/>
                <wp:positionH relativeFrom="column">
                  <wp:posOffset>5826125</wp:posOffset>
                </wp:positionH>
                <wp:positionV relativeFrom="paragraph">
                  <wp:posOffset>843915</wp:posOffset>
                </wp:positionV>
                <wp:extent cx="464820" cy="3429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46482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0099AF">
                            <w:pPr>
                              <w:rPr>
                                <w:rFonts w:hint="default" w:eastAsia="宋体"/>
                                <w:sz w:val="24"/>
                                <w:szCs w:val="24"/>
                                <w:lang w:val="en-US" w:eastAsia="zh-CN"/>
                              </w:rPr>
                            </w:pPr>
                            <w:r>
                              <w:rPr>
                                <w:rFonts w:hint="eastAsia"/>
                                <w:sz w:val="24"/>
                                <w:szCs w:val="24"/>
                                <w:lang w:val="en-US" w:eastAsia="zh-CN"/>
                              </w:rPr>
                              <w:t>P1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75pt;margin-top:66.45pt;height:27pt;width:36.6pt;z-index:251713536;mso-width-relative:page;mso-height-relative:page;" filled="f" stroked="f" coordsize="21600,21600" o:gfxdata="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QbXNXcAAAACwEAAA8AAAAAAAAAAQAgAAAAIgAA&#10;AGRycy9kb3ducmV2LnhtbFBLAQIUABQAAAAIAIdO4kDh6SexPQIAAGcEAAAOAAAAAAAAAAEAIAAA&#10;ACsBAABkcnMvZTJvRG9jLnhtbFBLBQYAAAAABgAGAFkBAADaBQAAAAA=&#10;">
                <v:fill on="f" focussize="0,0"/>
                <v:stroke on="f" weight="0.5pt"/>
                <v:imagedata o:title=""/>
                <o:lock v:ext="edit" aspectratio="f"/>
                <v:textbox>
                  <w:txbxContent>
                    <w:p w14:paraId="380099AF">
                      <w:pPr>
                        <w:rPr>
                          <w:rFonts w:hint="default" w:eastAsia="宋体"/>
                          <w:sz w:val="24"/>
                          <w:szCs w:val="24"/>
                          <w:lang w:val="en-US" w:eastAsia="zh-CN"/>
                        </w:rPr>
                      </w:pPr>
                      <w:r>
                        <w:rPr>
                          <w:rFonts w:hint="eastAsia"/>
                          <w:sz w:val="24"/>
                          <w:szCs w:val="24"/>
                          <w:lang w:val="en-US" w:eastAsia="zh-CN"/>
                        </w:rPr>
                        <w:t>P1</w:t>
                      </w:r>
                    </w:p>
                  </w:txbxContent>
                </v:textbox>
              </v:shape>
            </w:pict>
          </mc:Fallback>
        </mc:AlternateContent>
      </w:r>
      <w:r>
        <w:rPr>
          <w:sz w:val="21"/>
          <w:highlight w:val="none"/>
        </w:rPr>
        <mc:AlternateContent>
          <mc:Choice Requires="wps">
            <w:drawing>
              <wp:anchor distT="0" distB="0" distL="114300" distR="114300" simplePos="0" relativeHeight="251717632" behindDoc="0" locked="0" layoutInCell="1" allowOverlap="1">
                <wp:simplePos x="0" y="0"/>
                <wp:positionH relativeFrom="column">
                  <wp:posOffset>6207125</wp:posOffset>
                </wp:positionH>
                <wp:positionV relativeFrom="paragraph">
                  <wp:posOffset>5539740</wp:posOffset>
                </wp:positionV>
                <wp:extent cx="969010" cy="3429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96901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4C6E79">
                            <w:pPr>
                              <w:rPr>
                                <w:rFonts w:hint="default" w:eastAsia="宋体"/>
                                <w:sz w:val="24"/>
                                <w:szCs w:val="24"/>
                                <w:lang w:val="en-US" w:eastAsia="zh-CN"/>
                              </w:rPr>
                            </w:pPr>
                            <w:r>
                              <w:rPr>
                                <w:rFonts w:hint="eastAsia"/>
                                <w:sz w:val="24"/>
                                <w:szCs w:val="24"/>
                                <w:lang w:val="en-US" w:eastAsia="zh-CN"/>
                              </w:rPr>
                              <w:t>雨水排放口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8.75pt;margin-top:436.2pt;height:27pt;width:76.3pt;z-index:251717632;mso-width-relative:page;mso-height-relative:page;" filled="f" stroked="f" coordsize="21600,21600" o:gfxdata="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&#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Dn9cXcAAAADAEAAA8AAAAAAAAAAQAgAAAAIgAA&#10;AGRycy9kb3ducmV2LnhtbFBLAQIUABQAAAAIAIdO4kCE0KBOPQIAAGcEAAAOAAAAAAAAAAEAIAAA&#10;ACsBAABkcnMvZTJvRG9jLnhtbFBLBQYAAAAABgAGAFkBAADaBQAAAAA=&#10;">
                <v:fill on="f" focussize="0,0"/>
                <v:stroke on="f" weight="0.5pt"/>
                <v:imagedata o:title=""/>
                <o:lock v:ext="edit" aspectratio="f"/>
                <v:textbox>
                  <w:txbxContent>
                    <w:p w14:paraId="164C6E79">
                      <w:pPr>
                        <w:rPr>
                          <w:rFonts w:hint="default" w:eastAsia="宋体"/>
                          <w:sz w:val="24"/>
                          <w:szCs w:val="24"/>
                          <w:lang w:val="en-US" w:eastAsia="zh-CN"/>
                        </w:rPr>
                      </w:pPr>
                      <w:r>
                        <w:rPr>
                          <w:rFonts w:hint="eastAsia"/>
                          <w:sz w:val="24"/>
                          <w:szCs w:val="24"/>
                          <w:lang w:val="en-US" w:eastAsia="zh-CN"/>
                        </w:rPr>
                        <w:t>雨水排放口</w:t>
                      </w:r>
                    </w:p>
                  </w:txbxContent>
                </v:textbox>
              </v:shape>
            </w:pict>
          </mc:Fallback>
        </mc:AlternateContent>
      </w:r>
      <w:r>
        <w:rPr>
          <w:sz w:val="21"/>
          <w:highlight w:val="none"/>
        </w:rPr>
        <mc:AlternateContent>
          <mc:Choice Requires="wps">
            <w:drawing>
              <wp:anchor distT="0" distB="0" distL="114300" distR="114300" simplePos="0" relativeHeight="251716608" behindDoc="0" locked="0" layoutInCell="1" allowOverlap="1">
                <wp:simplePos x="0" y="0"/>
                <wp:positionH relativeFrom="column">
                  <wp:posOffset>6130290</wp:posOffset>
                </wp:positionH>
                <wp:positionV relativeFrom="paragraph">
                  <wp:posOffset>5453380</wp:posOffset>
                </wp:positionV>
                <wp:extent cx="190500" cy="190500"/>
                <wp:effectExtent l="14605" t="14605" r="23495" b="23495"/>
                <wp:wrapNone/>
                <wp:docPr id="44" name="流程图: 汇总连接 44"/>
                <wp:cNvGraphicFramePr/>
                <a:graphic xmlns:a="http://schemas.openxmlformats.org/drawingml/2006/main">
                  <a:graphicData uri="http://schemas.microsoft.com/office/word/2010/wordprocessingShape">
                    <wps:wsp>
                      <wps:cNvSpPr/>
                      <wps:spPr>
                        <a:xfrm>
                          <a:off x="6904355" y="5995035"/>
                          <a:ext cx="190500" cy="190500"/>
                        </a:xfrm>
                        <a:prstGeom prst="flowChartSummingJunction">
                          <a:avLst/>
                        </a:prstGeom>
                        <a:solidFill>
                          <a:srgbClr val="FFFF00">
                            <a:alpha val="78000"/>
                          </a:srgbClr>
                        </a:solidFill>
                        <a:ln w="28575">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482.7pt;margin-top:429.4pt;height:15pt;width:15pt;z-index:251716608;v-text-anchor:middle;mso-width-relative:page;mso-height-relative:page;" fillcolor="#FFFF00" filled="t" stroked="t" coordsize="21600,21600" o:gfxdata="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Gj2g5HYAAAACwEAAA8AAAAAAAAA&#10;AQAgAAAAIgAAAGRycy9kb3ducmV2LnhtbFBLAQIUABQAAAAIAIdO4kAVLo98vAIAAEcFAAAOAAAA&#10;AAAAAAEAIAAAACcBAABkcnMvZTJvRG9jLnhtbFBLBQYAAAAABgAGAFkBAABVBgAAAAA=&#10;">
                <v:fill on="t" opacity="51118f" focussize="0,0"/>
                <v:stroke weight="2.25pt" color="#4472C4 [3204]" miterlimit="8" joinstyle="miter"/>
                <v:imagedata o:title=""/>
                <o:lock v:ext="edit" aspectratio="f"/>
              </v:shape>
            </w:pict>
          </mc:Fallback>
        </mc:AlternateContent>
      </w:r>
      <w:r>
        <w:rPr>
          <w:sz w:val="21"/>
          <w:highlight w:val="none"/>
        </w:rPr>
        <mc:AlternateContent>
          <mc:Choice Requires="wps">
            <w:drawing>
              <wp:anchor distT="0" distB="0" distL="114300" distR="114300" simplePos="0" relativeHeight="251714560" behindDoc="0" locked="0" layoutInCell="1" allowOverlap="1">
                <wp:simplePos x="0" y="0"/>
                <wp:positionH relativeFrom="column">
                  <wp:posOffset>3815715</wp:posOffset>
                </wp:positionH>
                <wp:positionV relativeFrom="paragraph">
                  <wp:posOffset>881380</wp:posOffset>
                </wp:positionV>
                <wp:extent cx="2371725" cy="0"/>
                <wp:effectExtent l="0" t="13970" r="9525" b="24130"/>
                <wp:wrapNone/>
                <wp:docPr id="35" name="直接连接符 35"/>
                <wp:cNvGraphicFramePr/>
                <a:graphic xmlns:a="http://schemas.openxmlformats.org/drawingml/2006/main">
                  <a:graphicData uri="http://schemas.microsoft.com/office/word/2010/wordprocessingShape">
                    <wps:wsp>
                      <wps:cNvCnPr/>
                      <wps:spPr>
                        <a:xfrm>
                          <a:off x="4475480" y="1527810"/>
                          <a:ext cx="2371725" cy="0"/>
                        </a:xfrm>
                        <a:prstGeom prst="line">
                          <a:avLst/>
                        </a:prstGeom>
                        <a:ln w="28575"/>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0.45pt;margin-top:69.4pt;height:0pt;width:186.75pt;z-index:251714560;mso-width-relative:page;mso-height-relative:page;" filled="f" stroked="t" coordsize="21600,21600" o:gfxdata="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Pf/HU1QAAAAsBAAAPAAAAAAAAAAEAIAAAACIAAABkcnMvZG93bnJldi54bWxQSwEC&#10;FAAUAAAACACHTuJARg6COfcBAADAAwAADgAAAAAAAAABACAAAAAkAQAAZHJzL2Uyb0RvYy54bWxQ&#10;SwUGAAAAAAYABgBZAQAAjQUAAAAA&#10;">
                <v:fill on="f" focussize="0,0"/>
                <v:stroke weight="2.25pt" color="#4472C4 [3204]" miterlimit="8" joinstyle="miter"/>
                <v:imagedata o:title=""/>
                <o:lock v:ext="edit" aspectratio="f"/>
              </v:line>
            </w:pict>
          </mc:Fallback>
        </mc:AlternateContent>
      </w:r>
      <w:r>
        <w:rPr>
          <w:sz w:val="21"/>
          <w:highlight w:val="none"/>
        </w:rPr>
        <mc:AlternateContent>
          <mc:Choice Requires="wps">
            <w:drawing>
              <wp:anchor distT="0" distB="0" distL="114300" distR="114300" simplePos="0" relativeHeight="251715584" behindDoc="0" locked="0" layoutInCell="1" allowOverlap="1">
                <wp:simplePos x="0" y="0"/>
                <wp:positionH relativeFrom="column">
                  <wp:posOffset>6177915</wp:posOffset>
                </wp:positionH>
                <wp:positionV relativeFrom="paragraph">
                  <wp:posOffset>890905</wp:posOffset>
                </wp:positionV>
                <wp:extent cx="0" cy="4619625"/>
                <wp:effectExtent l="13970" t="0" r="24130" b="9525"/>
                <wp:wrapNone/>
                <wp:docPr id="37" name="直接连接符 37"/>
                <wp:cNvGraphicFramePr/>
                <a:graphic xmlns:a="http://schemas.openxmlformats.org/drawingml/2006/main">
                  <a:graphicData uri="http://schemas.microsoft.com/office/word/2010/wordprocessingShape">
                    <wps:wsp>
                      <wps:cNvCnPr/>
                      <wps:spPr>
                        <a:xfrm>
                          <a:off x="0" y="0"/>
                          <a:ext cx="0" cy="4619625"/>
                        </a:xfrm>
                        <a:prstGeom prst="line">
                          <a:avLst/>
                        </a:prstGeom>
                        <a:ln w="28575"/>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86.45pt;margin-top:70.15pt;height:363.75pt;width:0pt;z-index:251715584;mso-width-relative:page;mso-height-relative:page;" filled="f" stroked="t" coordsize="21600,21600" o:gfxdata="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6biMrV&#10;AAAACwEAAA8AAAAAAAAAAQAgAAAAIgAAAGRycy9kb3ducmV2LnhtbFBLAQIUABQAAAAIAIdO4kAN&#10;LtLG6gEAALQDAAAOAAAAAAAAAAEAIAAAACQBAABkcnMvZTJvRG9jLnhtbFBLBQYAAAAABgAGAFkB&#10;AACABQAAAAA=&#10;">
                <v:fill on="f" focussize="0,0"/>
                <v:stroke weight="2.25pt" color="#4472C4 [3204]" miterlimit="8" joinstyle="miter"/>
                <v:imagedata o:title=""/>
                <o:lock v:ext="edit" aspectratio="f"/>
              </v:line>
            </w:pict>
          </mc:Fallback>
        </mc:AlternateContent>
      </w:r>
      <w:r>
        <w:rPr>
          <w:sz w:val="21"/>
          <w:highlight w:val="none"/>
        </w:rPr>
        <mc:AlternateContent>
          <mc:Choice Requires="wps">
            <w:drawing>
              <wp:anchor distT="0" distB="0" distL="114300" distR="114300" simplePos="0" relativeHeight="251712512" behindDoc="0" locked="0" layoutInCell="1" allowOverlap="1">
                <wp:simplePos x="0" y="0"/>
                <wp:positionH relativeFrom="column">
                  <wp:posOffset>6101715</wp:posOffset>
                </wp:positionH>
                <wp:positionV relativeFrom="paragraph">
                  <wp:posOffset>862330</wp:posOffset>
                </wp:positionV>
                <wp:extent cx="180975" cy="171450"/>
                <wp:effectExtent l="6350" t="6350" r="22225" b="12700"/>
                <wp:wrapNone/>
                <wp:docPr id="31" name="同心圆 31"/>
                <wp:cNvGraphicFramePr/>
                <a:graphic xmlns:a="http://schemas.openxmlformats.org/drawingml/2006/main">
                  <a:graphicData uri="http://schemas.microsoft.com/office/word/2010/wordprocessingShape">
                    <wps:wsp>
                      <wps:cNvSpPr/>
                      <wps:spPr>
                        <a:xfrm>
                          <a:off x="6609080" y="1461135"/>
                          <a:ext cx="180975" cy="171450"/>
                        </a:xfrm>
                        <a:prstGeom prst="donut">
                          <a:avLst/>
                        </a:prstGeom>
                        <a:solidFill>
                          <a:srgbClr val="FFFF00">
                            <a:alpha val="78000"/>
                          </a:srgb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80.45pt;margin-top:67.9pt;height:13.5pt;width:14.25pt;z-index:251712512;v-text-anchor:middle;mso-width-relative:page;mso-height-relative:page;" fillcolor="#FFFF00" filled="t" stroked="t" coordsize="21600,21600" o:gfxdata="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P1t&#10;VOPaAAAACwEAAA8AAAAAAAAAAQAgAAAAIgAAAGRycy9kb3ducmV2LnhtbFBLAQIUABQAAAAIAIdO&#10;4kBcUsdvkwIAACYFAAAOAAAAAAAAAAEAIAAAACkBAABkcnMvZTJvRG9jLnhtbFBLBQYAAAAABgAG&#10;AFkBAAAuBgAAAAA=&#10;" adj="5115">
                <v:fill on="t" opacity="51118f" focussize="0,0"/>
                <v:stroke weight="1pt" color="#000000 [3213]" miterlimit="8" joinstyle="miter"/>
                <v:imagedata o:title=""/>
                <o:lock v:ext="edit" aspectratio="f"/>
              </v:shape>
            </w:pict>
          </mc:Fallback>
        </mc:AlternateContent>
      </w:r>
      <w:r>
        <w:rPr>
          <w:sz w:val="21"/>
          <w:highlight w:val="none"/>
        </w:rPr>
        <mc:AlternateContent>
          <mc:Choice Requires="wps">
            <w:drawing>
              <wp:anchor distT="0" distB="0" distL="114300" distR="114300" simplePos="0" relativeHeight="251708416" behindDoc="0" locked="0" layoutInCell="1" allowOverlap="1">
                <wp:simplePos x="0" y="0"/>
                <wp:positionH relativeFrom="column">
                  <wp:posOffset>2472690</wp:posOffset>
                </wp:positionH>
                <wp:positionV relativeFrom="paragraph">
                  <wp:posOffset>396240</wp:posOffset>
                </wp:positionV>
                <wp:extent cx="914400" cy="3429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914400" cy="3429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3C198CF5">
                            <w:pPr>
                              <w:rPr>
                                <w:rFonts w:hint="default" w:eastAsia="宋体"/>
                                <w:sz w:val="24"/>
                                <w:szCs w:val="24"/>
                                <w:lang w:val="en-US" w:eastAsia="zh-CN"/>
                              </w:rPr>
                            </w:pPr>
                            <w:r>
                              <w:rPr>
                                <w:rFonts w:hint="eastAsia"/>
                                <w:sz w:val="24"/>
                                <w:szCs w:val="24"/>
                                <w:lang w:val="en-US" w:eastAsia="zh-CN"/>
                              </w:rPr>
                              <w:t>办公室1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7pt;margin-top:31.2pt;height:27pt;width:72pt;z-index:251708416;mso-width-relative:page;mso-height-relative:page;" fillcolor="#FFFFFF [3212]" filled="t" stroked="f" coordsize="21600,21600" o:gfxdata="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yB7TU1QAAAAoBAAAPAAAAAAAA&#10;AAEAIAAAACIAAABkcnMvZG93bnJldi54bWxQSwECFAAUAAAACACHTuJAa0nXxE4CAACQBAAADgAA&#10;AAAAAAABACAAAAAkAQAAZHJzL2Uyb0RvYy54bWxQSwUGAAAAAAYABgBZAQAA5AUAAAAA&#10;">
                <v:fill on="t" focussize="0,0"/>
                <v:stroke on="f" weight="0.5pt"/>
                <v:imagedata o:title=""/>
                <o:lock v:ext="edit" aspectratio="f"/>
                <v:textbox>
                  <w:txbxContent>
                    <w:p w14:paraId="3C198CF5">
                      <w:pPr>
                        <w:rPr>
                          <w:rFonts w:hint="default" w:eastAsia="宋体"/>
                          <w:sz w:val="24"/>
                          <w:szCs w:val="24"/>
                          <w:lang w:val="en-US" w:eastAsia="zh-CN"/>
                        </w:rPr>
                      </w:pPr>
                      <w:r>
                        <w:rPr>
                          <w:rFonts w:hint="eastAsia"/>
                          <w:sz w:val="24"/>
                          <w:szCs w:val="24"/>
                          <w:lang w:val="en-US" w:eastAsia="zh-CN"/>
                        </w:rPr>
                        <w:t>办公室1</w:t>
                      </w:r>
                    </w:p>
                  </w:txbxContent>
                </v:textbox>
              </v:shape>
            </w:pict>
          </mc:Fallback>
        </mc:AlternateContent>
      </w:r>
      <w:r>
        <w:rPr>
          <w:sz w:val="21"/>
          <w:highlight w:val="none"/>
        </w:rPr>
        <mc:AlternateContent>
          <mc:Choice Requires="wps">
            <w:drawing>
              <wp:anchor distT="0" distB="0" distL="114300" distR="114300" simplePos="0" relativeHeight="251711488" behindDoc="0" locked="0" layoutInCell="1" allowOverlap="1">
                <wp:simplePos x="0" y="0"/>
                <wp:positionH relativeFrom="column">
                  <wp:posOffset>4540250</wp:posOffset>
                </wp:positionH>
                <wp:positionV relativeFrom="paragraph">
                  <wp:posOffset>386715</wp:posOffset>
                </wp:positionV>
                <wp:extent cx="769620" cy="342900"/>
                <wp:effectExtent l="0" t="0" r="11430" b="0"/>
                <wp:wrapNone/>
                <wp:docPr id="30" name="文本框 30"/>
                <wp:cNvGraphicFramePr/>
                <a:graphic xmlns:a="http://schemas.openxmlformats.org/drawingml/2006/main">
                  <a:graphicData uri="http://schemas.microsoft.com/office/word/2010/wordprocessingShape">
                    <wps:wsp>
                      <wps:cNvSpPr txBox="1"/>
                      <wps:spPr>
                        <a:xfrm>
                          <a:off x="0" y="0"/>
                          <a:ext cx="76962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0179AB">
                            <w:pPr>
                              <w:rPr>
                                <w:rFonts w:hint="default" w:eastAsia="宋体"/>
                                <w:sz w:val="24"/>
                                <w:szCs w:val="24"/>
                                <w:lang w:val="en-US" w:eastAsia="zh-CN"/>
                              </w:rPr>
                            </w:pPr>
                            <w:r>
                              <w:rPr>
                                <w:rFonts w:hint="eastAsia"/>
                                <w:sz w:val="24"/>
                                <w:szCs w:val="24"/>
                                <w:lang w:val="en-US" w:eastAsia="zh-CN"/>
                              </w:rPr>
                              <w:t>办公室3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5pt;margin-top:30.45pt;height:27pt;width:60.6pt;z-index:251711488;mso-width-relative:page;mso-height-relative:page;" filled="f" stroked="f" coordsize="21600,21600" o:gfxdata="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nY32NwAAAAKAQAADwAAAAAAAAABACAAAAAiAAAA&#10;ZHJzL2Rvd25yZXYueG1sUEsBAhQAFAAAAAgAh07iQOkhaQw8AgAAZwQAAA4AAAAAAAAAAQAgAAAA&#10;KwEAAGRycy9lMm9Eb2MueG1sUEsFBgAAAAAGAAYAWQEAANkFAAAAAA==&#10;">
                <v:fill on="f" focussize="0,0"/>
                <v:stroke on="f" weight="0.5pt"/>
                <v:imagedata o:title=""/>
                <o:lock v:ext="edit" aspectratio="f"/>
                <v:textbox>
                  <w:txbxContent>
                    <w:p w14:paraId="460179AB">
                      <w:pPr>
                        <w:rPr>
                          <w:rFonts w:hint="default" w:eastAsia="宋体"/>
                          <w:sz w:val="24"/>
                          <w:szCs w:val="24"/>
                          <w:lang w:val="en-US" w:eastAsia="zh-CN"/>
                        </w:rPr>
                      </w:pPr>
                      <w:r>
                        <w:rPr>
                          <w:rFonts w:hint="eastAsia"/>
                          <w:sz w:val="24"/>
                          <w:szCs w:val="24"/>
                          <w:lang w:val="en-US" w:eastAsia="zh-CN"/>
                        </w:rPr>
                        <w:t>办公室3</w:t>
                      </w:r>
                    </w:p>
                  </w:txbxContent>
                </v:textbox>
              </v:shape>
            </w:pict>
          </mc:Fallback>
        </mc:AlternateContent>
      </w:r>
      <w:r>
        <w:rPr>
          <w:sz w:val="21"/>
          <w:highlight w:val="none"/>
        </w:rPr>
        <mc:AlternateContent>
          <mc:Choice Requires="wps">
            <w:drawing>
              <wp:anchor distT="0" distB="0" distL="114300" distR="114300" simplePos="0" relativeHeight="251710464" behindDoc="0" locked="0" layoutInCell="1" allowOverlap="1">
                <wp:simplePos x="0" y="0"/>
                <wp:positionH relativeFrom="column">
                  <wp:posOffset>4578350</wp:posOffset>
                </wp:positionH>
                <wp:positionV relativeFrom="paragraph">
                  <wp:posOffset>424815</wp:posOffset>
                </wp:positionV>
                <wp:extent cx="617220" cy="342900"/>
                <wp:effectExtent l="0" t="0" r="11430" b="0"/>
                <wp:wrapNone/>
                <wp:docPr id="29" name="文本框 29"/>
                <wp:cNvGraphicFramePr/>
                <a:graphic xmlns:a="http://schemas.openxmlformats.org/drawingml/2006/main">
                  <a:graphicData uri="http://schemas.microsoft.com/office/word/2010/wordprocessingShape">
                    <wps:wsp>
                      <wps:cNvSpPr txBox="1"/>
                      <wps:spPr>
                        <a:xfrm>
                          <a:off x="0" y="0"/>
                          <a:ext cx="617220" cy="3429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2681DB25">
                            <w:pPr>
                              <w:rPr>
                                <w:rFonts w:hint="default" w:eastAsia="宋体"/>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5pt;margin-top:33.45pt;height:27pt;width:48.6pt;z-index:251710464;mso-width-relative:page;mso-height-relative:page;" fillcolor="#FFFFFF [3212]" filled="t" stroked="f" coordsize="21600,21600" o:gfxdata="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ae4Mz1QAAAAoBAAAPAAAA&#10;AAAAAAEAIAAAACIAAABkcnMvZG93bnJldi54bWxQSwECFAAUAAAACACHTuJAdFacolECAACQBAAA&#10;DgAAAAAAAAABACAAAAAkAQAAZHJzL2Uyb0RvYy54bWxQSwUGAAAAAAYABgBZAQAA5wUAAAAA&#10;">
                <v:fill on="t" focussize="0,0"/>
                <v:stroke on="f" weight="0.5pt"/>
                <v:imagedata o:title=""/>
                <o:lock v:ext="edit" aspectratio="f"/>
                <v:textbox>
                  <w:txbxContent>
                    <w:p w14:paraId="2681DB25">
                      <w:pPr>
                        <w:rPr>
                          <w:rFonts w:hint="default" w:eastAsia="宋体"/>
                          <w:sz w:val="24"/>
                          <w:szCs w:val="24"/>
                          <w:lang w:val="en-US" w:eastAsia="zh-CN"/>
                        </w:rPr>
                      </w:pPr>
                    </w:p>
                  </w:txbxContent>
                </v:textbox>
              </v:shape>
            </w:pict>
          </mc:Fallback>
        </mc:AlternateContent>
      </w:r>
      <w:r>
        <w:rPr>
          <w:sz w:val="21"/>
          <w:highlight w:val="none"/>
        </w:rPr>
        <mc:AlternateContent>
          <mc:Choice Requires="wps">
            <w:drawing>
              <wp:anchor distT="0" distB="0" distL="114300" distR="114300" simplePos="0" relativeHeight="251709440" behindDoc="0" locked="0" layoutInCell="1" allowOverlap="1">
                <wp:simplePos x="0" y="0"/>
                <wp:positionH relativeFrom="column">
                  <wp:posOffset>3740150</wp:posOffset>
                </wp:positionH>
                <wp:positionV relativeFrom="paragraph">
                  <wp:posOffset>396240</wp:posOffset>
                </wp:positionV>
                <wp:extent cx="742315" cy="342900"/>
                <wp:effectExtent l="0" t="0" r="635" b="0"/>
                <wp:wrapNone/>
                <wp:docPr id="27" name="文本框 27"/>
                <wp:cNvGraphicFramePr/>
                <a:graphic xmlns:a="http://schemas.openxmlformats.org/drawingml/2006/main">
                  <a:graphicData uri="http://schemas.microsoft.com/office/word/2010/wordprocessingShape">
                    <wps:wsp>
                      <wps:cNvSpPr txBox="1"/>
                      <wps:spPr>
                        <a:xfrm>
                          <a:off x="0" y="0"/>
                          <a:ext cx="742315" cy="3429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4427242B">
                            <w:pPr>
                              <w:rPr>
                                <w:rFonts w:hint="default" w:eastAsia="宋体"/>
                                <w:sz w:val="24"/>
                                <w:szCs w:val="24"/>
                                <w:lang w:val="en-US" w:eastAsia="zh-CN"/>
                              </w:rPr>
                            </w:pPr>
                            <w:r>
                              <w:rPr>
                                <w:rFonts w:hint="eastAsia"/>
                                <w:sz w:val="24"/>
                                <w:szCs w:val="24"/>
                                <w:lang w:val="en-US" w:eastAsia="zh-CN"/>
                              </w:rPr>
                              <w:t>办公室2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5pt;margin-top:31.2pt;height:27pt;width:58.45pt;z-index:251709440;mso-width-relative:page;mso-height-relative:page;" fillcolor="#FFFFFF [3212]" filled="t" stroked="f" coordsize="21600,21600" o:gfxdata="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sDGXjWAAAACgEAAA8A&#10;AAAAAAAAAQAgAAAAIgAAAGRycy9kb3ducmV2LnhtbFBLAQIUABQAAAAIAIdO4kCf/CXTUgIAAJAE&#10;AAAOAAAAAAAAAAEAIAAAACUBAABkcnMvZTJvRG9jLnhtbFBLBQYAAAAABgAGAFkBAADpBQAAAAA=&#10;">
                <v:fill on="t" focussize="0,0"/>
                <v:stroke on="f" weight="0.5pt"/>
                <v:imagedata o:title=""/>
                <o:lock v:ext="edit" aspectratio="f"/>
                <v:textbox>
                  <w:txbxContent>
                    <w:p w14:paraId="4427242B">
                      <w:pPr>
                        <w:rPr>
                          <w:rFonts w:hint="default" w:eastAsia="宋体"/>
                          <w:sz w:val="24"/>
                          <w:szCs w:val="24"/>
                          <w:lang w:val="en-US" w:eastAsia="zh-CN"/>
                        </w:rPr>
                      </w:pPr>
                      <w:r>
                        <w:rPr>
                          <w:rFonts w:hint="eastAsia"/>
                          <w:sz w:val="24"/>
                          <w:szCs w:val="24"/>
                          <w:lang w:val="en-US" w:eastAsia="zh-CN"/>
                        </w:rPr>
                        <w:t>办公室2</w:t>
                      </w:r>
                    </w:p>
                  </w:txbxContent>
                </v:textbox>
              </v:shape>
            </w:pict>
          </mc:Fallback>
        </mc:AlternateContent>
      </w:r>
      <w:r>
        <w:rPr>
          <w:sz w:val="21"/>
          <w:highlight w:val="none"/>
        </w:rPr>
        <mc:AlternateContent>
          <mc:Choice Requires="wps">
            <w:drawing>
              <wp:anchor distT="0" distB="0" distL="114300" distR="114300" simplePos="0" relativeHeight="251706368" behindDoc="0" locked="0" layoutInCell="1" allowOverlap="1">
                <wp:simplePos x="0" y="0"/>
                <wp:positionH relativeFrom="column">
                  <wp:posOffset>6577965</wp:posOffset>
                </wp:positionH>
                <wp:positionV relativeFrom="paragraph">
                  <wp:posOffset>2891790</wp:posOffset>
                </wp:positionV>
                <wp:extent cx="676275" cy="342900"/>
                <wp:effectExtent l="0" t="0" r="0" b="0"/>
                <wp:wrapNone/>
                <wp:docPr id="25" name="文本框 25"/>
                <wp:cNvGraphicFramePr/>
                <a:graphic xmlns:a="http://schemas.openxmlformats.org/drawingml/2006/main">
                  <a:graphicData uri="http://schemas.microsoft.com/office/word/2010/wordprocessingShape">
                    <wps:wsp>
                      <wps:cNvSpPr txBox="1"/>
                      <wps:spPr>
                        <a:xfrm>
                          <a:off x="7275830" y="3538220"/>
                          <a:ext cx="67627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05BDFC">
                            <w:pPr>
                              <w:rPr>
                                <w:rFonts w:hint="eastAsia" w:eastAsia="宋体"/>
                                <w:sz w:val="24"/>
                                <w:szCs w:val="24"/>
                                <w:lang w:val="en-US" w:eastAsia="zh-CN"/>
                              </w:rPr>
                            </w:pPr>
                            <w:r>
                              <w:rPr>
                                <w:rFonts w:hint="eastAsia"/>
                                <w:sz w:val="24"/>
                                <w:szCs w:val="24"/>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7.95pt;margin-top:227.7pt;height:27pt;width:53.25pt;z-index:251706368;mso-width-relative:page;mso-height-relative:page;" filled="f" stroked="f" coordsize="21600,21600" o:gfxdata="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P5BedwAAAANAQAADwAAAAAA&#10;AAABACAAAAAiAAAAZHJzL2Rvd25yZXYueG1sUEsBAhQAFAAAAAgAh07iQA505Q1IAgAAcwQAAA4A&#10;AAAAAAAAAQAgAAAAKwEAAGRycy9lMm9Eb2MueG1sUEsFBgAAAAAGAAYAWQEAAOUFAAAAAA==&#10;">
                <v:fill on="f" focussize="0,0"/>
                <v:stroke on="f" weight="0.5pt"/>
                <v:imagedata o:title=""/>
                <o:lock v:ext="edit" aspectratio="f"/>
                <v:textbox>
                  <w:txbxContent>
                    <w:p w14:paraId="7C05BDFC">
                      <w:pPr>
                        <w:rPr>
                          <w:rFonts w:hint="eastAsia" w:eastAsia="宋体"/>
                          <w:sz w:val="24"/>
                          <w:szCs w:val="24"/>
                          <w:lang w:val="en-US" w:eastAsia="zh-CN"/>
                        </w:rPr>
                      </w:pPr>
                      <w:r>
                        <w:rPr>
                          <w:rFonts w:hint="eastAsia"/>
                          <w:sz w:val="24"/>
                          <w:szCs w:val="24"/>
                          <w:lang w:val="en-US" w:eastAsia="zh-CN"/>
                        </w:rPr>
                        <w:t>仓库</w:t>
                      </w:r>
                    </w:p>
                  </w:txbxContent>
                </v:textbox>
              </v:shape>
            </w:pict>
          </mc:Fallback>
        </mc:AlternateContent>
      </w:r>
      <w:r>
        <w:rPr>
          <w:rFonts w:hint="default" w:ascii="Times New Roman" w:hAnsi="Times New Roman" w:cs="Times New Roman"/>
          <w:highlight w:val="none"/>
        </w:rPr>
        <w:drawing>
          <wp:anchor distT="0" distB="0" distL="114300" distR="114300" simplePos="0" relativeHeight="251700224" behindDoc="0" locked="0" layoutInCell="1" allowOverlap="1">
            <wp:simplePos x="0" y="0"/>
            <wp:positionH relativeFrom="column">
              <wp:posOffset>8142605</wp:posOffset>
            </wp:positionH>
            <wp:positionV relativeFrom="paragraph">
              <wp:posOffset>52705</wp:posOffset>
            </wp:positionV>
            <wp:extent cx="850900" cy="885825"/>
            <wp:effectExtent l="0" t="0" r="6350" b="952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850900" cy="885825"/>
                    </a:xfrm>
                    <a:prstGeom prst="rect">
                      <a:avLst/>
                    </a:prstGeom>
                    <a:noFill/>
                    <a:ln>
                      <a:noFill/>
                    </a:ln>
                  </pic:spPr>
                </pic:pic>
              </a:graphicData>
            </a:graphic>
          </wp:anchor>
        </w:drawing>
      </w:r>
      <w:r>
        <w:rPr>
          <w:highlight w:val="none"/>
        </w:rPr>
        <w:drawing>
          <wp:inline distT="0" distB="0" distL="114300" distR="114300">
            <wp:extent cx="6067425" cy="5864225"/>
            <wp:effectExtent l="0" t="0" r="9525" b="317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62"/>
                    <a:stretch>
                      <a:fillRect/>
                    </a:stretch>
                  </pic:blipFill>
                  <pic:spPr>
                    <a:xfrm>
                      <a:off x="0" y="0"/>
                      <a:ext cx="6067425" cy="5864225"/>
                    </a:xfrm>
                    <a:prstGeom prst="rect">
                      <a:avLst/>
                    </a:prstGeom>
                    <a:noFill/>
                    <a:ln>
                      <a:noFill/>
                    </a:ln>
                  </pic:spPr>
                </pic:pic>
              </a:graphicData>
            </a:graphic>
          </wp:inline>
        </w:drawing>
      </w:r>
    </w:p>
    <w:p w14:paraId="2EE84E51">
      <w:pPr>
        <w:spacing w:line="219" w:lineRule="auto"/>
        <w:jc w:val="center"/>
        <w:rPr>
          <w:rFonts w:hint="default" w:ascii="Times New Roman" w:hAnsi="Times New Roman" w:eastAsia="黑体" w:cs="Times New Roman"/>
          <w:spacing w:val="-4"/>
          <w:sz w:val="24"/>
          <w:highlight w:val="none"/>
        </w:rPr>
        <w:sectPr>
          <w:footerReference r:id="rId14" w:type="default"/>
          <w:pgSz w:w="16839" w:h="11906" w:orient="landscape"/>
          <w:pgMar w:top="928" w:right="1421" w:bottom="867" w:left="1099" w:header="0" w:footer="836" w:gutter="0"/>
          <w:cols w:space="720" w:num="1"/>
        </w:sectPr>
      </w:pPr>
      <w:r>
        <w:rPr>
          <w:rFonts w:hint="default" w:ascii="Times New Roman" w:hAnsi="Times New Roman" w:eastAsia="黑体" w:cs="Times New Roman"/>
          <w:spacing w:val="-4"/>
          <w:sz w:val="24"/>
          <w:highlight w:val="none"/>
        </w:rPr>
        <w:t>附图3 项目区平面布置图</w:t>
      </w:r>
    </w:p>
    <w:p w14:paraId="3AF540CE">
      <w:pPr>
        <w:spacing w:line="219" w:lineRule="auto"/>
        <w:jc w:val="center"/>
        <w:rPr>
          <w:sz w:val="21"/>
          <w:highlight w:val="none"/>
        </w:rPr>
      </w:pPr>
      <w:r>
        <w:rPr>
          <w:rFonts w:hint="default" w:ascii="Times New Roman" w:hAnsi="Times New Roman" w:cs="Times New Roman"/>
          <w:highlight w:val="none"/>
        </w:rPr>
        <w:drawing>
          <wp:anchor distT="0" distB="0" distL="114300" distR="114300" simplePos="0" relativeHeight="251754496" behindDoc="0" locked="0" layoutInCell="1" allowOverlap="1">
            <wp:simplePos x="0" y="0"/>
            <wp:positionH relativeFrom="column">
              <wp:posOffset>8142605</wp:posOffset>
            </wp:positionH>
            <wp:positionV relativeFrom="paragraph">
              <wp:posOffset>52705</wp:posOffset>
            </wp:positionV>
            <wp:extent cx="850900" cy="885825"/>
            <wp:effectExtent l="0" t="0" r="6350" b="952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850900" cy="885825"/>
                    </a:xfrm>
                    <a:prstGeom prst="rect">
                      <a:avLst/>
                    </a:prstGeom>
                    <a:noFill/>
                    <a:ln>
                      <a:noFill/>
                    </a:ln>
                  </pic:spPr>
                </pic:pic>
              </a:graphicData>
            </a:graphic>
          </wp:anchor>
        </w:drawing>
      </w:r>
      <w:r>
        <w:rPr>
          <w:sz w:val="21"/>
          <w:highlight w:val="none"/>
        </w:rPr>
        <mc:AlternateContent>
          <mc:Choice Requires="wps">
            <w:drawing>
              <wp:anchor distT="0" distB="0" distL="114300" distR="114300" simplePos="0" relativeHeight="251738112" behindDoc="0" locked="0" layoutInCell="1" allowOverlap="1">
                <wp:simplePos x="0" y="0"/>
                <wp:positionH relativeFrom="column">
                  <wp:posOffset>3550285</wp:posOffset>
                </wp:positionH>
                <wp:positionV relativeFrom="paragraph">
                  <wp:posOffset>72390</wp:posOffset>
                </wp:positionV>
                <wp:extent cx="3348355" cy="980440"/>
                <wp:effectExtent l="13970" t="13970" r="28575" b="15240"/>
                <wp:wrapNone/>
                <wp:docPr id="87" name="文本框 87"/>
                <wp:cNvGraphicFramePr/>
                <a:graphic xmlns:a="http://schemas.openxmlformats.org/drawingml/2006/main">
                  <a:graphicData uri="http://schemas.microsoft.com/office/word/2010/wordprocessingShape">
                    <wps:wsp>
                      <wps:cNvSpPr txBox="1"/>
                      <wps:spPr>
                        <a:xfrm>
                          <a:off x="0" y="0"/>
                          <a:ext cx="3348355" cy="980440"/>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72E152A2">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产品暂存区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55pt;margin-top:5.7pt;height:77.2pt;width:263.65pt;z-index:251738112;mso-width-relative:page;mso-height-relative:page;" filled="f" stroked="t" coordsize="21600,21600" o:gfxdata="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1LJxXaAAAA&#10;CwEAAA8AAAAAAAAAAQAgAAAAIgAAAGRycy9kb3ducmV2LnhtbFBLAQIUABQAAAAIAIdO4kAdA4NY&#10;VAIAAJIEAAAOAAAAAAAAAAEAIAAAACkBAABkcnMvZTJvRG9jLnhtbFBLBQYAAAAABgAGAFkBAADv&#10;BQAAAAA=&#10;">
                <v:fill on="f" focussize="0,0"/>
                <v:stroke weight="2.25pt" color="#000000 [3213]" joinstyle="round"/>
                <v:imagedata o:title=""/>
                <o:lock v:ext="edit" aspectratio="f"/>
                <v:textbox>
                  <w:txbxContent>
                    <w:p w14:paraId="72E152A2">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产品暂存区</w:t>
                      </w:r>
                    </w:p>
                  </w:txbxContent>
                </v:textbox>
              </v:shape>
            </w:pict>
          </mc:Fallback>
        </mc:AlternateContent>
      </w:r>
      <w:r>
        <w:rPr>
          <w:sz w:val="21"/>
          <w:highlight w:val="none"/>
        </w:rPr>
        <mc:AlternateContent>
          <mc:Choice Requires="wps">
            <w:drawing>
              <wp:anchor distT="0" distB="0" distL="114300" distR="114300" simplePos="0" relativeHeight="251731968" behindDoc="0" locked="0" layoutInCell="1" allowOverlap="1">
                <wp:simplePos x="0" y="0"/>
                <wp:positionH relativeFrom="column">
                  <wp:posOffset>6668770</wp:posOffset>
                </wp:positionH>
                <wp:positionV relativeFrom="paragraph">
                  <wp:posOffset>2405380</wp:posOffset>
                </wp:positionV>
                <wp:extent cx="303530" cy="598170"/>
                <wp:effectExtent l="4445" t="4445" r="15875" b="6985"/>
                <wp:wrapNone/>
                <wp:docPr id="77" name="文本框 77"/>
                <wp:cNvGraphicFramePr/>
                <a:graphic xmlns:a="http://schemas.openxmlformats.org/drawingml/2006/main">
                  <a:graphicData uri="http://schemas.microsoft.com/office/word/2010/wordprocessingShape">
                    <wps:wsp>
                      <wps:cNvSpPr txBox="1"/>
                      <wps:spPr>
                        <a:xfrm>
                          <a:off x="0" y="0"/>
                          <a:ext cx="303530" cy="5981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DECBF72">
                            <w:pPr>
                              <w:rPr>
                                <w:rFonts w:hint="default"/>
                                <w:sz w:val="18"/>
                                <w:szCs w:val="18"/>
                                <w:lang w:val="en-US" w:eastAsia="zh-CN"/>
                              </w:rPr>
                            </w:pPr>
                            <w:r>
                              <w:rPr>
                                <w:rFonts w:hint="eastAsia"/>
                                <w:sz w:val="18"/>
                                <w:szCs w:val="18"/>
                                <w:lang w:val="en-US" w:eastAsia="zh-CN"/>
                              </w:rPr>
                              <w:t>制冷机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1pt;margin-top:189.4pt;height:47.1pt;width:23.9pt;z-index:251731968;mso-width-relative:page;mso-height-relative:page;" fillcolor="#FFFFFF [3201]" filled="t" stroked="t" coordsize="21600,21600" o:gfxdata="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OT2o2&#10;2AAAAA0BAAAPAAAAAAAAAAEAIAAAACIAAABkcnMvZG93bnJldi54bWxQSwECFAAUAAAACACHTuJA&#10;KuftxFoCAAC4BAAADgAAAAAAAAABACAAAAAnAQAAZHJzL2Uyb0RvYy54bWxQSwUGAAAAAAYABgBZ&#10;AQAA8wUAAAAA&#10;">
                <v:fill on="t" focussize="0,0"/>
                <v:stroke weight="0.5pt" color="#000000 [3204]" joinstyle="round"/>
                <v:imagedata o:title=""/>
                <o:lock v:ext="edit" aspectratio="f"/>
                <v:textbox>
                  <w:txbxContent>
                    <w:p w14:paraId="3DECBF72">
                      <w:pPr>
                        <w:rPr>
                          <w:rFonts w:hint="default"/>
                          <w:sz w:val="18"/>
                          <w:szCs w:val="18"/>
                          <w:lang w:val="en-US" w:eastAsia="zh-CN"/>
                        </w:rPr>
                      </w:pPr>
                      <w:r>
                        <w:rPr>
                          <w:rFonts w:hint="eastAsia"/>
                          <w:sz w:val="18"/>
                          <w:szCs w:val="18"/>
                          <w:lang w:val="en-US" w:eastAsia="zh-CN"/>
                        </w:rPr>
                        <w:t>制冷机</w:t>
                      </w:r>
                    </w:p>
                  </w:txbxContent>
                </v:textbox>
              </v:shape>
            </w:pict>
          </mc:Fallback>
        </mc:AlternateContent>
      </w:r>
      <w:r>
        <w:rPr>
          <w:sz w:val="21"/>
          <w:highlight w:val="none"/>
        </w:rPr>
        <mc:AlternateContent>
          <mc:Choice Requires="wps">
            <w:drawing>
              <wp:anchor distT="0" distB="0" distL="114300" distR="114300" simplePos="0" relativeHeight="251737088" behindDoc="0" locked="0" layoutInCell="1" allowOverlap="1">
                <wp:simplePos x="0" y="0"/>
                <wp:positionH relativeFrom="column">
                  <wp:posOffset>4725670</wp:posOffset>
                </wp:positionH>
                <wp:positionV relativeFrom="paragraph">
                  <wp:posOffset>4104005</wp:posOffset>
                </wp:positionV>
                <wp:extent cx="75565" cy="790575"/>
                <wp:effectExtent l="0" t="0" r="635" b="9525"/>
                <wp:wrapNone/>
                <wp:docPr id="86" name="矩形 86"/>
                <wp:cNvGraphicFramePr/>
                <a:graphic xmlns:a="http://schemas.openxmlformats.org/drawingml/2006/main">
                  <a:graphicData uri="http://schemas.microsoft.com/office/word/2010/wordprocessingShape">
                    <wps:wsp>
                      <wps:cNvSpPr/>
                      <wps:spPr>
                        <a:xfrm>
                          <a:off x="0" y="0"/>
                          <a:ext cx="75565" cy="790575"/>
                        </a:xfrm>
                        <a:prstGeom prst="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2.1pt;margin-top:323.15pt;height:62.25pt;width:5.95pt;z-index:251737088;v-text-anchor:middle;mso-width-relative:page;mso-height-relative:page;" fillcolor="#2F5597 [2404]" filled="t" stroked="f" coordsize="21600,21600" o:gfxdata="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qlNPhdkAAAALAQAADwAAAAAAAAABACAA&#10;AAAiAAAAZHJzL2Rvd25yZXYueG1sUEsBAhQAFAAAAAgAh07iQDmBZnl+AgAA7QQAAA4AAAAAAAAA&#10;AQAgAAAAKAEAAGRycy9lMm9Eb2MueG1sUEsFBgAAAAAGAAYAWQEAABgGAAAAAA==&#10;">
                <v:fill on="t" focussize="0,0"/>
                <v:stroke on="f" weight="1pt"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736064" behindDoc="0" locked="0" layoutInCell="1" allowOverlap="1">
                <wp:simplePos x="0" y="0"/>
                <wp:positionH relativeFrom="column">
                  <wp:posOffset>4725670</wp:posOffset>
                </wp:positionH>
                <wp:positionV relativeFrom="paragraph">
                  <wp:posOffset>1770380</wp:posOffset>
                </wp:positionV>
                <wp:extent cx="75565" cy="790575"/>
                <wp:effectExtent l="0" t="0" r="635" b="9525"/>
                <wp:wrapNone/>
                <wp:docPr id="85" name="矩形 85"/>
                <wp:cNvGraphicFramePr/>
                <a:graphic xmlns:a="http://schemas.openxmlformats.org/drawingml/2006/main">
                  <a:graphicData uri="http://schemas.microsoft.com/office/word/2010/wordprocessingShape">
                    <wps:wsp>
                      <wps:cNvSpPr/>
                      <wps:spPr>
                        <a:xfrm>
                          <a:off x="5385435" y="2359660"/>
                          <a:ext cx="75565" cy="790575"/>
                        </a:xfrm>
                        <a:prstGeom prst="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2.1pt;margin-top:139.4pt;height:62.25pt;width:5.95pt;z-index:251736064;v-text-anchor:middle;mso-width-relative:page;mso-height-relative:page;" fillcolor="#2F5597 [2404]" filled="t" stroked="f" coordsize="21600,21600" o:gfxdata="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DaZ4nnZAAAACwEAAA8A&#10;AAAAAAAAAQAgAAAAIgAAAGRycy9kb3ducmV2LnhtbFBLAQIUABQAAAAIAIdO4kBVb1reiAIAAPkE&#10;AAAOAAAAAAAAAAEAIAAAACgBAABkcnMvZTJvRG9jLnhtbFBLBQYAAAAABgAGAFkBAAAiBgAAAAA=&#10;">
                <v:fill on="t" focussize="0,0"/>
                <v:stroke on="f" weight="1pt"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735040" behindDoc="0" locked="0" layoutInCell="1" allowOverlap="1">
                <wp:simplePos x="0" y="0"/>
                <wp:positionH relativeFrom="column">
                  <wp:posOffset>2339975</wp:posOffset>
                </wp:positionH>
                <wp:positionV relativeFrom="paragraph">
                  <wp:posOffset>-41910</wp:posOffset>
                </wp:positionV>
                <wp:extent cx="873125" cy="1171575"/>
                <wp:effectExtent l="13970" t="13970" r="27305" b="14605"/>
                <wp:wrapNone/>
                <wp:docPr id="83" name="文本框 83"/>
                <wp:cNvGraphicFramePr/>
                <a:graphic xmlns:a="http://schemas.openxmlformats.org/drawingml/2006/main">
                  <a:graphicData uri="http://schemas.microsoft.com/office/word/2010/wordprocessingShape">
                    <wps:wsp>
                      <wps:cNvSpPr txBox="1"/>
                      <wps:spPr>
                        <a:xfrm>
                          <a:off x="0" y="0"/>
                          <a:ext cx="873125" cy="1171575"/>
                        </a:xfrm>
                        <a:prstGeom prst="rect">
                          <a:avLst/>
                        </a:prstGeom>
                        <a:noFill/>
                        <a:ln w="28575">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377D6EBA">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一般固废暂存处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25pt;margin-top:-3.3pt;height:92.25pt;width:68.75pt;z-index:251735040;mso-width-relative:page;mso-height-relative:page;" filled="f" stroked="t" coordsize="21600,21600" o:gfxdata="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94UTS2gAAAAoB&#10;AAAPAAAAAAAAAAEAIAAAACIAAABkcnMvZG93bnJldi54bWxQSwECFAAUAAAACACHTuJAfPlnaFIC&#10;AACSBAAADgAAAAAAAAABACAAAAApAQAAZHJzL2Uyb0RvYy54bWxQSwUGAAAAAAYABgBZAQAA7QUA&#10;AAAA&#10;">
                <v:fill on="f" focussize="0,0"/>
                <v:stroke weight="2.25pt" color="#FF0000 [3204]" joinstyle="round"/>
                <v:imagedata o:title=""/>
                <o:lock v:ext="edit" aspectratio="f"/>
                <v:textbox>
                  <w:txbxContent>
                    <w:p w14:paraId="377D6EBA">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一般固废暂存处</w:t>
                      </w:r>
                    </w:p>
                  </w:txbxContent>
                </v:textbox>
              </v:shape>
            </w:pict>
          </mc:Fallback>
        </mc:AlternateContent>
      </w:r>
      <w:r>
        <w:rPr>
          <w:sz w:val="21"/>
          <w:highlight w:val="none"/>
        </w:rPr>
        <mc:AlternateContent>
          <mc:Choice Requires="wps">
            <w:drawing>
              <wp:anchor distT="0" distB="0" distL="114300" distR="114300" simplePos="0" relativeHeight="251734016" behindDoc="0" locked="0" layoutInCell="1" allowOverlap="1">
                <wp:simplePos x="0" y="0"/>
                <wp:positionH relativeFrom="column">
                  <wp:posOffset>2306320</wp:posOffset>
                </wp:positionH>
                <wp:positionV relativeFrom="paragraph">
                  <wp:posOffset>-62230</wp:posOffset>
                </wp:positionV>
                <wp:extent cx="4773930" cy="5760085"/>
                <wp:effectExtent l="6350" t="6350" r="20320" b="24765"/>
                <wp:wrapNone/>
                <wp:docPr id="82" name="任意多边形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5966460" y="885190"/>
                          <a:ext cx="4773930" cy="5760085"/>
                        </a:xfrm>
                        <a:custGeom>
                          <a:avLst/>
                          <a:gdLst>
                            <a:gd name="connisteX0" fmla="*/ 0 w 2028825"/>
                            <a:gd name="connsiteY0" fmla="*/ 0 h 2447925"/>
                            <a:gd name="connisteX1" fmla="*/ 2019300 w 2028825"/>
                            <a:gd name="connsiteY1" fmla="*/ 0 h 2447925"/>
                            <a:gd name="connisteX2" fmla="*/ 2028825 w 2028825"/>
                            <a:gd name="connsiteY2" fmla="*/ 2438400 h 2447925"/>
                            <a:gd name="connisteX3" fmla="*/ 1047750 w 2028825"/>
                            <a:gd name="connsiteY3" fmla="*/ 2447925 h 2447925"/>
                            <a:gd name="connisteX4" fmla="*/ 1047750 w 2028825"/>
                            <a:gd name="connsiteY4" fmla="*/ 523875 h 2447925"/>
                            <a:gd name="connisteX5" fmla="*/ 9525 w 2028825"/>
                            <a:gd name="connsiteY5" fmla="*/ 523875 h 2447925"/>
                            <a:gd name="connisteX6" fmla="*/ 0 w 2028825"/>
                            <a:gd name="connsiteY6" fmla="*/ 0 h 2447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028825" h="2447925">
                              <a:moveTo>
                                <a:pt x="0" y="0"/>
                              </a:moveTo>
                              <a:lnTo>
                                <a:pt x="2019300" y="0"/>
                              </a:lnTo>
                              <a:lnTo>
                                <a:pt x="2028825" y="2438400"/>
                              </a:lnTo>
                              <a:lnTo>
                                <a:pt x="1047750" y="2447925"/>
                              </a:lnTo>
                              <a:lnTo>
                                <a:pt x="1047750" y="523875"/>
                              </a:lnTo>
                              <a:lnTo>
                                <a:pt x="9525" y="523875"/>
                              </a:lnTo>
                              <a:lnTo>
                                <a:pt x="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1.6pt;margin-top:-4.9pt;height:453.55pt;width:375.9pt;z-index:251734016;mso-width-relative:page;mso-height-relative:page;" filled="f" stroked="t" coordsize="2028825,2447925" o:gfxdata="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" path="m0,0l2019300,0,2028825,2438400,1047750,2447925,1047750,523875,9525,523875,0,0xe">
                <v:path o:connectlocs="0,0;4751517,0;4773930,5737672;2465409,5760085;2465409,1232703;22412,1232703;0,0" o:connectangles="0,0,0,0,0,0,0"/>
                <v:fill on="f" focussize="0,0"/>
                <v:stroke weight="1pt" color="#000000 [3213]" miterlimit="8" joinstyle="miter"/>
                <v:imagedata o:title=""/>
                <o:lock v:ext="edit" aspectratio="t"/>
              </v:shape>
            </w:pict>
          </mc:Fallback>
        </mc:AlternateContent>
      </w:r>
    </w:p>
    <w:p w14:paraId="20B621A7">
      <w:pPr>
        <w:bidi w:val="0"/>
        <w:rPr>
          <w:rFonts w:hint="default" w:ascii="Times New Roman" w:hAnsi="Times New Roman" w:eastAsia="宋体" w:cs="Times New Roman"/>
          <w:kern w:val="2"/>
          <w:sz w:val="21"/>
          <w:szCs w:val="24"/>
          <w:highlight w:val="none"/>
          <w:lang w:val="en-US" w:eastAsia="zh-CN" w:bidi="ar-SA"/>
        </w:rPr>
      </w:pPr>
    </w:p>
    <w:p w14:paraId="046F8918">
      <w:pPr>
        <w:bidi w:val="0"/>
        <w:rPr>
          <w:rFonts w:hint="default"/>
          <w:highlight w:val="none"/>
          <w:lang w:val="en-US" w:eastAsia="zh-CN"/>
        </w:rPr>
      </w:pPr>
    </w:p>
    <w:p w14:paraId="5C905122">
      <w:pPr>
        <w:bidi w:val="0"/>
        <w:rPr>
          <w:rFonts w:hint="default"/>
          <w:highlight w:val="none"/>
          <w:lang w:val="en-US" w:eastAsia="zh-CN"/>
        </w:rPr>
      </w:pPr>
    </w:p>
    <w:p w14:paraId="4F8F75EB">
      <w:pPr>
        <w:bidi w:val="0"/>
        <w:rPr>
          <w:rFonts w:hint="default"/>
          <w:highlight w:val="none"/>
          <w:lang w:val="en-US" w:eastAsia="zh-CN"/>
        </w:rPr>
      </w:pPr>
    </w:p>
    <w:p w14:paraId="7B9F57C5">
      <w:pPr>
        <w:bidi w:val="0"/>
        <w:rPr>
          <w:rFonts w:hint="default"/>
          <w:highlight w:val="none"/>
          <w:lang w:val="en-US" w:eastAsia="zh-CN"/>
        </w:rPr>
      </w:pPr>
    </w:p>
    <w:p w14:paraId="22E6D1BD">
      <w:pPr>
        <w:bidi w:val="0"/>
        <w:rPr>
          <w:rFonts w:hint="default"/>
          <w:highlight w:val="none"/>
          <w:lang w:val="en-US" w:eastAsia="zh-CN"/>
        </w:rPr>
      </w:pPr>
    </w:p>
    <w:p w14:paraId="305536C1">
      <w:pPr>
        <w:bidi w:val="0"/>
        <w:rPr>
          <w:rFonts w:hint="default"/>
          <w:highlight w:val="none"/>
          <w:lang w:val="en-US" w:eastAsia="zh-CN"/>
        </w:rPr>
      </w:pPr>
      <w:r>
        <w:rPr>
          <w:sz w:val="21"/>
          <w:highlight w:val="none"/>
        </w:rPr>
        <mc:AlternateContent>
          <mc:Choice Requires="wps">
            <w:drawing>
              <wp:anchor distT="0" distB="0" distL="114300" distR="114300" simplePos="0" relativeHeight="251759616" behindDoc="0" locked="0" layoutInCell="1" allowOverlap="1">
                <wp:simplePos x="0" y="0"/>
                <wp:positionH relativeFrom="column">
                  <wp:posOffset>4235450</wp:posOffset>
                </wp:positionH>
                <wp:positionV relativeFrom="paragraph">
                  <wp:posOffset>107950</wp:posOffset>
                </wp:positionV>
                <wp:extent cx="464820" cy="3429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46482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B43913">
                            <w:pPr>
                              <w:rPr>
                                <w:rFonts w:hint="default" w:eastAsia="宋体"/>
                                <w:sz w:val="24"/>
                                <w:szCs w:val="24"/>
                                <w:lang w:val="en-US" w:eastAsia="zh-CN"/>
                              </w:rPr>
                            </w:pPr>
                            <w:r>
                              <w:rPr>
                                <w:rFonts w:hint="eastAsia"/>
                                <w:sz w:val="24"/>
                                <w:szCs w:val="24"/>
                                <w:lang w:val="en-US" w:eastAsia="zh-CN"/>
                              </w:rPr>
                              <w:t>P1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5pt;margin-top:8.5pt;height:27pt;width:36.6pt;z-index:251759616;mso-width-relative:page;mso-height-relative:page;" filled="f" stroked="f" coordsize="21600,21600" o:gfxdata="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CGj2dkAAAAJAQAADwAAAAAAAAABACAAAAAiAAAAZHJz&#10;L2Rvd25yZXYueG1sUEsBAhQAFAAAAAgAh07iQON2u3o8AgAAZwQAAA4AAAAAAAAAAQAgAAAAKAEA&#10;AGRycy9lMm9Eb2MueG1sUEsFBgAAAAAGAAYAWQEAANYFAAAAAA==&#10;">
                <v:fill on="f" focussize="0,0"/>
                <v:stroke on="f" weight="0.5pt"/>
                <v:imagedata o:title=""/>
                <o:lock v:ext="edit" aspectratio="f"/>
                <v:textbox>
                  <w:txbxContent>
                    <w:p w14:paraId="22B43913">
                      <w:pPr>
                        <w:rPr>
                          <w:rFonts w:hint="default" w:eastAsia="宋体"/>
                          <w:sz w:val="24"/>
                          <w:szCs w:val="24"/>
                          <w:lang w:val="en-US" w:eastAsia="zh-CN"/>
                        </w:rPr>
                      </w:pPr>
                      <w:r>
                        <w:rPr>
                          <w:rFonts w:hint="eastAsia"/>
                          <w:sz w:val="24"/>
                          <w:szCs w:val="24"/>
                          <w:lang w:val="en-US" w:eastAsia="zh-CN"/>
                        </w:rPr>
                        <w:t>P1</w:t>
                      </w:r>
                    </w:p>
                  </w:txbxContent>
                </v:textbox>
              </v:shape>
            </w:pict>
          </mc:Fallback>
        </mc:AlternateContent>
      </w:r>
      <w:r>
        <w:rPr>
          <w:sz w:val="21"/>
          <w:highlight w:val="none"/>
        </w:rPr>
        <mc:AlternateContent>
          <mc:Choice Requires="wps">
            <w:drawing>
              <wp:anchor distT="0" distB="0" distL="114300" distR="114300" simplePos="0" relativeHeight="251760640" behindDoc="0" locked="0" layoutInCell="1" allowOverlap="1">
                <wp:simplePos x="0" y="0"/>
                <wp:positionH relativeFrom="column">
                  <wp:posOffset>4530090</wp:posOffset>
                </wp:positionH>
                <wp:positionV relativeFrom="paragraph">
                  <wp:posOffset>145415</wp:posOffset>
                </wp:positionV>
                <wp:extent cx="180975" cy="171450"/>
                <wp:effectExtent l="6350" t="6350" r="22225" b="12700"/>
                <wp:wrapNone/>
                <wp:docPr id="89" name="同心圆 89"/>
                <wp:cNvGraphicFramePr/>
                <a:graphic xmlns:a="http://schemas.openxmlformats.org/drawingml/2006/main">
                  <a:graphicData uri="http://schemas.microsoft.com/office/word/2010/wordprocessingShape">
                    <wps:wsp>
                      <wps:cNvSpPr/>
                      <wps:spPr>
                        <a:xfrm>
                          <a:off x="0" y="0"/>
                          <a:ext cx="180975" cy="171450"/>
                        </a:xfrm>
                        <a:prstGeom prst="donut">
                          <a:avLst/>
                        </a:prstGeom>
                        <a:solidFill>
                          <a:srgbClr val="FFFF00">
                            <a:alpha val="78000"/>
                          </a:srgb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56.7pt;margin-top:11.45pt;height:13.5pt;width:14.25pt;z-index:251760640;v-text-anchor:middle;mso-width-relative:page;mso-height-relative:page;" fillcolor="#FFFF00" filled="t" stroked="t" coordsize="21600,21600" o:gfxdata="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YSvjjZAAAACQEAAA8AAAAA&#10;AAAAAQAgAAAAIgAAAGRycy9kb3ducmV2LnhtbFBLAQIUABQAAAAIAIdO4kB1AtcZhQIAABoFAAAO&#10;AAAAAAAAAAEAIAAAACgBAABkcnMvZTJvRG9jLnhtbFBLBQYAAAAABgAGAFkBAAAfBgAAAAA=&#10;" adj="5115">
                <v:fill on="t" opacity="51118f" focussize="0,0"/>
                <v:stroke weight="1pt" color="#000000 [3213]" miterlimit="8" joinstyle="miter"/>
                <v:imagedata o:title=""/>
                <o:lock v:ext="edit" aspectratio="f"/>
              </v:shape>
            </w:pict>
          </mc:Fallback>
        </mc:AlternateContent>
      </w:r>
    </w:p>
    <w:p w14:paraId="45540D4D">
      <w:pPr>
        <w:bidi w:val="0"/>
        <w:rPr>
          <w:rFonts w:hint="default"/>
          <w:highlight w:val="none"/>
          <w:lang w:val="en-US" w:eastAsia="zh-CN"/>
        </w:rPr>
      </w:pPr>
    </w:p>
    <w:p w14:paraId="4526E615">
      <w:pPr>
        <w:bidi w:val="0"/>
        <w:rPr>
          <w:rFonts w:hint="default"/>
          <w:highlight w:val="none"/>
          <w:lang w:val="en-US" w:eastAsia="zh-CN"/>
        </w:rPr>
      </w:pPr>
      <w:r>
        <w:rPr>
          <w:sz w:val="21"/>
          <w:highlight w:val="none"/>
        </w:rPr>
        <mc:AlternateContent>
          <mc:Choice Requires="wps">
            <w:drawing>
              <wp:anchor distT="0" distB="0" distL="114300" distR="114300" simplePos="0" relativeHeight="251762688" behindDoc="0" locked="0" layoutInCell="1" allowOverlap="1">
                <wp:simplePos x="0" y="0"/>
                <wp:positionH relativeFrom="column">
                  <wp:posOffset>3887470</wp:posOffset>
                </wp:positionH>
                <wp:positionV relativeFrom="paragraph">
                  <wp:posOffset>5715</wp:posOffset>
                </wp:positionV>
                <wp:extent cx="741680" cy="4572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741680" cy="457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DD4BB4">
                            <w:pPr>
                              <w:jc w:val="center"/>
                              <w:rPr>
                                <w:rFonts w:hint="default" w:eastAsia="宋体"/>
                                <w:sz w:val="18"/>
                                <w:szCs w:val="18"/>
                                <w:lang w:val="en-US" w:eastAsia="zh-CN"/>
                              </w:rPr>
                            </w:pPr>
                            <w:r>
                              <w:rPr>
                                <w:rFonts w:hint="eastAsia"/>
                                <w:sz w:val="18"/>
                                <w:szCs w:val="18"/>
                                <w:lang w:val="en-US" w:eastAsia="zh-CN"/>
                              </w:rPr>
                              <w:t>2级活性炭吸附装置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1pt;margin-top:0.45pt;height:36pt;width:58.4pt;z-index:251762688;mso-width-relative:page;mso-height-relative:page;" filled="f" stroked="f" coordsize="21600,21600" o:gfxdata="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ZLVcF1wAAAAcBAAAPAAAAAAAAAAEAIAAAACIAAABkcnMvZG93&#10;bnJldi54bWxQSwECFAAUAAAACACHTuJAbxL3tjoCAABnBAAADgAAAAAAAAABACAAAAAmAQAAZHJz&#10;L2Uyb0RvYy54bWxQSwUGAAAAAAYABgBZAQAA0gUAAAAA&#10;">
                <v:fill on="f" focussize="0,0"/>
                <v:stroke on="f" weight="0.5pt"/>
                <v:imagedata o:title=""/>
                <o:lock v:ext="edit" aspectratio="f"/>
                <v:textbox>
                  <w:txbxContent>
                    <w:p w14:paraId="74DD4BB4">
                      <w:pPr>
                        <w:jc w:val="center"/>
                        <w:rPr>
                          <w:rFonts w:hint="default" w:eastAsia="宋体"/>
                          <w:sz w:val="18"/>
                          <w:szCs w:val="18"/>
                          <w:lang w:val="en-US" w:eastAsia="zh-CN"/>
                        </w:rPr>
                      </w:pPr>
                      <w:r>
                        <w:rPr>
                          <w:rFonts w:hint="eastAsia"/>
                          <w:sz w:val="18"/>
                          <w:szCs w:val="18"/>
                          <w:lang w:val="en-US" w:eastAsia="zh-CN"/>
                        </w:rPr>
                        <w:t>2级活性炭吸附装置</w:t>
                      </w:r>
                    </w:p>
                  </w:txbxContent>
                </v:textbox>
              </v:shape>
            </w:pict>
          </mc:Fallback>
        </mc:AlternateContent>
      </w:r>
      <w:r>
        <w:rPr>
          <w:sz w:val="21"/>
          <w:highlight w:val="none"/>
        </w:rPr>
        <mc:AlternateContent>
          <mc:Choice Requires="wps">
            <w:drawing>
              <wp:anchor distT="0" distB="0" distL="114300" distR="114300" simplePos="0" relativeHeight="251761664" behindDoc="0" locked="0" layoutInCell="1" allowOverlap="1">
                <wp:simplePos x="0" y="0"/>
                <wp:positionH relativeFrom="column">
                  <wp:posOffset>4539615</wp:posOffset>
                </wp:positionH>
                <wp:positionV relativeFrom="paragraph">
                  <wp:posOffset>58420</wp:posOffset>
                </wp:positionV>
                <wp:extent cx="168910" cy="162560"/>
                <wp:effectExtent l="13970" t="13970" r="26670" b="33020"/>
                <wp:wrapNone/>
                <wp:docPr id="90" name="文本框 90"/>
                <wp:cNvGraphicFramePr/>
                <a:graphic xmlns:a="http://schemas.openxmlformats.org/drawingml/2006/main">
                  <a:graphicData uri="http://schemas.microsoft.com/office/word/2010/wordprocessingShape">
                    <wps:wsp>
                      <wps:cNvSpPr txBox="1"/>
                      <wps:spPr>
                        <a:xfrm>
                          <a:off x="0" y="0"/>
                          <a:ext cx="168910" cy="162560"/>
                        </a:xfrm>
                        <a:prstGeom prst="rect">
                          <a:avLst/>
                        </a:prstGeom>
                        <a:noFill/>
                        <a:ln w="28575">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57A4B2B7">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45pt;margin-top:4.6pt;height:12.8pt;width:13.3pt;z-index:251761664;mso-width-relative:page;mso-height-relative:page;" filled="f" stroked="t" coordsize="21600,21600" o:gfxdata="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5ndln2QAAAAgB&#10;AAAPAAAAAAAAAAEAIAAAACIAAABkcnMvZG93bnJldi54bWxQSwECFAAUAAAACACHTuJANzJd+1MC&#10;AACRBAAADgAAAAAAAAABACAAAAAoAQAAZHJzL2Uyb0RvYy54bWxQSwUGAAAAAAYABgBZAQAA7QUA&#10;AAAA&#10;">
                <v:fill on="f" focussize="0,0"/>
                <v:stroke weight="2.25pt" color="#FF0000 [3204]" joinstyle="round"/>
                <v:imagedata o:title=""/>
                <o:lock v:ext="edit" aspectratio="f"/>
                <v:textbox>
                  <w:txbxContent>
                    <w:p w14:paraId="57A4B2B7">
                      <w:pPr>
                        <w:rPr>
                          <w:rFonts w:hint="default"/>
                          <w:lang w:val="en-US" w:eastAsia="zh-CN"/>
                        </w:rPr>
                      </w:pPr>
                    </w:p>
                  </w:txbxContent>
                </v:textbox>
              </v:shape>
            </w:pict>
          </mc:Fallback>
        </mc:AlternateContent>
      </w:r>
      <w:r>
        <w:rPr>
          <w:sz w:val="21"/>
          <w:highlight w:val="none"/>
        </w:rPr>
        <mc:AlternateContent>
          <mc:Choice Requires="wps">
            <w:drawing>
              <wp:anchor distT="0" distB="0" distL="114300" distR="114300" simplePos="0" relativeHeight="251730944" behindDoc="0" locked="0" layoutInCell="1" allowOverlap="1">
                <wp:simplePos x="0" y="0"/>
                <wp:positionH relativeFrom="column">
                  <wp:posOffset>6268720</wp:posOffset>
                </wp:positionH>
                <wp:positionV relativeFrom="paragraph">
                  <wp:posOffset>16510</wp:posOffset>
                </wp:positionV>
                <wp:extent cx="256540" cy="1151255"/>
                <wp:effectExtent l="4445" t="4445" r="5715" b="6350"/>
                <wp:wrapNone/>
                <wp:docPr id="76" name="文本框 76"/>
                <wp:cNvGraphicFramePr/>
                <a:graphic xmlns:a="http://schemas.openxmlformats.org/drawingml/2006/main">
                  <a:graphicData uri="http://schemas.microsoft.com/office/word/2010/wordprocessingShape">
                    <wps:wsp>
                      <wps:cNvSpPr txBox="1"/>
                      <wps:spPr>
                        <a:xfrm>
                          <a:off x="0" y="0"/>
                          <a:ext cx="256540" cy="1151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603C985">
                            <w:pPr>
                              <w:rPr>
                                <w:rFonts w:hint="eastAsia" w:eastAsia="宋体"/>
                                <w:sz w:val="18"/>
                                <w:szCs w:val="18"/>
                                <w:lang w:val="en-US" w:eastAsia="zh-CN"/>
                              </w:rPr>
                            </w:pPr>
                            <w:r>
                              <w:rPr>
                                <w:rFonts w:hint="eastAsia" w:eastAsia="宋体"/>
                                <w:sz w:val="18"/>
                                <w:szCs w:val="18"/>
                                <w:lang w:val="en-US" w:eastAsia="zh-CN"/>
                              </w:rPr>
                              <w:t>自动注塑机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3.6pt;margin-top:1.3pt;height:90.65pt;width:20.2pt;z-index:251730944;mso-width-relative:page;mso-height-relative:page;" fillcolor="#FFFFFF [3201]" filled="t" stroked="t" coordsize="21600,21600" o:gfxdata="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Ilyv7WAAAA&#10;CgEAAA8AAAAAAAAAAQAgAAAAIgAAAGRycy9kb3ducmV2LnhtbFBLAQIUABQAAAAIAIdO4kAB8CIp&#10;WAIAALkEAAAOAAAAAAAAAAEAIAAAACUBAABkcnMvZTJvRG9jLnhtbFBLBQYAAAAABgAGAFkBAADv&#10;BQAAAAA=&#10;">
                <v:fill on="t" focussize="0,0"/>
                <v:stroke weight="0.5pt" color="#000000 [3204]" joinstyle="round"/>
                <v:imagedata o:title=""/>
                <o:lock v:ext="edit" aspectratio="f"/>
                <v:textbox>
                  <w:txbxContent>
                    <w:p w14:paraId="6603C985">
                      <w:pPr>
                        <w:rPr>
                          <w:rFonts w:hint="eastAsia" w:eastAsia="宋体"/>
                          <w:sz w:val="18"/>
                          <w:szCs w:val="18"/>
                          <w:lang w:val="en-US" w:eastAsia="zh-CN"/>
                        </w:rPr>
                      </w:pPr>
                      <w:r>
                        <w:rPr>
                          <w:rFonts w:hint="eastAsia" w:eastAsia="宋体"/>
                          <w:sz w:val="18"/>
                          <w:szCs w:val="18"/>
                          <w:lang w:val="en-US" w:eastAsia="zh-CN"/>
                        </w:rPr>
                        <w:t>自动注塑机</w:t>
                      </w:r>
                    </w:p>
                  </w:txbxContent>
                </v:textbox>
              </v:shape>
            </w:pict>
          </mc:Fallback>
        </mc:AlternateContent>
      </w:r>
      <w:r>
        <w:rPr>
          <w:sz w:val="21"/>
          <w:highlight w:val="none"/>
        </w:rPr>
        <mc:AlternateContent>
          <mc:Choice Requires="wps">
            <w:drawing>
              <wp:anchor distT="0" distB="0" distL="114300" distR="114300" simplePos="0" relativeHeight="251729920" behindDoc="0" locked="0" layoutInCell="1" allowOverlap="1">
                <wp:simplePos x="0" y="0"/>
                <wp:positionH relativeFrom="column">
                  <wp:posOffset>5687695</wp:posOffset>
                </wp:positionH>
                <wp:positionV relativeFrom="paragraph">
                  <wp:posOffset>26035</wp:posOffset>
                </wp:positionV>
                <wp:extent cx="256540" cy="1151255"/>
                <wp:effectExtent l="4445" t="4445" r="5715" b="6350"/>
                <wp:wrapNone/>
                <wp:docPr id="74" name="文本框 74"/>
                <wp:cNvGraphicFramePr/>
                <a:graphic xmlns:a="http://schemas.openxmlformats.org/drawingml/2006/main">
                  <a:graphicData uri="http://schemas.microsoft.com/office/word/2010/wordprocessingShape">
                    <wps:wsp>
                      <wps:cNvSpPr txBox="1"/>
                      <wps:spPr>
                        <a:xfrm>
                          <a:off x="0" y="0"/>
                          <a:ext cx="256540" cy="1151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6577B5">
                            <w:pPr>
                              <w:jc w:val="center"/>
                              <w:rPr>
                                <w:rFonts w:hint="eastAsia" w:eastAsia="宋体"/>
                                <w:sz w:val="18"/>
                                <w:szCs w:val="18"/>
                                <w:lang w:val="en-US" w:eastAsia="zh-CN"/>
                              </w:rPr>
                            </w:pPr>
                            <w:r>
                              <w:rPr>
                                <w:rFonts w:hint="eastAsia" w:eastAsia="宋体"/>
                                <w:sz w:val="18"/>
                                <w:szCs w:val="18"/>
                                <w:lang w:val="en-US" w:eastAsia="zh-CN"/>
                              </w:rPr>
                              <w:t>塑料中空吹塑机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85pt;margin-top:2.05pt;height:90.65pt;width:20.2pt;z-index:251729920;mso-width-relative:page;mso-height-relative:page;" fillcolor="#FFFFFF [3201]" filled="t" stroked="t" coordsize="21600,21600" o:gfxdata="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oNW/S1wAA&#10;AAkBAAAPAAAAAAAAAAEAIAAAACIAAABkcnMvZG93bnJldi54bWxQSwECFAAUAAAACACHTuJAzYEv&#10;y1gCAAC5BAAADgAAAAAAAAABACAAAAAmAQAAZHJzL2Uyb0RvYy54bWxQSwUGAAAAAAYABgBZAQAA&#10;8AUAAAAA&#10;">
                <v:fill on="t" focussize="0,0"/>
                <v:stroke weight="0.5pt" color="#000000 [3204]" joinstyle="round"/>
                <v:imagedata o:title=""/>
                <o:lock v:ext="edit" aspectratio="f"/>
                <v:textbox>
                  <w:txbxContent>
                    <w:p w14:paraId="696577B5">
                      <w:pPr>
                        <w:jc w:val="center"/>
                        <w:rPr>
                          <w:rFonts w:hint="eastAsia" w:eastAsia="宋体"/>
                          <w:sz w:val="18"/>
                          <w:szCs w:val="18"/>
                          <w:lang w:val="en-US" w:eastAsia="zh-CN"/>
                        </w:rPr>
                      </w:pPr>
                      <w:r>
                        <w:rPr>
                          <w:rFonts w:hint="eastAsia" w:eastAsia="宋体"/>
                          <w:sz w:val="18"/>
                          <w:szCs w:val="18"/>
                          <w:lang w:val="en-US" w:eastAsia="zh-CN"/>
                        </w:rPr>
                        <w:t>塑料中空吹塑机</w:t>
                      </w:r>
                    </w:p>
                  </w:txbxContent>
                </v:textbox>
              </v:shape>
            </w:pict>
          </mc:Fallback>
        </mc:AlternateContent>
      </w:r>
      <w:r>
        <w:rPr>
          <w:sz w:val="21"/>
          <w:highlight w:val="none"/>
        </w:rPr>
        <mc:AlternateContent>
          <mc:Choice Requires="wps">
            <w:drawing>
              <wp:anchor distT="0" distB="0" distL="114300" distR="114300" simplePos="0" relativeHeight="251728896" behindDoc="0" locked="0" layoutInCell="1" allowOverlap="1">
                <wp:simplePos x="0" y="0"/>
                <wp:positionH relativeFrom="column">
                  <wp:posOffset>5125720</wp:posOffset>
                </wp:positionH>
                <wp:positionV relativeFrom="paragraph">
                  <wp:posOffset>16510</wp:posOffset>
                </wp:positionV>
                <wp:extent cx="256540" cy="1151255"/>
                <wp:effectExtent l="4445" t="4445" r="5715" b="6350"/>
                <wp:wrapNone/>
                <wp:docPr id="73" name="文本框 73"/>
                <wp:cNvGraphicFramePr/>
                <a:graphic xmlns:a="http://schemas.openxmlformats.org/drawingml/2006/main">
                  <a:graphicData uri="http://schemas.microsoft.com/office/word/2010/wordprocessingShape">
                    <wps:wsp>
                      <wps:cNvSpPr txBox="1"/>
                      <wps:spPr>
                        <a:xfrm>
                          <a:off x="0" y="0"/>
                          <a:ext cx="256540" cy="1151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C8B6A9">
                            <w:pPr>
                              <w:jc w:val="center"/>
                              <w:rPr>
                                <w:rFonts w:hint="eastAsia" w:eastAsia="宋体"/>
                                <w:sz w:val="18"/>
                                <w:szCs w:val="18"/>
                                <w:lang w:val="en-US" w:eastAsia="zh-CN"/>
                              </w:rPr>
                            </w:pPr>
                            <w:r>
                              <w:rPr>
                                <w:rFonts w:hint="eastAsia" w:eastAsia="宋体"/>
                                <w:sz w:val="18"/>
                                <w:szCs w:val="18"/>
                                <w:lang w:val="en-US" w:eastAsia="zh-CN"/>
                              </w:rPr>
                              <w:t>塑料中空吹塑机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1.3pt;height:90.65pt;width:20.2pt;z-index:251728896;mso-width-relative:page;mso-height-relative:page;" fillcolor="#FFFFFF [3201]" filled="t" stroked="t" coordsize="21600,21600" o:gfxdata="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f+/DvWAAAA&#10;CQEAAA8AAAAAAAAAAQAgAAAAIgAAAGRycy9kb3ducmV2LnhtbFBLAQIUABQAAAAIAIdO4kA+rU9H&#10;WAIAALkEAAAOAAAAAAAAAAEAIAAAACUBAABkcnMvZTJvRG9jLnhtbFBLBQYAAAAABgAGAFkBAADv&#10;BQAAAAA=&#10;">
                <v:fill on="t" focussize="0,0"/>
                <v:stroke weight="0.5pt" color="#000000 [3204]" joinstyle="round"/>
                <v:imagedata o:title=""/>
                <o:lock v:ext="edit" aspectratio="f"/>
                <v:textbox>
                  <w:txbxContent>
                    <w:p w14:paraId="67C8B6A9">
                      <w:pPr>
                        <w:jc w:val="center"/>
                        <w:rPr>
                          <w:rFonts w:hint="eastAsia" w:eastAsia="宋体"/>
                          <w:sz w:val="18"/>
                          <w:szCs w:val="18"/>
                          <w:lang w:val="en-US" w:eastAsia="zh-CN"/>
                        </w:rPr>
                      </w:pPr>
                      <w:r>
                        <w:rPr>
                          <w:rFonts w:hint="eastAsia" w:eastAsia="宋体"/>
                          <w:sz w:val="18"/>
                          <w:szCs w:val="18"/>
                          <w:lang w:val="en-US" w:eastAsia="zh-CN"/>
                        </w:rPr>
                        <w:t>塑料中空吹塑机</w:t>
                      </w:r>
                    </w:p>
                  </w:txbxContent>
                </v:textbox>
              </v:shape>
            </w:pict>
          </mc:Fallback>
        </mc:AlternateContent>
      </w:r>
    </w:p>
    <w:p w14:paraId="01E29DAF">
      <w:pPr>
        <w:bidi w:val="0"/>
        <w:rPr>
          <w:rFonts w:hint="default"/>
          <w:highlight w:val="none"/>
          <w:lang w:val="en-US" w:eastAsia="zh-CN"/>
        </w:rPr>
      </w:pPr>
    </w:p>
    <w:p w14:paraId="3EC10A09">
      <w:pPr>
        <w:bidi w:val="0"/>
        <w:rPr>
          <w:rFonts w:hint="default"/>
          <w:highlight w:val="none"/>
          <w:lang w:val="en-US" w:eastAsia="zh-CN"/>
        </w:rPr>
      </w:pPr>
    </w:p>
    <w:p w14:paraId="5D7D9646">
      <w:pPr>
        <w:bidi w:val="0"/>
        <w:rPr>
          <w:rFonts w:hint="default"/>
          <w:highlight w:val="none"/>
          <w:lang w:val="en-US" w:eastAsia="zh-CN"/>
        </w:rPr>
      </w:pPr>
    </w:p>
    <w:p w14:paraId="1F3E6987">
      <w:pPr>
        <w:bidi w:val="0"/>
        <w:rPr>
          <w:rFonts w:hint="default"/>
          <w:highlight w:val="none"/>
          <w:lang w:val="en-US" w:eastAsia="zh-CN"/>
        </w:rPr>
      </w:pPr>
    </w:p>
    <w:p w14:paraId="57F7F258">
      <w:pPr>
        <w:bidi w:val="0"/>
        <w:rPr>
          <w:rFonts w:hint="default"/>
          <w:highlight w:val="none"/>
          <w:lang w:val="en-US" w:eastAsia="zh-CN"/>
        </w:rPr>
      </w:pPr>
    </w:p>
    <w:p w14:paraId="5746A608">
      <w:pPr>
        <w:bidi w:val="0"/>
        <w:rPr>
          <w:rFonts w:hint="default"/>
          <w:highlight w:val="none"/>
          <w:lang w:val="en-US" w:eastAsia="zh-CN"/>
        </w:rPr>
      </w:pPr>
    </w:p>
    <w:p w14:paraId="4948E7E1">
      <w:pPr>
        <w:bidi w:val="0"/>
        <w:rPr>
          <w:rFonts w:hint="default"/>
          <w:highlight w:val="none"/>
          <w:lang w:val="en-US" w:eastAsia="zh-CN"/>
        </w:rPr>
      </w:pPr>
    </w:p>
    <w:p w14:paraId="7972024C">
      <w:pPr>
        <w:bidi w:val="0"/>
        <w:rPr>
          <w:rFonts w:hint="default"/>
          <w:highlight w:val="none"/>
          <w:lang w:val="en-US" w:eastAsia="zh-CN"/>
        </w:rPr>
      </w:pPr>
    </w:p>
    <w:p w14:paraId="41FCE4BE">
      <w:pPr>
        <w:bidi w:val="0"/>
        <w:rPr>
          <w:rFonts w:hint="default"/>
          <w:highlight w:val="none"/>
          <w:lang w:val="en-US" w:eastAsia="zh-CN"/>
        </w:rPr>
      </w:pPr>
      <w:r>
        <w:rPr>
          <w:sz w:val="21"/>
          <w:highlight w:val="none"/>
        </w:rPr>
        <mc:AlternateContent>
          <mc:Choice Requires="wps">
            <w:drawing>
              <wp:anchor distT="0" distB="0" distL="114300" distR="114300" simplePos="0" relativeHeight="251726848" behindDoc="0" locked="0" layoutInCell="1" allowOverlap="1">
                <wp:simplePos x="0" y="0"/>
                <wp:positionH relativeFrom="column">
                  <wp:posOffset>5449570</wp:posOffset>
                </wp:positionH>
                <wp:positionV relativeFrom="paragraph">
                  <wp:posOffset>64135</wp:posOffset>
                </wp:positionV>
                <wp:extent cx="741680" cy="352425"/>
                <wp:effectExtent l="4445" t="4445" r="15875" b="5080"/>
                <wp:wrapNone/>
                <wp:docPr id="70" name="文本框 70"/>
                <wp:cNvGraphicFramePr/>
                <a:graphic xmlns:a="http://schemas.openxmlformats.org/drawingml/2006/main">
                  <a:graphicData uri="http://schemas.microsoft.com/office/word/2010/wordprocessingShape">
                    <wps:wsp>
                      <wps:cNvSpPr txBox="1"/>
                      <wps:spPr>
                        <a:xfrm>
                          <a:off x="7290435" y="2957830"/>
                          <a:ext cx="741680" cy="352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3E58AE5">
                            <w:pPr>
                              <w:jc w:val="center"/>
                              <w:rPr>
                                <w:rFonts w:hint="eastAsia" w:eastAsia="宋体"/>
                                <w:sz w:val="18"/>
                                <w:szCs w:val="18"/>
                                <w:lang w:val="en-US" w:eastAsia="zh-CN"/>
                              </w:rPr>
                            </w:pPr>
                            <w:r>
                              <w:rPr>
                                <w:rFonts w:hint="eastAsia"/>
                                <w:sz w:val="18"/>
                                <w:szCs w:val="18"/>
                                <w:lang w:val="en-US" w:eastAsia="zh-CN"/>
                              </w:rPr>
                              <w:t>混料机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1pt;margin-top:5.05pt;height:27.75pt;width:58.4pt;z-index:251726848;mso-width-relative:page;mso-height-relative:page;" fillcolor="#FFFFFF [3201]" filled="t" stroked="t" coordsize="21600,21600" o:gfxdata="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heCntUAAAAJAQAADwAAAAAAAAABACAAAAAiAAAAZHJzL2Rvd25yZXYueG1sUEsBAhQAFAAA&#10;AAgAh07iQCKEboFkAgAAxAQAAA4AAAAAAAAAAQAgAAAAJAEAAGRycy9lMm9Eb2MueG1sUEsFBgAA&#10;AAAGAAYAWQEAAPoFAAAAAA==&#10;">
                <v:fill on="t" focussize="0,0"/>
                <v:stroke weight="0.5pt" color="#000000 [3204]" joinstyle="round"/>
                <v:imagedata o:title=""/>
                <o:lock v:ext="edit" aspectratio="f"/>
                <v:textbox>
                  <w:txbxContent>
                    <w:p w14:paraId="23E58AE5">
                      <w:pPr>
                        <w:jc w:val="center"/>
                        <w:rPr>
                          <w:rFonts w:hint="eastAsia" w:eastAsia="宋体"/>
                          <w:sz w:val="18"/>
                          <w:szCs w:val="18"/>
                          <w:lang w:val="en-US" w:eastAsia="zh-CN"/>
                        </w:rPr>
                      </w:pPr>
                      <w:r>
                        <w:rPr>
                          <w:rFonts w:hint="eastAsia"/>
                          <w:sz w:val="18"/>
                          <w:szCs w:val="18"/>
                          <w:lang w:val="en-US" w:eastAsia="zh-CN"/>
                        </w:rPr>
                        <w:t>混料机</w:t>
                      </w:r>
                    </w:p>
                  </w:txbxContent>
                </v:textbox>
              </v:shape>
            </w:pict>
          </mc:Fallback>
        </mc:AlternateContent>
      </w:r>
    </w:p>
    <w:p w14:paraId="56D14B01">
      <w:pPr>
        <w:bidi w:val="0"/>
        <w:rPr>
          <w:rFonts w:hint="default"/>
          <w:highlight w:val="none"/>
          <w:lang w:val="en-US" w:eastAsia="zh-CN"/>
        </w:rPr>
      </w:pPr>
    </w:p>
    <w:p w14:paraId="2461953B">
      <w:pPr>
        <w:bidi w:val="0"/>
        <w:rPr>
          <w:rFonts w:hint="default"/>
          <w:highlight w:val="none"/>
          <w:lang w:val="en-US" w:eastAsia="zh-CN"/>
        </w:rPr>
      </w:pPr>
      <w:r>
        <w:rPr>
          <w:sz w:val="21"/>
          <w:highlight w:val="none"/>
        </w:rPr>
        <mc:AlternateContent>
          <mc:Choice Requires="wps">
            <w:drawing>
              <wp:anchor distT="0" distB="0" distL="114300" distR="114300" simplePos="0" relativeHeight="251732992" behindDoc="0" locked="0" layoutInCell="1" allowOverlap="1">
                <wp:simplePos x="0" y="0"/>
                <wp:positionH relativeFrom="column">
                  <wp:posOffset>6668770</wp:posOffset>
                </wp:positionH>
                <wp:positionV relativeFrom="paragraph">
                  <wp:posOffset>111125</wp:posOffset>
                </wp:positionV>
                <wp:extent cx="283845" cy="777875"/>
                <wp:effectExtent l="4445" t="4445" r="16510" b="17780"/>
                <wp:wrapNone/>
                <wp:docPr id="81" name="文本框 81"/>
                <wp:cNvGraphicFramePr/>
                <a:graphic xmlns:a="http://schemas.openxmlformats.org/drawingml/2006/main">
                  <a:graphicData uri="http://schemas.microsoft.com/office/word/2010/wordprocessingShape">
                    <wps:wsp>
                      <wps:cNvSpPr txBox="1"/>
                      <wps:spPr>
                        <a:xfrm>
                          <a:off x="0" y="0"/>
                          <a:ext cx="283845" cy="7778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1C0F573">
                            <w:pPr>
                              <w:rPr>
                                <w:rFonts w:hint="default"/>
                                <w:sz w:val="15"/>
                                <w:szCs w:val="15"/>
                                <w:lang w:val="en-US" w:eastAsia="zh-CN"/>
                              </w:rPr>
                            </w:pPr>
                            <w:r>
                              <w:rPr>
                                <w:rFonts w:hint="eastAsia"/>
                                <w:sz w:val="15"/>
                                <w:szCs w:val="15"/>
                                <w:lang w:val="en-US" w:eastAsia="zh-CN"/>
                              </w:rPr>
                              <w:t>空气压缩机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1pt;margin-top:8.75pt;height:61.25pt;width:22.35pt;z-index:251732992;mso-width-relative:page;mso-height-relative:page;" fillcolor="#FFFFFF [3201]" filled="t" stroked="t" coordsize="21600,21600" o:gfxdata="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GOPVb1wAA&#10;AAwBAAAPAAAAAAAAAAEAIAAAACIAAABkcnMvZG93bnJldi54bWxQSwECFAAUAAAACACHTuJAP6Gd&#10;ulgCAAC4BAAADgAAAAAAAAABACAAAAAmAQAAZHJzL2Uyb0RvYy54bWxQSwUGAAAAAAYABgBZAQAA&#10;8AUAAAAA&#10;">
                <v:fill on="t" focussize="0,0"/>
                <v:stroke weight="0.5pt" color="#000000 [3204]" joinstyle="round"/>
                <v:imagedata o:title=""/>
                <o:lock v:ext="edit" aspectratio="f"/>
                <v:textbox>
                  <w:txbxContent>
                    <w:p w14:paraId="11C0F573">
                      <w:pPr>
                        <w:rPr>
                          <w:rFonts w:hint="default"/>
                          <w:sz w:val="15"/>
                          <w:szCs w:val="15"/>
                          <w:lang w:val="en-US" w:eastAsia="zh-CN"/>
                        </w:rPr>
                      </w:pPr>
                      <w:r>
                        <w:rPr>
                          <w:rFonts w:hint="eastAsia"/>
                          <w:sz w:val="15"/>
                          <w:szCs w:val="15"/>
                          <w:lang w:val="en-US" w:eastAsia="zh-CN"/>
                        </w:rPr>
                        <w:t>空气压缩机</w:t>
                      </w:r>
                    </w:p>
                  </w:txbxContent>
                </v:textbox>
              </v:shape>
            </w:pict>
          </mc:Fallback>
        </mc:AlternateContent>
      </w:r>
    </w:p>
    <w:p w14:paraId="31ADA146">
      <w:pPr>
        <w:bidi w:val="0"/>
        <w:rPr>
          <w:rFonts w:hint="default"/>
          <w:highlight w:val="none"/>
          <w:lang w:val="en-US" w:eastAsia="zh-CN"/>
        </w:rPr>
      </w:pPr>
    </w:p>
    <w:p w14:paraId="0E64BD20">
      <w:pPr>
        <w:bidi w:val="0"/>
        <w:rPr>
          <w:rFonts w:hint="default"/>
          <w:highlight w:val="none"/>
          <w:lang w:val="en-US" w:eastAsia="zh-CN"/>
        </w:rPr>
      </w:pPr>
      <w:r>
        <w:rPr>
          <w:sz w:val="21"/>
          <w:highlight w:val="none"/>
        </w:rPr>
        <mc:AlternateContent>
          <mc:Choice Requires="wps">
            <w:drawing>
              <wp:anchor distT="0" distB="0" distL="114300" distR="114300" simplePos="0" relativeHeight="251727872" behindDoc="0" locked="0" layoutInCell="1" allowOverlap="1">
                <wp:simplePos x="0" y="0"/>
                <wp:positionH relativeFrom="column">
                  <wp:posOffset>5459095</wp:posOffset>
                </wp:positionH>
                <wp:positionV relativeFrom="paragraph">
                  <wp:posOffset>18415</wp:posOffset>
                </wp:positionV>
                <wp:extent cx="779780" cy="342900"/>
                <wp:effectExtent l="4445" t="4445" r="15875" b="14605"/>
                <wp:wrapNone/>
                <wp:docPr id="71" name="文本框 71"/>
                <wp:cNvGraphicFramePr/>
                <a:graphic xmlns:a="http://schemas.openxmlformats.org/drawingml/2006/main">
                  <a:graphicData uri="http://schemas.microsoft.com/office/word/2010/wordprocessingShape">
                    <wps:wsp>
                      <wps:cNvSpPr txBox="1"/>
                      <wps:spPr>
                        <a:xfrm>
                          <a:off x="0" y="0"/>
                          <a:ext cx="779780"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657B297">
                            <w:pPr>
                              <w:jc w:val="center"/>
                              <w:rPr>
                                <w:rFonts w:hint="eastAsia" w:eastAsia="宋体"/>
                                <w:sz w:val="18"/>
                                <w:szCs w:val="18"/>
                                <w:lang w:val="en-US" w:eastAsia="zh-CN"/>
                              </w:rPr>
                            </w:pPr>
                            <w:r>
                              <w:rPr>
                                <w:rFonts w:hint="eastAsia"/>
                                <w:sz w:val="18"/>
                                <w:szCs w:val="18"/>
                                <w:lang w:val="en-US" w:eastAsia="zh-CN"/>
                              </w:rPr>
                              <w:t>上料机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85pt;margin-top:1.45pt;height:27pt;width:61.4pt;z-index:251727872;mso-width-relative:page;mso-height-relative:page;" fillcolor="#FFFFFF [3201]" filled="t" stroked="t" coordsize="21600,21600" o:gfxdata="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CI+B/W&#10;AAAACAEAAA8AAAAAAAAAAQAgAAAAIgAAAGRycy9kb3ducmV2LnhtbFBLAQIUABQAAAAIAIdO4kBw&#10;yjoPWwIAALgEAAAOAAAAAAAAAAEAIAAAACUBAABkcnMvZTJvRG9jLnhtbFBLBQYAAAAABgAGAFkB&#10;AADyBQAAAAA=&#10;">
                <v:fill on="t" focussize="0,0"/>
                <v:stroke weight="0.5pt" color="#000000 [3204]" joinstyle="round"/>
                <v:imagedata o:title=""/>
                <o:lock v:ext="edit" aspectratio="f"/>
                <v:textbox>
                  <w:txbxContent>
                    <w:p w14:paraId="5657B297">
                      <w:pPr>
                        <w:jc w:val="center"/>
                        <w:rPr>
                          <w:rFonts w:hint="eastAsia" w:eastAsia="宋体"/>
                          <w:sz w:val="18"/>
                          <w:szCs w:val="18"/>
                          <w:lang w:val="en-US" w:eastAsia="zh-CN"/>
                        </w:rPr>
                      </w:pPr>
                      <w:r>
                        <w:rPr>
                          <w:rFonts w:hint="eastAsia"/>
                          <w:sz w:val="18"/>
                          <w:szCs w:val="18"/>
                          <w:lang w:val="en-US" w:eastAsia="zh-CN"/>
                        </w:rPr>
                        <w:t>上料机</w:t>
                      </w:r>
                    </w:p>
                  </w:txbxContent>
                </v:textbox>
              </v:shape>
            </w:pict>
          </mc:Fallback>
        </mc:AlternateContent>
      </w:r>
    </w:p>
    <w:p w14:paraId="68AE28C7">
      <w:pPr>
        <w:bidi w:val="0"/>
        <w:rPr>
          <w:rFonts w:hint="default"/>
          <w:highlight w:val="none"/>
          <w:lang w:val="en-US" w:eastAsia="zh-CN"/>
        </w:rPr>
      </w:pPr>
    </w:p>
    <w:p w14:paraId="3F9BB516">
      <w:pPr>
        <w:bidi w:val="0"/>
        <w:rPr>
          <w:rFonts w:hint="default"/>
          <w:highlight w:val="none"/>
          <w:lang w:val="en-US" w:eastAsia="zh-CN"/>
        </w:rPr>
      </w:pPr>
    </w:p>
    <w:p w14:paraId="495CB910">
      <w:pPr>
        <w:bidi w:val="0"/>
        <w:rPr>
          <w:rFonts w:hint="default"/>
          <w:highlight w:val="none"/>
          <w:lang w:val="en-US" w:eastAsia="zh-CN"/>
        </w:rPr>
      </w:pPr>
    </w:p>
    <w:p w14:paraId="1A86AB6A">
      <w:pPr>
        <w:bidi w:val="0"/>
        <w:rPr>
          <w:rFonts w:hint="default"/>
          <w:highlight w:val="none"/>
          <w:lang w:val="en-US" w:eastAsia="zh-CN"/>
        </w:rPr>
      </w:pPr>
      <w:r>
        <w:rPr>
          <w:sz w:val="21"/>
          <w:highlight w:val="none"/>
        </w:rPr>
        <mc:AlternateContent>
          <mc:Choice Requires="wps">
            <w:drawing>
              <wp:anchor distT="0" distB="0" distL="114300" distR="114300" simplePos="0" relativeHeight="251739136" behindDoc="0" locked="0" layoutInCell="1" allowOverlap="1">
                <wp:simplePos x="0" y="0"/>
                <wp:positionH relativeFrom="column">
                  <wp:posOffset>5035550</wp:posOffset>
                </wp:positionH>
                <wp:positionV relativeFrom="paragraph">
                  <wp:posOffset>71120</wp:posOffset>
                </wp:positionV>
                <wp:extent cx="1786890" cy="1494790"/>
                <wp:effectExtent l="13970" t="13970" r="27940" b="15240"/>
                <wp:wrapNone/>
                <wp:docPr id="88" name="文本框 88"/>
                <wp:cNvGraphicFramePr/>
                <a:graphic xmlns:a="http://schemas.openxmlformats.org/drawingml/2006/main">
                  <a:graphicData uri="http://schemas.microsoft.com/office/word/2010/wordprocessingShape">
                    <wps:wsp>
                      <wps:cNvSpPr txBox="1"/>
                      <wps:spPr>
                        <a:xfrm>
                          <a:off x="0" y="0"/>
                          <a:ext cx="1786890" cy="1494790"/>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DDFD14B">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原料暂存区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5pt;margin-top:5.6pt;height:117.7pt;width:140.7pt;z-index:251739136;mso-width-relative:page;mso-height-relative:page;" filled="f" stroked="t" coordsize="21600,21600" o:gfxdata="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ugtdtsAAAAL&#10;AQAADwAAAAAAAAABACAAAAAiAAAAZHJzL2Rvd25yZXYueG1sUEsBAhQAFAAAAAgAh07iQKZstBhS&#10;AgAAkwQAAA4AAAAAAAAAAQAgAAAAKgEAAGRycy9lMm9Eb2MueG1sUEsFBgAAAAAGAAYAWQEAAO4F&#10;AAAAAA==&#10;">
                <v:fill on="f" focussize="0,0"/>
                <v:stroke weight="2.25pt" color="#000000 [3213]" joinstyle="round"/>
                <v:imagedata o:title=""/>
                <o:lock v:ext="edit" aspectratio="f"/>
                <v:textbox>
                  <w:txbxContent>
                    <w:p w14:paraId="1DDFD14B">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原料暂存区</w:t>
                      </w:r>
                    </w:p>
                  </w:txbxContent>
                </v:textbox>
              </v:shape>
            </w:pict>
          </mc:Fallback>
        </mc:AlternateContent>
      </w:r>
    </w:p>
    <w:p w14:paraId="5E176F13">
      <w:pPr>
        <w:bidi w:val="0"/>
        <w:rPr>
          <w:rFonts w:hint="default"/>
          <w:highlight w:val="none"/>
          <w:lang w:val="en-US" w:eastAsia="zh-CN"/>
        </w:rPr>
      </w:pPr>
    </w:p>
    <w:p w14:paraId="0ECAB738">
      <w:pPr>
        <w:bidi w:val="0"/>
        <w:rPr>
          <w:rFonts w:hint="default"/>
          <w:highlight w:val="none"/>
          <w:lang w:val="en-US" w:eastAsia="zh-CN"/>
        </w:rPr>
      </w:pPr>
    </w:p>
    <w:p w14:paraId="69BE1B38">
      <w:pPr>
        <w:bidi w:val="0"/>
        <w:rPr>
          <w:rFonts w:hint="default"/>
          <w:highlight w:val="none"/>
          <w:lang w:val="en-US" w:eastAsia="zh-CN"/>
        </w:rPr>
      </w:pPr>
    </w:p>
    <w:p w14:paraId="21D9577D">
      <w:pPr>
        <w:bidi w:val="0"/>
        <w:rPr>
          <w:rFonts w:hint="default"/>
          <w:highlight w:val="none"/>
          <w:lang w:val="en-US" w:eastAsia="zh-CN"/>
        </w:rPr>
      </w:pPr>
    </w:p>
    <w:p w14:paraId="439C62D8">
      <w:pPr>
        <w:bidi w:val="0"/>
        <w:rPr>
          <w:rFonts w:hint="default"/>
          <w:highlight w:val="none"/>
          <w:lang w:val="en-US" w:eastAsia="zh-CN"/>
        </w:rPr>
      </w:pPr>
    </w:p>
    <w:p w14:paraId="75AD855F">
      <w:pPr>
        <w:bidi w:val="0"/>
        <w:rPr>
          <w:rFonts w:hint="default"/>
          <w:highlight w:val="none"/>
          <w:lang w:val="en-US" w:eastAsia="zh-CN"/>
        </w:rPr>
      </w:pPr>
    </w:p>
    <w:p w14:paraId="780BCE82">
      <w:pPr>
        <w:bidi w:val="0"/>
        <w:rPr>
          <w:rFonts w:hint="default"/>
          <w:highlight w:val="none"/>
          <w:lang w:val="en-US" w:eastAsia="zh-CN"/>
        </w:rPr>
      </w:pPr>
    </w:p>
    <w:p w14:paraId="4E33508B">
      <w:pPr>
        <w:bidi w:val="0"/>
        <w:rPr>
          <w:rFonts w:hint="default"/>
          <w:highlight w:val="none"/>
          <w:lang w:val="en-US" w:eastAsia="zh-CN"/>
        </w:rPr>
      </w:pPr>
    </w:p>
    <w:p w14:paraId="3D7346FB">
      <w:pPr>
        <w:bidi w:val="0"/>
        <w:rPr>
          <w:rFonts w:hint="default"/>
          <w:highlight w:val="none"/>
          <w:lang w:val="en-US" w:eastAsia="zh-CN"/>
        </w:rPr>
      </w:pPr>
      <w:r>
        <w:rPr>
          <w:sz w:val="21"/>
          <w:highlight w:val="none"/>
        </w:rPr>
        <mc:AlternateContent>
          <mc:Choice Requires="wps">
            <w:drawing>
              <wp:anchor distT="0" distB="0" distL="114300" distR="114300" simplePos="0" relativeHeight="251756544" behindDoc="0" locked="0" layoutInCell="1" allowOverlap="1">
                <wp:simplePos x="0" y="0"/>
                <wp:positionH relativeFrom="column">
                  <wp:posOffset>1178560</wp:posOffset>
                </wp:positionH>
                <wp:positionV relativeFrom="paragraph">
                  <wp:posOffset>72390</wp:posOffset>
                </wp:positionV>
                <wp:extent cx="1253490" cy="28575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253490" cy="285750"/>
                        </a:xfrm>
                        <a:prstGeom prst="rect">
                          <a:avLst/>
                        </a:prstGeom>
                        <a:noFill/>
                        <a:ln w="28575">
                          <a:noFill/>
                        </a:ln>
                      </wps:spPr>
                      <wps:style>
                        <a:lnRef idx="0">
                          <a:schemeClr val="accent1"/>
                        </a:lnRef>
                        <a:fillRef idx="0">
                          <a:schemeClr val="accent1"/>
                        </a:fillRef>
                        <a:effectRef idx="0">
                          <a:schemeClr val="accent1"/>
                        </a:effectRef>
                        <a:fontRef idx="minor">
                          <a:schemeClr val="dk1"/>
                        </a:fontRef>
                      </wps:style>
                      <wps:txbx>
                        <w:txbxContent>
                          <w:p w14:paraId="32E57AF4">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比例尺：3m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8pt;margin-top:5.7pt;height:22.5pt;width:98.7pt;z-index:251756544;mso-width-relative:page;mso-height-relative:page;" filled="f" stroked="f" coordsize="21600,21600" o:gfxdata="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XTNBv2AAAAAkBAAAPAAAAAAAAAAEAIAAAACIAAABkcnMvZG93&#10;bnJldi54bWxQSwECFAAUAAAACACHTuJAs+zDyTkCAABpBAAADgAAAAAAAAABACAAAAAnAQAAZHJz&#10;L2Uyb0RvYy54bWxQSwUGAAAAAAYABgBZAQAA0gUAAAAA&#10;">
                <v:fill on="f" focussize="0,0"/>
                <v:stroke on="f" weight="2.25pt"/>
                <v:imagedata o:title=""/>
                <o:lock v:ext="edit" aspectratio="f"/>
                <v:textbox>
                  <w:txbxContent>
                    <w:p w14:paraId="32E57AF4">
                      <w:pPr>
                        <w:keepNext w:val="0"/>
                        <w:keepLines w:val="0"/>
                        <w:pageBreakBefore w:val="0"/>
                        <w:widowControl w:val="0"/>
                        <w:kinsoku/>
                        <w:wordWrap/>
                        <w:overflowPunct/>
                        <w:topLinePunct w:val="0"/>
                        <w:bidi w:val="0"/>
                        <w:adjustRightInd w:val="0"/>
                        <w:snapToGrid w:val="0"/>
                        <w:jc w:val="center"/>
                        <w:textAlignment w:val="auto"/>
                        <w:rPr>
                          <w:rFonts w:hint="default" w:eastAsia="宋体"/>
                          <w:sz w:val="18"/>
                          <w:szCs w:val="18"/>
                          <w:lang w:val="en-US" w:eastAsia="zh-CN"/>
                        </w:rPr>
                      </w:pPr>
                      <w:r>
                        <w:rPr>
                          <w:rFonts w:hint="eastAsia"/>
                          <w:sz w:val="18"/>
                          <w:szCs w:val="18"/>
                          <w:lang w:val="en-US" w:eastAsia="zh-CN"/>
                        </w:rPr>
                        <w:t>比例尺：3m</w:t>
                      </w:r>
                    </w:p>
                  </w:txbxContent>
                </v:textbox>
              </v:shape>
            </w:pict>
          </mc:Fallback>
        </mc:AlternateContent>
      </w:r>
    </w:p>
    <w:p w14:paraId="790C62BC">
      <w:pPr>
        <w:bidi w:val="0"/>
        <w:rPr>
          <w:rFonts w:hint="default"/>
          <w:highlight w:val="none"/>
          <w:lang w:val="en-US" w:eastAsia="zh-CN"/>
        </w:rPr>
      </w:pPr>
      <w:r>
        <w:rPr>
          <w:highlight w:val="none"/>
        </w:rPr>
        <w:drawing>
          <wp:anchor distT="0" distB="0" distL="114300" distR="114300" simplePos="0" relativeHeight="251755520" behindDoc="0" locked="0" layoutInCell="1" allowOverlap="1">
            <wp:simplePos x="0" y="0"/>
            <wp:positionH relativeFrom="column">
              <wp:posOffset>1409700</wp:posOffset>
            </wp:positionH>
            <wp:positionV relativeFrom="paragraph">
              <wp:posOffset>134620</wp:posOffset>
            </wp:positionV>
            <wp:extent cx="817245" cy="120650"/>
            <wp:effectExtent l="0" t="0" r="1905" b="12700"/>
            <wp:wrapNone/>
            <wp:docPr id="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pic:cNvPicPr>
                      <a:picLocks noChangeAspect="1"/>
                    </pic:cNvPicPr>
                  </pic:nvPicPr>
                  <pic:blipFill>
                    <a:blip r:embed="rId63"/>
                    <a:stretch>
                      <a:fillRect/>
                    </a:stretch>
                  </pic:blipFill>
                  <pic:spPr>
                    <a:xfrm>
                      <a:off x="0" y="0"/>
                      <a:ext cx="817245" cy="120650"/>
                    </a:xfrm>
                    <a:prstGeom prst="rect">
                      <a:avLst/>
                    </a:prstGeom>
                    <a:noFill/>
                    <a:ln>
                      <a:noFill/>
                    </a:ln>
                  </pic:spPr>
                </pic:pic>
              </a:graphicData>
            </a:graphic>
          </wp:anchor>
        </w:drawing>
      </w:r>
    </w:p>
    <w:p w14:paraId="54822611">
      <w:pPr>
        <w:bidi w:val="0"/>
        <w:rPr>
          <w:rFonts w:hint="default"/>
          <w:highlight w:val="none"/>
          <w:lang w:val="en-US" w:eastAsia="zh-CN"/>
        </w:rPr>
      </w:pPr>
    </w:p>
    <w:p w14:paraId="51B378F9">
      <w:pPr>
        <w:bidi w:val="0"/>
        <w:rPr>
          <w:rFonts w:hint="default"/>
          <w:highlight w:val="none"/>
          <w:lang w:val="en-US" w:eastAsia="zh-CN"/>
        </w:rPr>
      </w:pPr>
    </w:p>
    <w:p w14:paraId="6227D5FC">
      <w:pPr>
        <w:tabs>
          <w:tab w:val="left" w:pos="5368"/>
        </w:tabs>
        <w:bidi w:val="0"/>
        <w:jc w:val="center"/>
        <w:rPr>
          <w:rFonts w:hint="default"/>
          <w:highlight w:val="none"/>
          <w:lang w:val="en-US" w:eastAsia="zh-CN"/>
        </w:rPr>
        <w:sectPr>
          <w:pgSz w:w="16839" w:h="11906" w:orient="landscape"/>
          <w:pgMar w:top="928" w:right="1421" w:bottom="867" w:left="1099" w:header="0" w:footer="836" w:gutter="0"/>
          <w:cols w:space="720" w:num="1"/>
        </w:sectPr>
      </w:pPr>
      <w:r>
        <w:rPr>
          <w:rFonts w:hint="default" w:ascii="Times New Roman" w:hAnsi="Times New Roman" w:eastAsia="黑体" w:cs="Times New Roman"/>
          <w:spacing w:val="-4"/>
          <w:sz w:val="24"/>
          <w:highlight w:val="none"/>
        </w:rPr>
        <w:t>附图</w:t>
      </w:r>
      <w:r>
        <w:rPr>
          <w:rFonts w:hint="eastAsia" w:eastAsia="黑体" w:cs="Times New Roman"/>
          <w:spacing w:val="-4"/>
          <w:sz w:val="24"/>
          <w:highlight w:val="none"/>
          <w:lang w:val="en-US" w:eastAsia="zh-CN"/>
        </w:rPr>
        <w:t>4</w:t>
      </w:r>
      <w:r>
        <w:rPr>
          <w:rFonts w:hint="default" w:ascii="Times New Roman" w:hAnsi="Times New Roman" w:eastAsia="黑体" w:cs="Times New Roman"/>
          <w:spacing w:val="-4"/>
          <w:sz w:val="24"/>
          <w:highlight w:val="none"/>
        </w:rPr>
        <w:t xml:space="preserve"> </w:t>
      </w:r>
      <w:r>
        <w:rPr>
          <w:rFonts w:hint="eastAsia" w:eastAsia="黑体" w:cs="Times New Roman"/>
          <w:spacing w:val="-4"/>
          <w:sz w:val="24"/>
          <w:highlight w:val="none"/>
          <w:lang w:val="en-US" w:eastAsia="zh-CN"/>
        </w:rPr>
        <w:t>生产车间</w:t>
      </w:r>
      <w:r>
        <w:rPr>
          <w:rFonts w:hint="default" w:ascii="Times New Roman" w:hAnsi="Times New Roman" w:eastAsia="黑体" w:cs="Times New Roman"/>
          <w:spacing w:val="-4"/>
          <w:sz w:val="24"/>
          <w:highlight w:val="none"/>
        </w:rPr>
        <w:t>平面布置图</w:t>
      </w:r>
    </w:p>
    <w:p w14:paraId="2EE55E33">
      <w:pPr>
        <w:spacing w:line="219" w:lineRule="auto"/>
        <w:jc w:val="center"/>
        <w:rPr>
          <w:rFonts w:hint="default" w:ascii="Times New Roman" w:hAnsi="Times New Roman" w:cs="Times New Roman"/>
          <w:sz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70528" behindDoc="0" locked="0" layoutInCell="1" allowOverlap="1">
                <wp:simplePos x="0" y="0"/>
                <wp:positionH relativeFrom="column">
                  <wp:posOffset>4744085</wp:posOffset>
                </wp:positionH>
                <wp:positionV relativeFrom="paragraph">
                  <wp:posOffset>3634740</wp:posOffset>
                </wp:positionV>
                <wp:extent cx="817245" cy="301625"/>
                <wp:effectExtent l="522605" t="688975" r="12700" b="19050"/>
                <wp:wrapNone/>
                <wp:docPr id="22" name="矩形标注 22"/>
                <wp:cNvGraphicFramePr/>
                <a:graphic xmlns:a="http://schemas.openxmlformats.org/drawingml/2006/main">
                  <a:graphicData uri="http://schemas.microsoft.com/office/word/2010/wordprocessingShape">
                    <wps:wsp>
                      <wps:cNvSpPr/>
                      <wps:spPr>
                        <a:xfrm>
                          <a:off x="0" y="0"/>
                          <a:ext cx="817245" cy="301625"/>
                        </a:xfrm>
                        <a:prstGeom prst="wedgeRectCallout">
                          <a:avLst>
                            <a:gd name="adj1" fmla="val -109129"/>
                            <a:gd name="adj2" fmla="val -266421"/>
                          </a:avLst>
                        </a:prstGeom>
                        <a:noFill/>
                        <a:ln w="12700" cap="flat" cmpd="sng">
                          <a:solidFill>
                            <a:srgbClr val="7030A0"/>
                          </a:solidFill>
                          <a:prstDash val="solid"/>
                          <a:miter/>
                          <a:headEnd type="none" w="med" len="med"/>
                          <a:tailEnd type="none" w="med" len="med"/>
                        </a:ln>
                      </wps:spPr>
                      <wps:txbx>
                        <w:txbxContent>
                          <w:p w14:paraId="06B7EE8E">
                            <w:pPr>
                              <w:spacing w:line="240" w:lineRule="auto"/>
                              <w:jc w:val="center"/>
                              <w:rPr>
                                <w:b/>
                                <w:color w:val="000000"/>
                                <w:szCs w:val="21"/>
                              </w:rPr>
                            </w:pPr>
                            <w:r>
                              <w:rPr>
                                <w:rFonts w:hint="eastAsia"/>
                                <w:b/>
                                <w:color w:val="000000"/>
                                <w:szCs w:val="21"/>
                              </w:rPr>
                              <w:t>项目位置</w:t>
                            </w:r>
                          </w:p>
                        </w:txbxContent>
                      </wps:txbx>
                      <wps:bodyPr lIns="0" tIns="0" rIns="0" bIns="0" anchor="ctr" anchorCtr="0" upright="1"/>
                    </wps:wsp>
                  </a:graphicData>
                </a:graphic>
              </wp:anchor>
            </w:drawing>
          </mc:Choice>
          <mc:Fallback>
            <w:pict>
              <v:shape id="_x0000_s1026" o:spid="_x0000_s1026" o:spt="61" type="#_x0000_t61" style="position:absolute;left:0pt;margin-left:373.55pt;margin-top:286.2pt;height:23.75pt;width:64.35pt;z-index:251670528;v-text-anchor:middle;mso-width-relative:page;mso-height-relative:page;" filled="f" stroked="t" coordsize="21600,21600" o:gfxdata="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T+ycm&#10;2gAAAAsBAAAPAAAAAAAAAAEAIAAAACIAAABkcnMvZG93bnJldi54bWxQSwECFAAUAAAACACHTuJA&#10;ZB6ySVgCAACoBAAADgAAAAAAAAABACAAAAApAQAAZHJzL2Uyb0RvYy54bWxQSwUGAAAAAAYABgBZ&#10;AQAA8wUAAAAA&#10;" adj="-12772,-46747">
                <v:fill on="f" focussize="0,0"/>
                <v:stroke weight="1pt" color="#7030A0" joinstyle="miter"/>
                <v:imagedata o:title=""/>
                <o:lock v:ext="edit" aspectratio="f"/>
                <v:textbox inset="0mm,0mm,0mm,0mm">
                  <w:txbxContent>
                    <w:p w14:paraId="06B7EE8E">
                      <w:pPr>
                        <w:spacing w:line="240" w:lineRule="auto"/>
                        <w:jc w:val="center"/>
                        <w:rPr>
                          <w:b/>
                          <w:color w:val="000000"/>
                          <w:szCs w:val="21"/>
                        </w:rPr>
                      </w:pPr>
                      <w:r>
                        <w:rPr>
                          <w:rFonts w:hint="eastAsia"/>
                          <w:b/>
                          <w:color w:val="000000"/>
                          <w:szCs w:val="21"/>
                        </w:rPr>
                        <w:t>项目位置</w:t>
                      </w:r>
                    </w:p>
                  </w:txbxContent>
                </v:textbox>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7456" behindDoc="0" locked="0" layoutInCell="1" allowOverlap="1">
                <wp:simplePos x="0" y="0"/>
                <wp:positionH relativeFrom="column">
                  <wp:posOffset>4160520</wp:posOffset>
                </wp:positionH>
                <wp:positionV relativeFrom="paragraph">
                  <wp:posOffset>2868930</wp:posOffset>
                </wp:positionV>
                <wp:extent cx="121920" cy="137160"/>
                <wp:effectExtent l="12700" t="17780" r="17780" b="16510"/>
                <wp:wrapNone/>
                <wp:docPr id="17" name="五角星 17"/>
                <wp:cNvGraphicFramePr/>
                <a:graphic xmlns:a="http://schemas.openxmlformats.org/drawingml/2006/main">
                  <a:graphicData uri="http://schemas.microsoft.com/office/word/2010/wordprocessingShape">
                    <wps:wsp>
                      <wps:cNvSpPr/>
                      <wps:spPr>
                        <a:xfrm>
                          <a:off x="0" y="0"/>
                          <a:ext cx="121920" cy="137160"/>
                        </a:xfrm>
                        <a:prstGeom prst="star5">
                          <a:avLst/>
                        </a:prstGeom>
                        <a:no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27.6pt;margin-top:225.9pt;height:10.8pt;width:9.6pt;z-index:251667456;mso-width-relative:page;mso-height-relative:page;" filled="f" stroked="t" coordsize="121920,137160" o:gfxdata="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V60rHYAAAACwEAAA8AAAAAAAAAAQAgAAAAIgAAAGRycy9kb3du&#10;cmV2LnhtbFBLAQIUABQAAAAIAIdO4kAdwhQY/wEAAPoDAAAOAAAAAAAAAAEAIAAAACcBAABkcnMv&#10;ZTJvRG9jLnhtbFBLBQYAAAAABgAGAFkBAACYBQAAAAA=&#10;" path="m0,52390l46569,52390,60960,0,75350,52390,121919,52390,84244,84769,98635,137159,60960,104780,23284,137159,37675,84769xe">
                <v:path o:connectlocs="60960,0;0,52390;23284,137159;98635,137159;121919,52390" o:connectangles="247,164,82,82,0"/>
                <v:fill on="f" focussize="0,0"/>
                <v:stroke color="#FFFF00" joinstyle="miter"/>
                <v:imagedata o:title=""/>
                <o:lock v:ext="edit" aspectratio="f"/>
              </v:shape>
            </w:pict>
          </mc:Fallback>
        </mc:AlternateContent>
      </w:r>
      <w:r>
        <w:rPr>
          <w:rFonts w:hint="eastAsia" w:ascii="方正小标宋简体" w:hAnsi="方正小标宋简体" w:eastAsia="方正小标宋简体" w:cs="方正小标宋简体"/>
          <w:color w:val="000000"/>
          <w:sz w:val="44"/>
          <w:szCs w:val="44"/>
          <w:highlight w:val="none"/>
          <w:lang w:val="en-US" w:eastAsia="zh-CN"/>
        </w:rPr>
        <w:drawing>
          <wp:inline distT="0" distB="0" distL="114300" distR="114300">
            <wp:extent cx="5752465" cy="7867015"/>
            <wp:effectExtent l="0" t="0" r="635" b="635"/>
            <wp:docPr id="7"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图片1"/>
                    <pic:cNvPicPr>
                      <a:picLocks noChangeAspect="1"/>
                    </pic:cNvPicPr>
                  </pic:nvPicPr>
                  <pic:blipFill>
                    <a:blip r:embed="rId64"/>
                    <a:stretch>
                      <a:fillRect/>
                    </a:stretch>
                  </pic:blipFill>
                  <pic:spPr>
                    <a:xfrm>
                      <a:off x="0" y="0"/>
                      <a:ext cx="5752465" cy="7867015"/>
                    </a:xfrm>
                    <a:prstGeom prst="rect">
                      <a:avLst/>
                    </a:prstGeom>
                    <a:noFill/>
                    <a:ln>
                      <a:noFill/>
                    </a:ln>
                  </pic:spPr>
                </pic:pic>
              </a:graphicData>
            </a:graphic>
          </wp:inline>
        </w:drawing>
      </w:r>
    </w:p>
    <w:p w14:paraId="305B88DE">
      <w:pPr>
        <w:spacing w:before="78" w:line="219" w:lineRule="auto"/>
        <w:jc w:val="center"/>
        <w:rPr>
          <w:rFonts w:hint="default" w:ascii="Times New Roman" w:hAnsi="Times New Roman" w:eastAsia="黑体" w:cs="Times New Roman"/>
          <w:sz w:val="24"/>
          <w:highlight w:val="none"/>
          <w:lang w:val="en-US" w:eastAsia="zh-CN"/>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64384" behindDoc="0" locked="0" layoutInCell="1" allowOverlap="1">
                <wp:simplePos x="0" y="0"/>
                <wp:positionH relativeFrom="column">
                  <wp:posOffset>3054350</wp:posOffset>
                </wp:positionH>
                <wp:positionV relativeFrom="paragraph">
                  <wp:posOffset>329565</wp:posOffset>
                </wp:positionV>
                <wp:extent cx="704850" cy="285750"/>
                <wp:effectExtent l="0" t="0" r="0" b="0"/>
                <wp:wrapNone/>
                <wp:docPr id="1286785933"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40.5pt;margin-top:25.95pt;height:22.5pt;width:55.5pt;z-index:251664384;v-text-anchor:middle;mso-width-relative:page;mso-height-relative:page;" fillcolor="#FFFFFF" filled="t" stroked="f" coordsize="21600,21600" o:gfxdata="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HJ/hR2gAAAAkBAAAPAAAAAAAA&#10;AAEAIAAAACIAAABkcnMvZG93bnJldi54bWxQSwECFAAUAAAACACHTuJAcnN8j4ICAADyBAAADgAA&#10;AAAAAAABACAAAAApAQAAZHJzL2Uyb0RvYy54bWxQSwUGAAAAAAYABgBZAQAAHQY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w:t>
      </w:r>
      <w:r>
        <w:rPr>
          <w:rFonts w:hint="eastAsia" w:eastAsia="黑体" w:cs="Times New Roman"/>
          <w:spacing w:val="-4"/>
          <w:sz w:val="24"/>
          <w:highlight w:val="none"/>
          <w:lang w:val="en-US" w:eastAsia="zh-CN"/>
        </w:rPr>
        <w:t>5</w:t>
      </w:r>
      <w:r>
        <w:rPr>
          <w:rFonts w:hint="default" w:ascii="Times New Roman" w:hAnsi="Times New Roman" w:eastAsia="黑体" w:cs="Times New Roman"/>
          <w:spacing w:val="-4"/>
          <w:sz w:val="24"/>
          <w:highlight w:val="none"/>
        </w:rPr>
        <w:t xml:space="preserve"> </w:t>
      </w:r>
      <w:r>
        <w:rPr>
          <w:rFonts w:hint="eastAsia" w:eastAsia="黑体" w:cs="Times New Roman"/>
          <w:spacing w:val="-4"/>
          <w:sz w:val="24"/>
          <w:highlight w:val="none"/>
          <w:lang w:val="en-US" w:eastAsia="zh-CN"/>
        </w:rPr>
        <w:t>项目与</w:t>
      </w:r>
      <w:r>
        <w:rPr>
          <w:rFonts w:hint="default" w:ascii="Times New Roman" w:hAnsi="Times New Roman" w:eastAsia="黑体" w:cs="Times New Roman"/>
          <w:spacing w:val="-4"/>
          <w:sz w:val="24"/>
          <w:highlight w:val="none"/>
        </w:rPr>
        <w:t>淄博市环境管控单元图</w:t>
      </w:r>
      <w:r>
        <w:rPr>
          <w:rFonts w:hint="eastAsia" w:eastAsia="黑体" w:cs="Times New Roman"/>
          <w:spacing w:val="-4"/>
          <w:sz w:val="24"/>
          <w:highlight w:val="none"/>
          <w:lang w:val="en-US" w:eastAsia="zh-CN"/>
        </w:rPr>
        <w:t>位置关系</w:t>
      </w:r>
    </w:p>
    <w:p w14:paraId="429E8B48">
      <w:pPr>
        <w:spacing w:line="219" w:lineRule="auto"/>
        <w:jc w:val="center"/>
        <w:rPr>
          <w:rFonts w:hint="default" w:ascii="Times New Roman" w:hAnsi="Times New Roman" w:cs="Times New Roman"/>
          <w:sz w:val="24"/>
          <w:highlight w:val="none"/>
        </w:rPr>
        <w:sectPr>
          <w:footerReference r:id="rId15" w:type="default"/>
          <w:pgSz w:w="11906" w:h="16839"/>
          <w:pgMar w:top="1421" w:right="867" w:bottom="1099" w:left="928" w:header="0" w:footer="836" w:gutter="0"/>
          <w:cols w:space="720" w:num="1"/>
        </w:sectPr>
      </w:pPr>
    </w:p>
    <w:p w14:paraId="575232CE">
      <w:pPr>
        <w:spacing w:line="219" w:lineRule="auto"/>
        <w:rPr>
          <w:rFonts w:hint="default" w:ascii="Times New Roman" w:hAnsi="Times New Roman" w:eastAsia="Times New Roman" w:cs="Times New Roman"/>
          <w:snapToGrid w:val="0"/>
          <w:w w:val="0"/>
          <w:kern w:val="0"/>
          <w:sz w:val="16"/>
          <w:szCs w:val="0"/>
          <w:highlight w:val="none"/>
          <w:u w:color="000000"/>
          <w:shd w:val="clear" w:color="000000" w:fill="000000"/>
        </w:rPr>
      </w:pPr>
      <w:r>
        <w:rPr>
          <w:rFonts w:hint="default" w:ascii="Times New Roman" w:hAnsi="Times New Roman" w:cs="Times New Roman"/>
          <w:highlight w:val="none"/>
        </w:rPr>
        <mc:AlternateContent>
          <mc:Choice Requires="wps">
            <w:drawing>
              <wp:anchor distT="0" distB="0" distL="114300" distR="114300" simplePos="0" relativeHeight="251668480" behindDoc="0" locked="0" layoutInCell="1" allowOverlap="1">
                <wp:simplePos x="0" y="0"/>
                <wp:positionH relativeFrom="column">
                  <wp:posOffset>4274820</wp:posOffset>
                </wp:positionH>
                <wp:positionV relativeFrom="paragraph">
                  <wp:posOffset>3339465</wp:posOffset>
                </wp:positionV>
                <wp:extent cx="1106170" cy="367665"/>
                <wp:effectExtent l="399415" t="540385" r="18415" b="6350"/>
                <wp:wrapNone/>
                <wp:docPr id="16" name="矩形标注 16"/>
                <wp:cNvGraphicFramePr/>
                <a:graphic xmlns:a="http://schemas.openxmlformats.org/drawingml/2006/main">
                  <a:graphicData uri="http://schemas.microsoft.com/office/word/2010/wordprocessingShape">
                    <wps:wsp>
                      <wps:cNvSpPr/>
                      <wps:spPr>
                        <a:xfrm>
                          <a:off x="0" y="0"/>
                          <a:ext cx="1106170" cy="367665"/>
                        </a:xfrm>
                        <a:prstGeom prst="wedgeRectCallout">
                          <a:avLst>
                            <a:gd name="adj1" fmla="val -82376"/>
                            <a:gd name="adj2" fmla="val -188341"/>
                          </a:avLst>
                        </a:prstGeom>
                        <a:noFill/>
                        <a:ln w="12700" cap="flat" cmpd="sng">
                          <a:solidFill>
                            <a:srgbClr val="7030A0"/>
                          </a:solidFill>
                          <a:prstDash val="solid"/>
                          <a:miter/>
                          <a:headEnd type="none" w="med" len="med"/>
                          <a:tailEnd type="none" w="med" len="med"/>
                        </a:ln>
                      </wps:spPr>
                      <wps:txbx>
                        <w:txbxContent>
                          <w:p w14:paraId="25A80A77">
                            <w:pPr>
                              <w:spacing w:line="360" w:lineRule="auto"/>
                              <w:jc w:val="center"/>
                              <w:rPr>
                                <w:b/>
                                <w:color w:val="7030A0"/>
                                <w:szCs w:val="21"/>
                              </w:rPr>
                            </w:pPr>
                            <w:r>
                              <w:rPr>
                                <w:rFonts w:hint="eastAsia"/>
                                <w:b/>
                                <w:color w:val="7030A0"/>
                                <w:szCs w:val="21"/>
                              </w:rPr>
                              <w:t>项目地理位置</w:t>
                            </w:r>
                          </w:p>
                        </w:txbxContent>
                      </wps:txbx>
                      <wps:bodyPr lIns="0" tIns="0" rIns="0" bIns="0" anchor="ctr" anchorCtr="0" upright="1"/>
                    </wps:wsp>
                  </a:graphicData>
                </a:graphic>
              </wp:anchor>
            </w:drawing>
          </mc:Choice>
          <mc:Fallback>
            <w:pict>
              <v:shape id="_x0000_s1026" o:spid="_x0000_s1026" o:spt="61" type="#_x0000_t61" style="position:absolute;left:0pt;margin-left:336.6pt;margin-top:262.95pt;height:28.95pt;width:87.1pt;z-index:251668480;v-text-anchor:middle;mso-width-relative:page;mso-height-relative:page;" filled="f" stroked="t" coordsize="21600,21600" o:gfxdata="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Cddm+&#10;2wAAAAsBAAAPAAAAAAAAAAEAIAAAACIAAABkcnMvZG93bnJldi54bWxQSwECFAAUAAAACACHTuJA&#10;wM45gVcCAACoBAAADgAAAAAAAAABACAAAAAqAQAAZHJzL2Uyb0RvYy54bWxQSwUGAAAAAAYABgBZ&#10;AQAA8wUAAAAA&#10;" adj="-6993,-29882">
                <v:fill on="f" focussize="0,0"/>
                <v:stroke weight="1pt" color="#7030A0" joinstyle="miter"/>
                <v:imagedata o:title=""/>
                <o:lock v:ext="edit" aspectratio="f"/>
                <v:textbox inset="0mm,0mm,0mm,0mm">
                  <w:txbxContent>
                    <w:p w14:paraId="25A80A77">
                      <w:pPr>
                        <w:spacing w:line="360" w:lineRule="auto"/>
                        <w:jc w:val="center"/>
                        <w:rPr>
                          <w:b/>
                          <w:color w:val="7030A0"/>
                          <w:szCs w:val="21"/>
                        </w:rPr>
                      </w:pPr>
                      <w:r>
                        <w:rPr>
                          <w:rFonts w:hint="eastAsia"/>
                          <w:b/>
                          <w:color w:val="7030A0"/>
                          <w:szCs w:val="21"/>
                        </w:rPr>
                        <w:t>项目地理位置</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9504" behindDoc="0" locked="0" layoutInCell="1" allowOverlap="1">
                <wp:simplePos x="0" y="0"/>
                <wp:positionH relativeFrom="column">
                  <wp:posOffset>3799840</wp:posOffset>
                </wp:positionH>
                <wp:positionV relativeFrom="paragraph">
                  <wp:posOffset>2740025</wp:posOffset>
                </wp:positionV>
                <wp:extent cx="82550" cy="82550"/>
                <wp:effectExtent l="6350" t="6350" r="17780" b="17780"/>
                <wp:wrapNone/>
                <wp:docPr id="19" name="椭圆 19"/>
                <wp:cNvGraphicFramePr/>
                <a:graphic xmlns:a="http://schemas.openxmlformats.org/drawingml/2006/main">
                  <a:graphicData uri="http://schemas.microsoft.com/office/word/2010/wordprocessingShape">
                    <wps:wsp>
                      <wps:cNvSpPr/>
                      <wps:spPr>
                        <a:xfrm>
                          <a:off x="0" y="0"/>
                          <a:ext cx="82550" cy="82550"/>
                        </a:xfrm>
                        <a:prstGeom prst="ellipse">
                          <a:avLst/>
                        </a:prstGeom>
                        <a:solidFill>
                          <a:srgbClr val="00B050"/>
                        </a:solidFill>
                        <a:ln w="12700" cap="flat" cmpd="sng">
                          <a:solidFill>
                            <a:srgbClr val="00B050"/>
                          </a:solidFill>
                          <a:prstDash val="solid"/>
                          <a:headEnd type="none" w="med" len="med"/>
                          <a:tailEnd type="none" w="med" len="med"/>
                        </a:ln>
                      </wps:spPr>
                      <wps:txbx>
                        <w:txbxContent>
                          <w:p w14:paraId="14AFC8B2"/>
                        </w:txbxContent>
                      </wps:txbx>
                      <wps:bodyPr anchor="ctr" anchorCtr="0" upright="1"/>
                    </wps:wsp>
                  </a:graphicData>
                </a:graphic>
              </wp:anchor>
            </w:drawing>
          </mc:Choice>
          <mc:Fallback>
            <w:pict>
              <v:shape id="_x0000_s1026" o:spid="_x0000_s1026" o:spt="3" type="#_x0000_t3" style="position:absolute;left:0pt;margin-left:299.2pt;margin-top:215.75pt;height:6.5pt;width:6.5pt;z-index:251669504;v-text-anchor:middle;mso-width-relative:page;mso-height-relative:page;" fillcolor="#00B050" filled="t" stroked="t" coordsize="21600,21600" o:gfxdata="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&#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mPq1M2gAAAAsBAAAPAAAAAAAAAAEAIAAAACIAAABk&#10;cnMvZG93bnJldi54bWxQSwECFAAUAAAACACHTuJAz//yZQQCAAA9BAAADgAAAAAAAAABACAAAAAp&#10;AQAAZHJzL2Uyb0RvYy54bWxQSwUGAAAAAAYABgBZAQAAnwUAAAAA&#10;">
                <v:fill on="t" focussize="0,0"/>
                <v:stroke weight="1pt" color="#00B050" joinstyle="round"/>
                <v:imagedata o:title=""/>
                <o:lock v:ext="edit" aspectratio="f"/>
                <v:textbox>
                  <w:txbxContent>
                    <w:p w14:paraId="14AFC8B2"/>
                  </w:txbxContent>
                </v:textbox>
              </v:shape>
            </w:pict>
          </mc:Fallback>
        </mc:AlternateContent>
      </w:r>
      <w:r>
        <w:rPr>
          <w:rFonts w:hint="default" w:ascii="Times New Roman" w:hAnsi="Times New Roman" w:eastAsia="Times New Roman" w:cs="Times New Roman"/>
          <w:snapToGrid w:val="0"/>
          <w:w w:val="0"/>
          <w:kern w:val="0"/>
          <w:sz w:val="16"/>
          <w:szCs w:val="0"/>
          <w:highlight w:val="none"/>
          <w:u w:color="000000"/>
          <w:shd w:val="clear" w:color="000000" w:fill="000000"/>
        </w:rPr>
        <w:drawing>
          <wp:inline distT="0" distB="0" distL="114300" distR="114300">
            <wp:extent cx="6329045" cy="8507730"/>
            <wp:effectExtent l="0" t="0" r="10795" b="11430"/>
            <wp:docPr id="23" name="图片 10" descr="淄博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descr="淄博市"/>
                    <pic:cNvPicPr>
                      <a:picLocks noChangeAspect="1"/>
                    </pic:cNvPicPr>
                  </pic:nvPicPr>
                  <pic:blipFill>
                    <a:blip r:embed="rId65"/>
                    <a:srcRect r="598" b="446"/>
                    <a:stretch>
                      <a:fillRect/>
                    </a:stretch>
                  </pic:blipFill>
                  <pic:spPr>
                    <a:xfrm>
                      <a:off x="0" y="0"/>
                      <a:ext cx="6329045" cy="8507730"/>
                    </a:xfrm>
                    <a:prstGeom prst="rect">
                      <a:avLst/>
                    </a:prstGeom>
                    <a:noFill/>
                    <a:ln>
                      <a:noFill/>
                    </a:ln>
                  </pic:spPr>
                </pic:pic>
              </a:graphicData>
            </a:graphic>
          </wp:inline>
        </w:drawing>
      </w:r>
    </w:p>
    <w:p w14:paraId="0773E706">
      <w:pPr>
        <w:spacing w:before="78" w:line="219" w:lineRule="auto"/>
        <w:jc w:val="center"/>
        <w:rPr>
          <w:rFonts w:hint="default" w:ascii="Times New Roman" w:hAnsi="Times New Roman" w:eastAsia="黑体" w:cs="Times New Roman"/>
          <w:spacing w:val="-4"/>
          <w:sz w:val="24"/>
          <w:highlight w:val="none"/>
        </w:rPr>
      </w:pPr>
    </w:p>
    <w:p w14:paraId="04729106">
      <w:pPr>
        <w:spacing w:before="78" w:line="219" w:lineRule="auto"/>
        <w:jc w:val="center"/>
        <w:rPr>
          <w:rFonts w:hint="default" w:ascii="Times New Roman" w:hAnsi="Times New Roman" w:eastAsia="黑体" w:cs="Times New Roman"/>
          <w:spacing w:val="-4"/>
          <w:sz w:val="24"/>
          <w:highlight w:val="none"/>
          <w:lang w:val="en-US" w:eastAsia="zh-CN"/>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66432" behindDoc="0" locked="0" layoutInCell="1" allowOverlap="1">
                <wp:simplePos x="0" y="0"/>
                <wp:positionH relativeFrom="column">
                  <wp:posOffset>2833370</wp:posOffset>
                </wp:positionH>
                <wp:positionV relativeFrom="paragraph">
                  <wp:posOffset>296545</wp:posOffset>
                </wp:positionV>
                <wp:extent cx="704850" cy="342900"/>
                <wp:effectExtent l="0" t="0" r="0" b="0"/>
                <wp:wrapNone/>
                <wp:docPr id="320331388" name="矩形 76"/>
                <wp:cNvGraphicFramePr/>
                <a:graphic xmlns:a="http://schemas.openxmlformats.org/drawingml/2006/main">
                  <a:graphicData uri="http://schemas.microsoft.com/office/word/2010/wordprocessingShape">
                    <wps:wsp>
                      <wps:cNvSpPr/>
                      <wps:spPr>
                        <a:xfrm>
                          <a:off x="0" y="0"/>
                          <a:ext cx="704850" cy="342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23.1pt;margin-top:23.35pt;height:27pt;width:55.5pt;z-index:251666432;v-text-anchor:middle;mso-width-relative:page;mso-height-relative:page;" fillcolor="#FFFFFF" filled="t" stroked="f" coordsize="21600,21600" o:gfxdata="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tMI7DtgAAAAKAQAADwAAAAAAAAAB&#10;ACAAAAAiAAAAZHJzL2Rvd25yZXYueG1sUEsBAhQAFAAAAAgAh07iQNmkpKKCAgAA8QQAAA4AAAAA&#10;AAAAAQAgAAAAJwEAAGRycy9lMm9Eb2MueG1sUEsFBgAAAAAGAAYAWQEAABsGA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w:t>
      </w:r>
      <w:r>
        <w:rPr>
          <w:rFonts w:hint="eastAsia" w:eastAsia="黑体" w:cs="Times New Roman"/>
          <w:spacing w:val="-4"/>
          <w:sz w:val="24"/>
          <w:highlight w:val="none"/>
          <w:lang w:val="en-US" w:eastAsia="zh-CN"/>
        </w:rPr>
        <w:t>6</w:t>
      </w:r>
      <w:r>
        <w:rPr>
          <w:rFonts w:hint="default" w:ascii="Times New Roman" w:hAnsi="Times New Roman" w:eastAsia="黑体" w:cs="Times New Roman"/>
          <w:spacing w:val="-4"/>
          <w:sz w:val="24"/>
          <w:highlight w:val="none"/>
        </w:rPr>
        <w:t xml:space="preserve">  </w:t>
      </w:r>
      <w:r>
        <w:rPr>
          <w:rFonts w:hint="eastAsia" w:eastAsia="黑体" w:cs="Times New Roman"/>
          <w:spacing w:val="-4"/>
          <w:sz w:val="24"/>
          <w:highlight w:val="none"/>
          <w:lang w:val="en-US" w:eastAsia="zh-CN"/>
        </w:rPr>
        <w:t>项目与</w:t>
      </w:r>
      <w:r>
        <w:rPr>
          <w:rFonts w:hint="default" w:ascii="Times New Roman" w:hAnsi="Times New Roman" w:eastAsia="黑体" w:cs="Times New Roman"/>
          <w:spacing w:val="-4"/>
          <w:sz w:val="24"/>
          <w:highlight w:val="none"/>
        </w:rPr>
        <w:t>淄博市生态保护红线图</w:t>
      </w:r>
      <w:r>
        <w:rPr>
          <w:rFonts w:hint="eastAsia" w:eastAsia="黑体" w:cs="Times New Roman"/>
          <w:spacing w:val="-4"/>
          <w:sz w:val="24"/>
          <w:highlight w:val="none"/>
          <w:lang w:val="en-US" w:eastAsia="zh-CN"/>
        </w:rPr>
        <w:t>位置关系</w:t>
      </w:r>
    </w:p>
    <w:p w14:paraId="3A323D5D">
      <w:pPr>
        <w:spacing w:line="219" w:lineRule="auto"/>
        <w:jc w:val="center"/>
        <w:rPr>
          <w:rFonts w:hint="default" w:ascii="Times New Roman" w:hAnsi="Times New Roman" w:eastAsia="Times New Roman" w:cs="Times New Roman"/>
          <w:snapToGrid w:val="0"/>
          <w:w w:val="0"/>
          <w:kern w:val="0"/>
          <w:sz w:val="16"/>
          <w:szCs w:val="0"/>
          <w:highlight w:val="none"/>
          <w:u w:color="000000"/>
          <w:shd w:val="clear" w:color="000000" w:fill="000000"/>
        </w:rPr>
        <w:sectPr>
          <w:footerReference r:id="rId16" w:type="default"/>
          <w:pgSz w:w="11906" w:h="16839"/>
          <w:pgMar w:top="1431" w:right="867" w:bottom="1097" w:left="928" w:header="0" w:footer="836" w:gutter="0"/>
          <w:cols w:space="720" w:num="1"/>
        </w:sectPr>
      </w:pPr>
    </w:p>
    <w:p w14:paraId="3468FCBE">
      <w:pPr>
        <w:jc w:val="center"/>
        <w:rPr>
          <w:rFonts w:hint="default" w:ascii="Times New Roman" w:hAnsi="Times New Roman" w:cs="Times New Roman"/>
          <w:highlight w:val="none"/>
        </w:rPr>
      </w:pPr>
      <w:r>
        <w:rPr>
          <w:sz w:val="21"/>
          <w:highlight w:val="none"/>
        </w:rPr>
        <mc:AlternateContent>
          <mc:Choice Requires="wps">
            <w:drawing>
              <wp:anchor distT="0" distB="0" distL="114300" distR="114300" simplePos="0" relativeHeight="251723776" behindDoc="0" locked="0" layoutInCell="1" allowOverlap="1">
                <wp:simplePos x="0" y="0"/>
                <wp:positionH relativeFrom="column">
                  <wp:posOffset>747395</wp:posOffset>
                </wp:positionH>
                <wp:positionV relativeFrom="paragraph">
                  <wp:posOffset>1289050</wp:posOffset>
                </wp:positionV>
                <wp:extent cx="75565" cy="104775"/>
                <wp:effectExtent l="6350" t="6350" r="13335" b="22225"/>
                <wp:wrapNone/>
                <wp:docPr id="68" name="矩形 68"/>
                <wp:cNvGraphicFramePr/>
                <a:graphic xmlns:a="http://schemas.openxmlformats.org/drawingml/2006/main">
                  <a:graphicData uri="http://schemas.microsoft.com/office/word/2010/wordprocessingShape">
                    <wps:wsp>
                      <wps:cNvSpPr/>
                      <wps:spPr>
                        <a:xfrm>
                          <a:off x="1450340" y="2203450"/>
                          <a:ext cx="75565" cy="1047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85pt;margin-top:101.5pt;height:8.25pt;width:5.95pt;z-index:251723776;v-text-anchor:middle;mso-width-relative:page;mso-height-relative:page;" filled="f" stroked="t" coordsize="21600,21600" o:gfxdata="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cT6Dq1wAAAAsBAAAPAAAAAAAAAAEAIAAAACIAAABkcnMv&#10;ZG93bnJldi54bWxQSwECFAAUAAAACACHTuJA1yRLVXYCAADXBAAADgAAAAAAAAABACAAAAAmAQAA&#10;ZHJzL2Uyb0RvYy54bWxQSwUGAAAAAAYABgBZAQAADgYAAAAA&#10;">
                <v:fill on="f" focussize="0,0"/>
                <v:stroke weight="1pt" color="#FF0000 [2404]"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725824" behindDoc="0" locked="0" layoutInCell="1" allowOverlap="1">
                <wp:simplePos x="0" y="0"/>
                <wp:positionH relativeFrom="column">
                  <wp:posOffset>1671320</wp:posOffset>
                </wp:positionH>
                <wp:positionV relativeFrom="paragraph">
                  <wp:posOffset>1517650</wp:posOffset>
                </wp:positionV>
                <wp:extent cx="2314575" cy="752475"/>
                <wp:effectExtent l="0" t="35560" r="9525" b="31115"/>
                <wp:wrapNone/>
                <wp:docPr id="69" name="直接箭头连接符 69"/>
                <wp:cNvGraphicFramePr/>
                <a:graphic xmlns:a="http://schemas.openxmlformats.org/drawingml/2006/main">
                  <a:graphicData uri="http://schemas.microsoft.com/office/word/2010/wordprocessingShape">
                    <wps:wsp>
                      <wps:cNvCnPr/>
                      <wps:spPr>
                        <a:xfrm flipH="1" flipV="1">
                          <a:off x="2355215" y="2432050"/>
                          <a:ext cx="2314575" cy="752475"/>
                        </a:xfrm>
                        <a:prstGeom prst="straightConnector1">
                          <a:avLst/>
                        </a:prstGeom>
                        <a:ln w="38100">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31.6pt;margin-top:119.5pt;height:59.25pt;width:182.25pt;z-index:251725824;mso-width-relative:page;mso-height-relative:page;" filled="f" stroked="t" coordsize="21600,21600" o:gfxdata="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qmMrtdsAAAALAQAADwAAAAAAAAABACAAAAAiAAAAZHJzL2Rvd25yZXYueG1sUEsBAhQAFAAA&#10;AAgAh07iQFc/xD8lAgAABgQAAA4AAAAAAAAAAQAgAAAAKgEAAGRycy9lMm9Eb2MueG1sUEsFBgAA&#10;AAAGAAYAWQEAAMEFAAAAAA==&#10;">
                <v:fill on="f" focussize="0,0"/>
                <v:stroke weight="3pt" color="#FF0000 [3204]" miterlimit="8" joinstyle="miter" endarrow="open"/>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4800" behindDoc="0" locked="0" layoutInCell="1" allowOverlap="1">
                <wp:simplePos x="0" y="0"/>
                <wp:positionH relativeFrom="column">
                  <wp:posOffset>1108075</wp:posOffset>
                </wp:positionH>
                <wp:positionV relativeFrom="paragraph">
                  <wp:posOffset>2301240</wp:posOffset>
                </wp:positionV>
                <wp:extent cx="886460" cy="323850"/>
                <wp:effectExtent l="270510" t="939800" r="24130" b="12700"/>
                <wp:wrapNone/>
                <wp:docPr id="11" name="矩形标注 11"/>
                <wp:cNvGraphicFramePr/>
                <a:graphic xmlns:a="http://schemas.openxmlformats.org/drawingml/2006/main">
                  <a:graphicData uri="http://schemas.microsoft.com/office/word/2010/wordprocessingShape">
                    <wps:wsp>
                      <wps:cNvSpPr/>
                      <wps:spPr>
                        <a:xfrm>
                          <a:off x="4961890" y="3526155"/>
                          <a:ext cx="886460" cy="323850"/>
                        </a:xfrm>
                        <a:prstGeom prst="wedgeRectCallout">
                          <a:avLst>
                            <a:gd name="adj1" fmla="val -77578"/>
                            <a:gd name="adj2" fmla="val -326274"/>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DB679F8">
                            <w:pPr>
                              <w:snapToGrid w:val="0"/>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7.25pt;margin-top:181.2pt;height:25.5pt;width:69.8pt;z-index:251724800;v-text-anchor:middle;mso-width-relative:page;mso-height-relative:page;" fillcolor="#4472C4 [3204]" filled="t" stroked="t" coordsize="21600,21600" o:gfxdata="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BT39sn2gAAAAsBAAAPAAAAAAAAAAEAIAAAACIAAABkcnMvZG93bnJldi54bWxQSwECFAAUAAAA&#10;CACHTuJA7pdysdACAACUBQAADgAAAAAAAAABACAAAAApAQAAZHJzL2Uyb0RvYy54bWxQSwUGAAAA&#10;AAYABgBZAQAAawYAAAAA&#10;" adj="-5957,-59675">
                <v:fill on="t" focussize="0,0"/>
                <v:stroke weight="1pt" color="#2F5597 [2404]" miterlimit="8" joinstyle="miter"/>
                <v:imagedata o:title=""/>
                <o:lock v:ext="edit" aspectratio="f"/>
                <v:textbox>
                  <w:txbxContent>
                    <w:p w14:paraId="0DB679F8">
                      <w:pPr>
                        <w:snapToGrid w:val="0"/>
                        <w:jc w:val="center"/>
                      </w:pPr>
                      <w:r>
                        <w:rPr>
                          <w:rFonts w:hint="eastAsia"/>
                        </w:rPr>
                        <w:t>项目位置</w:t>
                      </w:r>
                    </w:p>
                  </w:txbxContent>
                </v:textbox>
              </v:shape>
            </w:pict>
          </mc:Fallback>
        </mc:AlternateContent>
      </w:r>
      <w:r>
        <w:rPr>
          <w:highlight w:val="none"/>
        </w:rPr>
        <w:drawing>
          <wp:anchor distT="0" distB="0" distL="114300" distR="114300" simplePos="0" relativeHeight="251722752" behindDoc="0" locked="0" layoutInCell="1" allowOverlap="1">
            <wp:simplePos x="0" y="0"/>
            <wp:positionH relativeFrom="column">
              <wp:posOffset>191135</wp:posOffset>
            </wp:positionH>
            <wp:positionV relativeFrom="paragraph">
              <wp:posOffset>723900</wp:posOffset>
            </wp:positionV>
            <wp:extent cx="1418590" cy="1233805"/>
            <wp:effectExtent l="9525" t="9525" r="19685" b="13970"/>
            <wp:wrapNone/>
            <wp:docPr id="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pic:cNvPicPr>
                      <a:picLocks noChangeAspect="1"/>
                    </pic:cNvPicPr>
                  </pic:nvPicPr>
                  <pic:blipFill>
                    <a:blip r:embed="rId66"/>
                    <a:stretch>
                      <a:fillRect/>
                    </a:stretch>
                  </pic:blipFill>
                  <pic:spPr>
                    <a:xfrm>
                      <a:off x="0" y="0"/>
                      <a:ext cx="1418590" cy="1233805"/>
                    </a:xfrm>
                    <a:prstGeom prst="rect">
                      <a:avLst/>
                    </a:prstGeom>
                    <a:noFill/>
                    <a:ln>
                      <a:solidFill>
                        <a:schemeClr val="tx1"/>
                      </a:solidFill>
                    </a:ln>
                  </pic:spPr>
                </pic:pic>
              </a:graphicData>
            </a:graphic>
          </wp:anchor>
        </w:drawing>
      </w:r>
      <w:r>
        <w:rPr>
          <w:rFonts w:hint="default" w:ascii="Times New Roman" w:hAnsi="Times New Roman" w:cs="Times New Roman"/>
          <w:highlight w:val="none"/>
        </w:rPr>
        <w:drawing>
          <wp:inline distT="0" distB="0" distL="114300" distR="114300">
            <wp:extent cx="6168390" cy="8615680"/>
            <wp:effectExtent l="0" t="0" r="3810" b="13970"/>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67"/>
                    <a:stretch>
                      <a:fillRect/>
                    </a:stretch>
                  </pic:blipFill>
                  <pic:spPr>
                    <a:xfrm>
                      <a:off x="0" y="0"/>
                      <a:ext cx="6168390" cy="8615680"/>
                    </a:xfrm>
                    <a:prstGeom prst="rect">
                      <a:avLst/>
                    </a:prstGeom>
                    <a:noFill/>
                    <a:ln>
                      <a:noFill/>
                    </a:ln>
                  </pic:spPr>
                </pic:pic>
              </a:graphicData>
            </a:graphic>
          </wp:inline>
        </w:drawing>
      </w:r>
    </w:p>
    <w:p w14:paraId="3275FEA0">
      <w:pPr>
        <w:jc w:val="center"/>
        <w:rPr>
          <w:rFonts w:hint="default" w:ascii="Times New Roman" w:hAnsi="Times New Roman" w:eastAsia="黑体" w:cs="Times New Roman"/>
          <w:spacing w:val="-4"/>
          <w:sz w:val="24"/>
          <w:highlight w:val="none"/>
          <w:lang w:val="en-US" w:eastAsia="zh-CN"/>
        </w:rPr>
        <w:sectPr>
          <w:pgSz w:w="11907" w:h="16840"/>
          <w:pgMar w:top="1440" w:right="1077" w:bottom="1440" w:left="1077" w:header="851" w:footer="851" w:gutter="0"/>
          <w:cols w:space="0" w:num="1"/>
          <w:docGrid w:linePitch="312" w:charSpace="0"/>
        </w:sect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701248" behindDoc="0" locked="0" layoutInCell="1" allowOverlap="1">
                <wp:simplePos x="0" y="0"/>
                <wp:positionH relativeFrom="column">
                  <wp:posOffset>2736850</wp:posOffset>
                </wp:positionH>
                <wp:positionV relativeFrom="paragraph">
                  <wp:posOffset>965200</wp:posOffset>
                </wp:positionV>
                <wp:extent cx="704850" cy="285750"/>
                <wp:effectExtent l="0" t="0" r="0" b="0"/>
                <wp:wrapNone/>
                <wp:docPr id="8"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15.5pt;margin-top:76pt;height:22.5pt;width:55.5pt;z-index:251701248;v-text-anchor:middle;mso-width-relative:page;mso-height-relative:page;" fillcolor="#FFFFFF" filled="t" stroked="f" coordsize="21600,21600" o:gfxdata="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&#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h5S+T2AAAAAsBAAAPAAAAAAAAAAEAIAAAACIAAABk&#10;cnMvZG93bnJldi54bWxQSwECFAAUAAAACACHTuJAleuBGngCAADpBAAADgAAAAAAAAABACAAAAAn&#10;AQAAZHJzL2Uyb0RvYy54bWxQSwUGAAAAAAYABgBZAQAAEQY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w:t>
      </w:r>
      <w:r>
        <w:rPr>
          <w:rFonts w:hint="eastAsia" w:eastAsia="黑体" w:cs="Times New Roman"/>
          <w:spacing w:val="-4"/>
          <w:sz w:val="24"/>
          <w:highlight w:val="none"/>
          <w:lang w:val="en-US" w:eastAsia="zh-CN"/>
        </w:rPr>
        <w:t>7</w:t>
      </w:r>
      <w:r>
        <w:rPr>
          <w:rFonts w:hint="default" w:ascii="Times New Roman" w:hAnsi="Times New Roman" w:eastAsia="黑体" w:cs="Times New Roman"/>
          <w:spacing w:val="-4"/>
          <w:sz w:val="24"/>
          <w:highlight w:val="none"/>
        </w:rPr>
        <w:t xml:space="preserve">  </w:t>
      </w:r>
      <w:r>
        <w:rPr>
          <w:rFonts w:hint="eastAsia" w:eastAsia="黑体" w:cs="Times New Roman"/>
          <w:spacing w:val="-4"/>
          <w:sz w:val="24"/>
          <w:highlight w:val="none"/>
          <w:lang w:val="en-US" w:eastAsia="zh-CN"/>
        </w:rPr>
        <w:t>项目与</w:t>
      </w:r>
      <w:r>
        <w:rPr>
          <w:rFonts w:hint="default" w:ascii="Times New Roman" w:hAnsi="Times New Roman" w:eastAsia="黑体" w:cs="Times New Roman"/>
          <w:spacing w:val="-4"/>
          <w:sz w:val="24"/>
          <w:highlight w:val="none"/>
        </w:rPr>
        <w:t>淄博市国土空间总体规划（2021-2035年）</w:t>
      </w:r>
      <w:r>
        <w:rPr>
          <w:rFonts w:hint="eastAsia" w:eastAsia="黑体" w:cs="Times New Roman"/>
          <w:spacing w:val="-4"/>
          <w:sz w:val="24"/>
          <w:highlight w:val="none"/>
          <w:lang w:val="en-US" w:eastAsia="zh-CN"/>
        </w:rPr>
        <w:t>位置关系</w:t>
      </w:r>
    </w:p>
    <w:p w14:paraId="60A0B341">
      <w:pPr>
        <w:jc w:val="center"/>
        <w:rPr>
          <w:highlight w:val="none"/>
        </w:rPr>
      </w:pPr>
      <w:r>
        <w:rPr>
          <w:sz w:val="21"/>
          <w:highlight w:val="none"/>
        </w:rPr>
        <mc:AlternateContent>
          <mc:Choice Requires="wps">
            <w:drawing>
              <wp:anchor distT="0" distB="0" distL="114300" distR="114300" simplePos="0" relativeHeight="251770880" behindDoc="0" locked="0" layoutInCell="1" allowOverlap="1">
                <wp:simplePos x="0" y="0"/>
                <wp:positionH relativeFrom="column">
                  <wp:posOffset>1764030</wp:posOffset>
                </wp:positionH>
                <wp:positionV relativeFrom="paragraph">
                  <wp:posOffset>1510030</wp:posOffset>
                </wp:positionV>
                <wp:extent cx="85725" cy="123825"/>
                <wp:effectExtent l="9525" t="9525" r="19050" b="19050"/>
                <wp:wrapNone/>
                <wp:docPr id="117" name="矩形 117"/>
                <wp:cNvGraphicFramePr/>
                <a:graphic xmlns:a="http://schemas.openxmlformats.org/drawingml/2006/main">
                  <a:graphicData uri="http://schemas.microsoft.com/office/word/2010/wordprocessingShape">
                    <wps:wsp>
                      <wps:cNvSpPr/>
                      <wps:spPr>
                        <a:xfrm flipH="1">
                          <a:off x="0" y="0"/>
                          <a:ext cx="85725" cy="123825"/>
                        </a:xfrm>
                        <a:prstGeom prst="rect">
                          <a:avLst/>
                        </a:prstGeom>
                        <a:noFill/>
                        <a:ln w="1905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138.9pt;margin-top:118.9pt;height:9.75pt;width:6.75pt;z-index:251770880;v-text-anchor:middle;mso-width-relative:page;mso-height-relative:page;" filled="f" stroked="t" coordsize="21600,21600" o:gfxdata="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Csjyg2QAAAAsBAAAPAAAAAAAAAAEAIAAAACIAAABkcnMvZG93&#10;bnJldi54bWxQSwECFAAUAAAACACHTuJAjRukQ3ECAADXBAAADgAAAAAAAAABACAAAAAoAQAAZHJz&#10;L2Uyb0RvYy54bWxQSwUGAAAAAAYABgBZAQAACwYAAAAA&#10;">
                <v:fill on="f" focussize="0,0"/>
                <v:stroke weight="1.5pt" color="#00B0F0 [2404]"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69856" behindDoc="0" locked="0" layoutInCell="1" allowOverlap="1">
                <wp:simplePos x="0" y="0"/>
                <wp:positionH relativeFrom="column">
                  <wp:posOffset>2630170</wp:posOffset>
                </wp:positionH>
                <wp:positionV relativeFrom="paragraph">
                  <wp:posOffset>1131570</wp:posOffset>
                </wp:positionV>
                <wp:extent cx="886460" cy="323850"/>
                <wp:effectExtent l="817880" t="6350" r="10160" b="165100"/>
                <wp:wrapNone/>
                <wp:docPr id="116" name="矩形标注 116"/>
                <wp:cNvGraphicFramePr/>
                <a:graphic xmlns:a="http://schemas.openxmlformats.org/drawingml/2006/main">
                  <a:graphicData uri="http://schemas.microsoft.com/office/word/2010/wordprocessingShape">
                    <wps:wsp>
                      <wps:cNvSpPr/>
                      <wps:spPr>
                        <a:xfrm>
                          <a:off x="0" y="0"/>
                          <a:ext cx="886460" cy="323850"/>
                        </a:xfrm>
                        <a:prstGeom prst="wedgeRectCallout">
                          <a:avLst>
                            <a:gd name="adj1" fmla="val -136676"/>
                            <a:gd name="adj2" fmla="val 94313"/>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DF3C2EC">
                            <w:pPr>
                              <w:snapToGrid w:val="0"/>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7.1pt;margin-top:89.1pt;height:25.5pt;width:69.8pt;z-index:251769856;v-text-anchor:middle;mso-width-relative:page;mso-height-relative:page;" fillcolor="#4472C4 [3204]" filled="t" stroked="t" coordsize="21600,21600" o:gfxdata="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YVgH39kA&#10;AAALAQAADwAAAAAAAAABACAAAAAiAAAAZHJzL2Rvd25yZXYueG1sUEsBAhQAFAAAAAgAh07iQGyd&#10;b2TJAgAAiQUAAA4AAAAAAAAAAQAgAAAAKAEAAGRycy9lMm9Eb2MueG1sUEsFBgAAAAAGAAYAWQEA&#10;AGMGAAAAAA==&#10;" adj="-18722,31172">
                <v:fill on="t" focussize="0,0"/>
                <v:stroke weight="1pt" color="#2F5597 [2404]" miterlimit="8" joinstyle="miter"/>
                <v:imagedata o:title=""/>
                <o:lock v:ext="edit" aspectratio="f"/>
                <v:textbox>
                  <w:txbxContent>
                    <w:p w14:paraId="6DF3C2EC">
                      <w:pPr>
                        <w:snapToGrid w:val="0"/>
                        <w:jc w:val="center"/>
                      </w:pPr>
                      <w:r>
                        <w:rPr>
                          <w:rFonts w:hint="eastAsia"/>
                        </w:rPr>
                        <w:t>项目位置</w:t>
                      </w:r>
                    </w:p>
                  </w:txbxContent>
                </v:textbox>
              </v:shape>
            </w:pict>
          </mc:Fallback>
        </mc:AlternateContent>
      </w:r>
      <w:r>
        <w:rPr>
          <w:highlight w:val="none"/>
        </w:rPr>
        <w:drawing>
          <wp:anchor distT="0" distB="0" distL="114300" distR="114300" simplePos="0" relativeHeight="251768832" behindDoc="0" locked="0" layoutInCell="1" allowOverlap="1">
            <wp:simplePos x="0" y="0"/>
            <wp:positionH relativeFrom="column">
              <wp:posOffset>1126490</wp:posOffset>
            </wp:positionH>
            <wp:positionV relativeFrom="paragraph">
              <wp:posOffset>1009015</wp:posOffset>
            </wp:positionV>
            <wp:extent cx="1391285" cy="1086485"/>
            <wp:effectExtent l="9525" t="9525" r="27940" b="27940"/>
            <wp:wrapNone/>
            <wp:docPr id="1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5"/>
                    <pic:cNvPicPr>
                      <a:picLocks noChangeAspect="1"/>
                    </pic:cNvPicPr>
                  </pic:nvPicPr>
                  <pic:blipFill>
                    <a:blip r:embed="rId68"/>
                    <a:stretch>
                      <a:fillRect/>
                    </a:stretch>
                  </pic:blipFill>
                  <pic:spPr>
                    <a:xfrm>
                      <a:off x="0" y="0"/>
                      <a:ext cx="1391285" cy="1086485"/>
                    </a:xfrm>
                    <a:prstGeom prst="rect">
                      <a:avLst/>
                    </a:prstGeom>
                    <a:noFill/>
                    <a:ln>
                      <a:solidFill>
                        <a:schemeClr val="tx1"/>
                      </a:solidFill>
                    </a:ln>
                  </pic:spPr>
                </pic:pic>
              </a:graphicData>
            </a:graphic>
          </wp:anchor>
        </w:drawing>
      </w:r>
      <w:r>
        <w:rPr>
          <w:sz w:val="21"/>
          <w:highlight w:val="none"/>
        </w:rPr>
        <mc:AlternateContent>
          <mc:Choice Requires="wps">
            <w:drawing>
              <wp:anchor distT="0" distB="0" distL="114300" distR="114300" simplePos="0" relativeHeight="251767808" behindDoc="0" locked="0" layoutInCell="1" allowOverlap="1">
                <wp:simplePos x="0" y="0"/>
                <wp:positionH relativeFrom="column">
                  <wp:posOffset>2552065</wp:posOffset>
                </wp:positionH>
                <wp:positionV relativeFrom="paragraph">
                  <wp:posOffset>2164080</wp:posOffset>
                </wp:positionV>
                <wp:extent cx="3543300" cy="1939925"/>
                <wp:effectExtent l="0" t="4445" r="19050" b="17780"/>
                <wp:wrapNone/>
                <wp:docPr id="114" name="直接箭头连接符 114"/>
                <wp:cNvGraphicFramePr/>
                <a:graphic xmlns:a="http://schemas.openxmlformats.org/drawingml/2006/main">
                  <a:graphicData uri="http://schemas.microsoft.com/office/word/2010/wordprocessingShape">
                    <wps:wsp>
                      <wps:cNvCnPr/>
                      <wps:spPr>
                        <a:xfrm flipH="1" flipV="1">
                          <a:off x="0" y="0"/>
                          <a:ext cx="3543300" cy="1939925"/>
                        </a:xfrm>
                        <a:prstGeom prst="straightConnector1">
                          <a:avLst/>
                        </a:prstGeom>
                        <a:ln w="38100">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00.95pt;margin-top:170.4pt;height:152.75pt;width:279pt;z-index:251767808;mso-width-relative:page;mso-height-relative:page;" filled="f" stroked="t" coordsize="21600,21600" o:gfxdata="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rUOSPdoAAAAL&#10;AQAADwAAAAAAAAABACAAAAAiAAAAZHJzL2Rvd25yZXYueG1sUEsBAhQAFAAAAAgAh07iQBkQZVQa&#10;AgAA/QMAAA4AAAAAAAAAAQAgAAAAKQEAAGRycy9lMm9Eb2MueG1sUEsFBgAAAAAGAAYAWQEAALUF&#10;AAAAAA==&#10;">
                <v:fill on="f" focussize="0,0"/>
                <v:stroke weight="3pt" color="#FF0000 [3204]" miterlimit="8" joinstyle="miter" endarrow="open"/>
                <v:imagedata o:title=""/>
                <o:lock v:ext="edit" aspectratio="f"/>
              </v:shape>
            </w:pict>
          </mc:Fallback>
        </mc:AlternateContent>
      </w:r>
      <w:r>
        <w:rPr>
          <w:highlight w:val="none"/>
        </w:rPr>
        <w:drawing>
          <wp:inline distT="0" distB="0" distL="114300" distR="114300">
            <wp:extent cx="7648575" cy="5162550"/>
            <wp:effectExtent l="0" t="0" r="9525" b="0"/>
            <wp:docPr id="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4"/>
                    <pic:cNvPicPr>
                      <a:picLocks noChangeAspect="1"/>
                    </pic:cNvPicPr>
                  </pic:nvPicPr>
                  <pic:blipFill>
                    <a:blip r:embed="rId69"/>
                    <a:stretch>
                      <a:fillRect/>
                    </a:stretch>
                  </pic:blipFill>
                  <pic:spPr>
                    <a:xfrm>
                      <a:off x="0" y="0"/>
                      <a:ext cx="7648575" cy="5162550"/>
                    </a:xfrm>
                    <a:prstGeom prst="rect">
                      <a:avLst/>
                    </a:prstGeom>
                    <a:noFill/>
                    <a:ln>
                      <a:noFill/>
                    </a:ln>
                  </pic:spPr>
                </pic:pic>
              </a:graphicData>
            </a:graphic>
          </wp:inline>
        </w:drawing>
      </w:r>
    </w:p>
    <w:p w14:paraId="6C0F3EA5">
      <w:pPr>
        <w:jc w:val="center"/>
        <w:rPr>
          <w:rFonts w:hint="eastAsia" w:ascii="Times New Roman" w:hAnsi="Times New Roman" w:eastAsia="黑体" w:cs="Times New Roman"/>
          <w:spacing w:val="-4"/>
          <w:sz w:val="24"/>
          <w:highlight w:val="none"/>
          <w:lang w:eastAsia="zh-CN"/>
        </w:rPr>
      </w:pPr>
      <w:r>
        <w:rPr>
          <w:rFonts w:hint="eastAsia" w:ascii="Times New Roman" w:hAnsi="Times New Roman" w:eastAsia="黑体" w:cs="Times New Roman"/>
          <w:spacing w:val="-4"/>
          <w:sz w:val="24"/>
          <w:highlight w:val="none"/>
          <w:lang w:eastAsia="zh-CN"/>
        </w:rPr>
        <w:t>附图</w:t>
      </w:r>
      <w:r>
        <w:rPr>
          <w:rFonts w:hint="eastAsia" w:eastAsia="黑体" w:cs="Times New Roman"/>
          <w:spacing w:val="-4"/>
          <w:sz w:val="24"/>
          <w:highlight w:val="none"/>
          <w:lang w:val="en-US" w:eastAsia="zh-CN"/>
        </w:rPr>
        <w:t>8</w:t>
      </w:r>
      <w:r>
        <w:rPr>
          <w:rFonts w:hint="eastAsia" w:ascii="Times New Roman" w:hAnsi="Times New Roman" w:eastAsia="黑体" w:cs="Times New Roman"/>
          <w:spacing w:val="-4"/>
          <w:sz w:val="24"/>
          <w:highlight w:val="none"/>
          <w:lang w:eastAsia="zh-CN"/>
        </w:rPr>
        <w:t xml:space="preserve">  项目与</w:t>
      </w:r>
      <w:r>
        <w:rPr>
          <w:rFonts w:hint="eastAsia" w:eastAsia="黑体" w:cs="Times New Roman"/>
          <w:spacing w:val="-4"/>
          <w:sz w:val="24"/>
          <w:highlight w:val="none"/>
          <w:lang w:eastAsia="zh-CN"/>
        </w:rPr>
        <w:t>《</w:t>
      </w:r>
      <w:r>
        <w:rPr>
          <w:rFonts w:hint="eastAsia" w:ascii="Times New Roman" w:hAnsi="Times New Roman" w:eastAsia="黑体" w:cs="Times New Roman"/>
          <w:spacing w:val="-4"/>
          <w:sz w:val="24"/>
          <w:highlight w:val="none"/>
          <w:lang w:eastAsia="zh-CN"/>
        </w:rPr>
        <w:t>凤凰镇梧台工业集聚区总体发展规划</w:t>
      </w:r>
      <w:r>
        <w:rPr>
          <w:rFonts w:hint="eastAsia" w:eastAsia="黑体" w:cs="Times New Roman"/>
          <w:spacing w:val="-4"/>
          <w:sz w:val="24"/>
          <w:highlight w:val="none"/>
          <w:lang w:eastAsia="zh-CN"/>
        </w:rPr>
        <w:t>（</w:t>
      </w:r>
      <w:r>
        <w:rPr>
          <w:rFonts w:hint="eastAsia" w:ascii="Times New Roman" w:hAnsi="Times New Roman" w:eastAsia="黑体" w:cs="Times New Roman"/>
          <w:spacing w:val="-4"/>
          <w:sz w:val="24"/>
          <w:highlight w:val="none"/>
          <w:lang w:eastAsia="zh-CN"/>
        </w:rPr>
        <w:t>2024年-2035年</w:t>
      </w:r>
      <w:r>
        <w:rPr>
          <w:rFonts w:hint="eastAsia" w:eastAsia="黑体" w:cs="Times New Roman"/>
          <w:spacing w:val="-4"/>
          <w:sz w:val="24"/>
          <w:highlight w:val="none"/>
          <w:lang w:eastAsia="zh-CN"/>
        </w:rPr>
        <w:t>）</w:t>
      </w:r>
      <w:r>
        <w:rPr>
          <w:rFonts w:hint="eastAsia" w:eastAsia="黑体" w:cs="Times New Roman"/>
          <w:spacing w:val="-4"/>
          <w:sz w:val="24"/>
          <w:highlight w:val="none"/>
          <w:lang w:val="en-US" w:eastAsia="zh-CN"/>
        </w:rPr>
        <w:t>-土地使用规划图</w:t>
      </w:r>
      <w:r>
        <w:rPr>
          <w:rFonts w:hint="eastAsia" w:eastAsia="黑体" w:cs="Times New Roman"/>
          <w:spacing w:val="-4"/>
          <w:sz w:val="24"/>
          <w:highlight w:val="none"/>
          <w:lang w:eastAsia="zh-CN"/>
        </w:rPr>
        <w:t>》</w:t>
      </w:r>
      <w:r>
        <w:rPr>
          <w:rFonts w:hint="eastAsia" w:ascii="Times New Roman" w:hAnsi="Times New Roman" w:eastAsia="黑体" w:cs="Times New Roman"/>
          <w:spacing w:val="-4"/>
          <w:sz w:val="24"/>
          <w:highlight w:val="none"/>
          <w:lang w:eastAsia="zh-CN"/>
        </w:rPr>
        <w:t>位置关系</w:t>
      </w:r>
    </w:p>
    <w:p w14:paraId="6DAEB7A7">
      <w:pPr>
        <w:jc w:val="center"/>
        <w:rPr>
          <w:rFonts w:hint="eastAsia" w:ascii="Times New Roman" w:hAnsi="Times New Roman" w:eastAsia="黑体" w:cs="Times New Roman"/>
          <w:spacing w:val="-4"/>
          <w:sz w:val="24"/>
          <w:highlight w:val="none"/>
          <w:lang w:eastAsia="zh-CN"/>
        </w:rPr>
      </w:pPr>
      <w:r>
        <w:rPr>
          <w:rFonts w:hint="default" w:ascii="Times New Roman" w:hAnsi="Times New Roman" w:cs="Times New Roman"/>
          <w:highlight w:val="none"/>
        </w:rPr>
        <mc:AlternateContent>
          <mc:Choice Requires="wps">
            <w:drawing>
              <wp:anchor distT="0" distB="0" distL="114300" distR="114300" simplePos="0" relativeHeight="251765760" behindDoc="0" locked="0" layoutInCell="1" allowOverlap="1">
                <wp:simplePos x="0" y="0"/>
                <wp:positionH relativeFrom="column">
                  <wp:posOffset>2192020</wp:posOffset>
                </wp:positionH>
                <wp:positionV relativeFrom="paragraph">
                  <wp:posOffset>1064895</wp:posOffset>
                </wp:positionV>
                <wp:extent cx="886460" cy="323850"/>
                <wp:effectExtent l="817880" t="6350" r="10160" b="165100"/>
                <wp:wrapNone/>
                <wp:docPr id="112" name="矩形标注 112"/>
                <wp:cNvGraphicFramePr/>
                <a:graphic xmlns:a="http://schemas.openxmlformats.org/drawingml/2006/main">
                  <a:graphicData uri="http://schemas.microsoft.com/office/word/2010/wordprocessingShape">
                    <wps:wsp>
                      <wps:cNvSpPr/>
                      <wps:spPr>
                        <a:xfrm>
                          <a:off x="0" y="0"/>
                          <a:ext cx="886460" cy="323850"/>
                        </a:xfrm>
                        <a:prstGeom prst="wedgeRectCallout">
                          <a:avLst>
                            <a:gd name="adj1" fmla="val -136676"/>
                            <a:gd name="adj2" fmla="val 94313"/>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F5E1131">
                            <w:pPr>
                              <w:snapToGrid w:val="0"/>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2.6pt;margin-top:83.85pt;height:25.5pt;width:69.8pt;z-index:251765760;v-text-anchor:middle;mso-width-relative:page;mso-height-relative:page;" fillcolor="#4472C4 [3204]" filled="t" stroked="t" coordsize="21600,21600" o:gfxdata="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6JJZP2QAA&#10;AAsBAAAPAAAAAAAAAAEAIAAAACIAAABkcnMvZG93bnJldi54bWxQSwECFAAUAAAACACHTuJAeLun&#10;+sgCAACJBQAADgAAAAAAAAABACAAAAAoAQAAZHJzL2Uyb0RvYy54bWxQSwUGAAAAAAYABgBZAQAA&#10;YgYAAAAA&#10;" adj="-18722,31172">
                <v:fill on="t" focussize="0,0"/>
                <v:stroke weight="1pt" color="#2F5597 [2404]" miterlimit="8" joinstyle="miter"/>
                <v:imagedata o:title=""/>
                <o:lock v:ext="edit" aspectratio="f"/>
                <v:textbox>
                  <w:txbxContent>
                    <w:p w14:paraId="0F5E1131">
                      <w:pPr>
                        <w:snapToGrid w:val="0"/>
                        <w:jc w:val="center"/>
                      </w:pPr>
                      <w:r>
                        <w:rPr>
                          <w:rFonts w:hint="eastAsia"/>
                        </w:rPr>
                        <w:t>项目位置</w:t>
                      </w:r>
                    </w:p>
                  </w:txbxContent>
                </v:textbox>
              </v:shape>
            </w:pict>
          </mc:Fallback>
        </mc:AlternateContent>
      </w:r>
      <w:r>
        <w:rPr>
          <w:sz w:val="21"/>
          <w:highlight w:val="none"/>
        </w:rPr>
        <mc:AlternateContent>
          <mc:Choice Requires="wps">
            <w:drawing>
              <wp:anchor distT="0" distB="0" distL="114300" distR="114300" simplePos="0" relativeHeight="251766784" behindDoc="0" locked="0" layoutInCell="1" allowOverlap="1">
                <wp:simplePos x="0" y="0"/>
                <wp:positionH relativeFrom="column">
                  <wp:posOffset>1325880</wp:posOffset>
                </wp:positionH>
                <wp:positionV relativeFrom="paragraph">
                  <wp:posOffset>1452880</wp:posOffset>
                </wp:positionV>
                <wp:extent cx="85725" cy="123825"/>
                <wp:effectExtent l="6350" t="6350" r="22225" b="22225"/>
                <wp:wrapNone/>
                <wp:docPr id="111" name="矩形 111"/>
                <wp:cNvGraphicFramePr/>
                <a:graphic xmlns:a="http://schemas.openxmlformats.org/drawingml/2006/main">
                  <a:graphicData uri="http://schemas.microsoft.com/office/word/2010/wordprocessingShape">
                    <wps:wsp>
                      <wps:cNvSpPr/>
                      <wps:spPr>
                        <a:xfrm flipH="1">
                          <a:off x="0" y="0"/>
                          <a:ext cx="85725" cy="12382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104.4pt;margin-top:114.4pt;height:9.75pt;width:6.75pt;z-index:251766784;v-text-anchor:middle;mso-width-relative:page;mso-height-relative:page;" filled="f" stroked="t" coordsize="21600,21600" o:gfxdata="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BAX79cAAAALAQAADwAAAAAAAAABACAAAAAiAAAAZHJzL2Rvd25yZXYu&#10;eG1sUEsBAhQAFAAAAAgAh07iQCOipm5uAgAA1wQAAA4AAAAAAAAAAQAgAAAAJgEAAGRycy9lMm9E&#10;b2MueG1sUEsFBgAAAAAGAAYAWQEAAAYGAAAAAA==&#10;">
                <v:fill on="f" focussize="0,0"/>
                <v:stroke weight="1pt" color="#FF0000 [2404]"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764736" behindDoc="0" locked="0" layoutInCell="1" allowOverlap="1">
                <wp:simplePos x="0" y="0"/>
                <wp:positionH relativeFrom="column">
                  <wp:posOffset>2085340</wp:posOffset>
                </wp:positionH>
                <wp:positionV relativeFrom="paragraph">
                  <wp:posOffset>1941830</wp:posOffset>
                </wp:positionV>
                <wp:extent cx="2238375" cy="1695450"/>
                <wp:effectExtent l="0" t="0" r="28575" b="19050"/>
                <wp:wrapNone/>
                <wp:docPr id="110" name="直接箭头连接符 110"/>
                <wp:cNvGraphicFramePr/>
                <a:graphic xmlns:a="http://schemas.openxmlformats.org/drawingml/2006/main">
                  <a:graphicData uri="http://schemas.microsoft.com/office/word/2010/wordprocessingShape">
                    <wps:wsp>
                      <wps:cNvCnPr/>
                      <wps:spPr>
                        <a:xfrm flipH="1" flipV="1">
                          <a:off x="2999740" y="2625725"/>
                          <a:ext cx="2238375" cy="1695450"/>
                        </a:xfrm>
                        <a:prstGeom prst="straightConnector1">
                          <a:avLst/>
                        </a:prstGeom>
                        <a:ln w="38100">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64.2pt;margin-top:152.9pt;height:133.5pt;width:176.25pt;z-index:251764736;mso-width-relative:page;mso-height-relative:page;" filled="f" stroked="t" coordsize="21600,21600" o:gfxdata="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L+IvLdsAAAALAQAADwAAAAAAAAABACAAAAAiAAAAZHJzL2Rvd25yZXYueG1sUEsBAhQA&#10;FAAAAAgAh07iQDdzwPQoAgAACQQAAA4AAAAAAAAAAQAgAAAAKgEAAGRycy9lMm9Eb2MueG1sUEsF&#10;BgAAAAAGAAYAWQEAAMQFAAAAAA==&#10;">
                <v:fill on="f" focussize="0,0"/>
                <v:stroke weight="3pt" color="#FF0000 [3204]" miterlimit="8" joinstyle="miter" endarrow="open"/>
                <v:imagedata o:title=""/>
                <o:lock v:ext="edit" aspectratio="f"/>
              </v:shape>
            </w:pict>
          </mc:Fallback>
        </mc:AlternateContent>
      </w:r>
      <w:r>
        <w:rPr>
          <w:highlight w:val="none"/>
        </w:rPr>
        <w:drawing>
          <wp:anchor distT="0" distB="0" distL="114300" distR="114300" simplePos="0" relativeHeight="251763712" behindDoc="0" locked="0" layoutInCell="1" allowOverlap="1">
            <wp:simplePos x="0" y="0"/>
            <wp:positionH relativeFrom="column">
              <wp:posOffset>765175</wp:posOffset>
            </wp:positionH>
            <wp:positionV relativeFrom="paragraph">
              <wp:posOffset>1028065</wp:posOffset>
            </wp:positionV>
            <wp:extent cx="1233805" cy="876935"/>
            <wp:effectExtent l="9525" t="9525" r="13970" b="27940"/>
            <wp:wrapNone/>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70"/>
                    <a:stretch>
                      <a:fillRect/>
                    </a:stretch>
                  </pic:blipFill>
                  <pic:spPr>
                    <a:xfrm>
                      <a:off x="0" y="0"/>
                      <a:ext cx="1233805" cy="876935"/>
                    </a:xfrm>
                    <a:prstGeom prst="rect">
                      <a:avLst/>
                    </a:prstGeom>
                    <a:noFill/>
                    <a:ln>
                      <a:solidFill>
                        <a:schemeClr val="tx1"/>
                      </a:solidFill>
                    </a:ln>
                  </pic:spPr>
                </pic:pic>
              </a:graphicData>
            </a:graphic>
          </wp:anchor>
        </w:drawing>
      </w:r>
      <w:r>
        <w:rPr>
          <w:rFonts w:hint="eastAsia" w:ascii="Times New Roman" w:hAnsi="Times New Roman" w:eastAsia="黑体" w:cs="Times New Roman"/>
          <w:spacing w:val="-4"/>
          <w:sz w:val="24"/>
          <w:highlight w:val="none"/>
          <w:lang w:eastAsia="zh-CN"/>
        </w:rPr>
        <w:drawing>
          <wp:inline distT="0" distB="0" distL="114300" distR="114300">
            <wp:extent cx="8506460" cy="5930265"/>
            <wp:effectExtent l="0" t="0" r="8890" b="13335"/>
            <wp:docPr id="49" name="图片 49" descr="954f01ebe03e188953920b6da413d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54f01ebe03e188953920b6da413d043"/>
                    <pic:cNvPicPr>
                      <a:picLocks noChangeAspect="1"/>
                    </pic:cNvPicPr>
                  </pic:nvPicPr>
                  <pic:blipFill>
                    <a:blip r:embed="rId71"/>
                    <a:stretch>
                      <a:fillRect/>
                    </a:stretch>
                  </pic:blipFill>
                  <pic:spPr>
                    <a:xfrm>
                      <a:off x="0" y="0"/>
                      <a:ext cx="8506460" cy="5930265"/>
                    </a:xfrm>
                    <a:prstGeom prst="rect">
                      <a:avLst/>
                    </a:prstGeom>
                  </pic:spPr>
                </pic:pic>
              </a:graphicData>
            </a:graphic>
          </wp:inline>
        </w:drawing>
      </w:r>
    </w:p>
    <w:p w14:paraId="0C2771F9">
      <w:pPr>
        <w:jc w:val="center"/>
        <w:rPr>
          <w:rFonts w:hint="eastAsia" w:ascii="Times New Roman" w:hAnsi="Times New Roman" w:eastAsia="黑体" w:cs="Times New Roman"/>
          <w:spacing w:val="-4"/>
          <w:sz w:val="24"/>
          <w:highlight w:val="none"/>
          <w:lang w:eastAsia="zh-CN"/>
        </w:rPr>
      </w:pPr>
      <w:r>
        <w:rPr>
          <w:rFonts w:hint="eastAsia" w:ascii="Times New Roman" w:hAnsi="Times New Roman" w:eastAsia="黑体" w:cs="Times New Roman"/>
          <w:spacing w:val="-4"/>
          <w:sz w:val="24"/>
          <w:highlight w:val="none"/>
          <w:lang w:eastAsia="zh-CN"/>
        </w:rPr>
        <w:t>附图</w:t>
      </w:r>
      <w:r>
        <w:rPr>
          <w:rFonts w:hint="eastAsia" w:eastAsia="黑体" w:cs="Times New Roman"/>
          <w:spacing w:val="-4"/>
          <w:sz w:val="24"/>
          <w:highlight w:val="none"/>
          <w:lang w:val="en-US" w:eastAsia="zh-CN"/>
        </w:rPr>
        <w:t>9</w:t>
      </w:r>
      <w:r>
        <w:rPr>
          <w:rFonts w:hint="eastAsia" w:ascii="Times New Roman" w:hAnsi="Times New Roman" w:eastAsia="黑体" w:cs="Times New Roman"/>
          <w:spacing w:val="-4"/>
          <w:sz w:val="24"/>
          <w:highlight w:val="none"/>
          <w:lang w:eastAsia="zh-CN"/>
        </w:rPr>
        <w:t xml:space="preserve"> 项目与凤凰镇梧台工业集聚区区域图位置关系</w:t>
      </w:r>
    </w:p>
    <w:sectPr>
      <w:pgSz w:w="16840" w:h="11907" w:orient="landscape"/>
      <w:pgMar w:top="1077" w:right="1440" w:bottom="1077" w:left="1440" w:header="851" w:footer="851"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Noto Sans CJK JP Regular">
    <w:altName w:val="Arial"/>
    <w:panose1 w:val="00000000000000000000"/>
    <w:charset w:val="00"/>
    <w:family w:val="auto"/>
    <w:pitch w:val="default"/>
    <w:sig w:usb0="00000000" w:usb1="00000000" w:usb2="00000000" w:usb3="00000000" w:csb0="00040001" w:csb1="00000000"/>
  </w:font>
  <w:font w:name="新宋体">
    <w:panose1 w:val="02010609030101010101"/>
    <w:charset w:val="86"/>
    <w:family w:val="modern"/>
    <w:pitch w:val="default"/>
    <w:sig w:usb0="00000203" w:usb1="288F0000" w:usb2="00000006" w:usb3="00000000" w:csb0="00040001" w:csb1="00000000"/>
  </w:font>
  <w:font w:name="仿宋_GB2312">
    <w:panose1 w:val="02010609030101010101"/>
    <w:charset w:val="86"/>
    <w:family w:val="modern"/>
    <w:pitch w:val="default"/>
    <w:sig w:usb0="00000001" w:usb1="080E0000" w:usb2="00000000" w:usb3="00000000" w:csb0="00040000" w:csb1="00000000"/>
  </w:font>
  <w:font w:name="TimesNewRomanPS-BoldMT">
    <w:altName w:val="Times New Roman"/>
    <w:panose1 w:val="00000000000000000000"/>
    <w:charset w:val="00"/>
    <w:family w:val="auto"/>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FangSong_GB2312">
    <w:altName w:val="仿宋_GB2312"/>
    <w:panose1 w:val="02010609030101010101"/>
    <w:charset w:val="86"/>
    <w:family w:val="modern"/>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方正小标宋简体">
    <w:panose1 w:val="02010601030101010101"/>
    <w:charset w:val="86"/>
    <w:family w:val="script"/>
    <w:pitch w:val="default"/>
    <w:sig w:usb0="00000001" w:usb1="080E0000" w:usb2="00000000" w:usb3="00000000" w:csb0="0004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7D7E13">
    <w:pPr>
      <w:pStyle w:val="29"/>
      <w:framePr w:wrap="around" w:vAnchor="text" w:hAnchor="margin" w:xAlign="center" w:y="1"/>
      <w:rPr>
        <w:rStyle w:val="52"/>
      </w:rPr>
    </w:pPr>
    <w:r>
      <w:fldChar w:fldCharType="begin"/>
    </w:r>
    <w:r>
      <w:rPr>
        <w:rStyle w:val="52"/>
      </w:rPr>
      <w:instrText xml:space="preserve">PAGE  </w:instrText>
    </w:r>
    <w:r>
      <w:fldChar w:fldCharType="end"/>
    </w:r>
  </w:p>
  <w:p w14:paraId="415A6D34">
    <w:pPr>
      <w:pStyle w:val="29"/>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FCB787">
    <w:pPr>
      <w:pStyle w:val="29"/>
    </w:pPr>
    <w:r>
      <mc:AlternateContent>
        <mc:Choice Requires="wps">
          <w:drawing>
            <wp:anchor distT="0" distB="0" distL="114300" distR="114300" simplePos="0" relativeHeight="251705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254FE3">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89</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5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3VycE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A3VycEtAgAAVwQAAA4AAAAAAAAAAQAgAAAAHwEAAGRycy9lMm9Eb2MueG1sUEsFBgAAAAAG&#10;AAYAWQEAAL4FAAAAAA==&#10;">
              <v:fill on="f" focussize="0,0"/>
              <v:stroke on="f" weight="0.5pt"/>
              <v:imagedata o:title=""/>
              <o:lock v:ext="edit" aspectratio="f"/>
              <v:textbox inset="0mm,0mm,0mm,0mm" style="mso-fit-shape-to-text:t;">
                <w:txbxContent>
                  <w:p w14:paraId="05254FE3">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89</w:t>
                    </w:r>
                    <w:r>
                      <w:rPr>
                        <w:sz w:val="24"/>
                        <w:szCs w:val="24"/>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C9B79">
    <w:pPr>
      <w:spacing w:line="165" w:lineRule="auto"/>
      <w:ind w:left="4422"/>
      <w:rPr>
        <w:rFonts w:hint="eastAsia" w:ascii="宋体" w:hAnsi="宋体" w:cs="宋体"/>
        <w:sz w:val="28"/>
        <w:szCs w:val="28"/>
      </w:rPr>
    </w:pPr>
    <w:r>
      <w:rPr>
        <w:sz w:val="28"/>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250362">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91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g11ktAgAAV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Lg11ktAgAAVwQAAA4AAAAAAAAAAQAgAAAAHwEAAGRycy9lMm9Eb2MueG1sUEsFBgAAAAAG&#10;AAYAWQEAAL4FAAAAAA==&#10;">
              <v:fill on="f" focussize="0,0"/>
              <v:stroke on="f" weight="0.5pt"/>
              <v:imagedata o:title=""/>
              <o:lock v:ext="edit" aspectratio="f"/>
              <v:textbox inset="0mm,0mm,0mm,0mm" style="mso-fit-shape-to-text:t;">
                <w:txbxContent>
                  <w:p w14:paraId="72250362">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91</w:t>
                    </w:r>
                    <w:r>
                      <w:rPr>
                        <w:sz w:val="24"/>
                        <w:szCs w:val="24"/>
                      </w:rPr>
                      <w:fldChar w:fldCharType="end"/>
                    </w:r>
                  </w:p>
                </w:txbxContent>
              </v:textbox>
            </v:shape>
          </w:pict>
        </mc:Fallback>
      </mc:AlternateContent>
    </w:r>
    <w:r>
      <w:rPr>
        <w:rFonts w:ascii="宋体" w:hAnsi="宋体" w:cs="宋体"/>
        <w:spacing w:val="75"/>
        <w:sz w:val="28"/>
        <w:szCs w:val="28"/>
      </w:rPr>
      <w:t xml:space="preserve"> </w:t>
    </w:r>
    <w:r>
      <w:rPr>
        <w:rFonts w:ascii="宋体" w:hAnsi="宋体" w:cs="宋体"/>
        <w:spacing w:val="85"/>
        <w:sz w:val="25"/>
        <w:szCs w:val="25"/>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7ECE4">
    <w:pPr>
      <w:pStyle w:val="29"/>
      <w:jc w:val="center"/>
    </w:pPr>
    <w:r>
      <mc:AlternateContent>
        <mc:Choice Requires="wps">
          <w:drawing>
            <wp:anchor distT="0" distB="0" distL="114300" distR="114300" simplePos="0" relativeHeight="251698176" behindDoc="0" locked="0" layoutInCell="1" allowOverlap="1">
              <wp:simplePos x="0" y="0"/>
              <wp:positionH relativeFrom="margin">
                <wp:posOffset>3035300</wp:posOffset>
              </wp:positionH>
              <wp:positionV relativeFrom="paragraph">
                <wp:posOffset>-125095</wp:posOffset>
              </wp:positionV>
              <wp:extent cx="381000" cy="967740"/>
              <wp:effectExtent l="0" t="0" r="0" b="3810"/>
              <wp:wrapNone/>
              <wp:docPr id="34" name="文本框 34"/>
              <wp:cNvGraphicFramePr/>
              <a:graphic xmlns:a="http://schemas.openxmlformats.org/drawingml/2006/main">
                <a:graphicData uri="http://schemas.microsoft.com/office/word/2010/wordprocessingShape">
                  <wps:wsp>
                    <wps:cNvSpPr txBox="1"/>
                    <wps:spPr>
                      <a:xfrm>
                        <a:off x="0" y="0"/>
                        <a:ext cx="381000" cy="967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244446119"/>
                          </w:sdtPr>
                          <w:sdtContent>
                            <w:p w14:paraId="19727996">
                              <w:pPr>
                                <w:pStyle w:val="29"/>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55</w:t>
                              </w:r>
                              <w:r>
                                <w:rPr>
                                  <w:sz w:val="24"/>
                                  <w:szCs w:val="24"/>
                                </w:rPr>
                                <w:fldChar w:fldCharType="end"/>
                              </w:r>
                            </w:p>
                          </w:sdtContent>
                        </w:sdt>
                        <w:p w14:paraId="57AF3BD8">
                          <w:pPr>
                            <w:pStyle w:val="4"/>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39pt;margin-top:-9.85pt;height:76.2pt;width:30pt;mso-position-horizontal-relative:margin;z-index:251698176;mso-width-relative:page;mso-height-relative:page;" filled="f" stroked="f" coordsize="21600,21600" o:gfxdata="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HVdKNkAAAALAQAADwAAAAAAAAABACAAAAAiAAAAZHJzL2Rvd25yZXYu&#10;eG1sUEsBAhQAFAAAAAgAh07iQNjrw7wzAgAAVwQAAA4AAAAAAAAAAQAgAAAAKAEAAGRycy9lMm9E&#10;b2MueG1sUEsFBgAAAAAGAAYAWQEAAM0FAAAAAA==&#10;">
              <v:fill on="f" focussize="0,0"/>
              <v:stroke on="f" weight="0.5pt"/>
              <v:imagedata o:title=""/>
              <o:lock v:ext="edit" aspectratio="f"/>
              <v:textbox inset="0mm,0mm,0mm,0mm">
                <w:txbxContent>
                  <w:sdt>
                    <w:sdtPr>
                      <w:id w:val="1244446119"/>
                    </w:sdtPr>
                    <w:sdtContent>
                      <w:p w14:paraId="19727996">
                        <w:pPr>
                          <w:pStyle w:val="29"/>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55</w:t>
                        </w:r>
                        <w:r>
                          <w:rPr>
                            <w:sz w:val="24"/>
                            <w:szCs w:val="24"/>
                          </w:rPr>
                          <w:fldChar w:fldCharType="end"/>
                        </w:r>
                      </w:p>
                    </w:sdtContent>
                  </w:sdt>
                  <w:p w14:paraId="57AF3BD8">
                    <w:pPr>
                      <w:pStyle w:val="4"/>
                    </w:pPr>
                  </w:p>
                </w:txbxContent>
              </v:textbox>
            </v:shape>
          </w:pict>
        </mc:Fallback>
      </mc:AlternateContent>
    </w:r>
  </w:p>
  <w:p w14:paraId="3BF7C816">
    <w:pPr>
      <w:pStyle w:val="29"/>
      <w:tabs>
        <w:tab w:val="left" w:pos="6920"/>
        <w:tab w:val="clear" w:pos="4153"/>
        <w:tab w:val="clear" w:pos="8306"/>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90550">
    <w:pPr>
      <w:pStyle w:val="29"/>
      <w:ind w:right="360" w:firstLine="360"/>
      <w:jc w:val="center"/>
    </w:pPr>
    <w: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D816D4A">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60</w:t>
                          </w:r>
                          <w:r>
                            <w:rPr>
                              <w:sz w:val="24"/>
                              <w:szCs w:val="24"/>
                            </w:rPr>
                            <w:fldChar w:fldCharType="end"/>
                          </w:r>
                        </w:p>
                      </w:txbxContent>
                    </wps:txbx>
                    <wps:bodyPr wrap="none" lIns="0" tIns="0" rIns="0" bIns="0" upright="1">
                      <a:spAutoFit/>
                    </wps:bodyPr>
                  </wps:wsp>
                </a:graphicData>
              </a:graphic>
            </wp:anchor>
          </w:drawing>
        </mc:Choice>
        <mc:Fallback>
          <w:pict>
            <v:shape id="文本框 4103"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qXm5zwAAAAUBAAAPAAAAAAAAAAEAIAAAACIAAABkcnMvZG93&#10;bnJldi54bWxQSwECFAAUAAAACACHTuJAjgmP9NABAACrAwAADgAAAAAAAAABACAAAAAeAQAAZHJz&#10;L2Uyb0RvYy54bWxQSwUGAAAAAAYABgBZAQAAYAUAAAAA&#10;">
              <v:fill on="f" focussize="0,0"/>
              <v:stroke on="f"/>
              <v:imagedata o:title=""/>
              <o:lock v:ext="edit" aspectratio="f"/>
              <v:textbox inset="0mm,0mm,0mm,0mm" style="mso-fit-shape-to-text:t;">
                <w:txbxContent>
                  <w:p w14:paraId="6D816D4A">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60</w:t>
                    </w:r>
                    <w:r>
                      <w:rPr>
                        <w:sz w:val="24"/>
                        <w:szCs w:val="24"/>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30B0D5">
    <w:pPr>
      <w:pStyle w:val="29"/>
      <w:ind w:right="360" w:firstLine="360"/>
      <w:jc w:val="center"/>
    </w:pPr>
    <w: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0FBD19E">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61</w:t>
                          </w:r>
                          <w:r>
                            <w:rPr>
                              <w:sz w:val="24"/>
                              <w:szCs w:val="24"/>
                            </w:rPr>
                            <w:fldChar w:fldCharType="end"/>
                          </w:r>
                        </w:p>
                      </w:txbxContent>
                    </wps:txbx>
                    <wps:bodyPr wrap="none" lIns="0" tIns="0" rIns="0" bIns="0" upright="1">
                      <a:spAutoFit/>
                    </wps:bodyPr>
                  </wps:wsp>
                </a:graphicData>
              </a:graphic>
            </wp:anchor>
          </w:drawing>
        </mc:Choice>
        <mc:Fallback>
          <w:pict>
            <v:shape id="文本框 4104"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OcA/H3RAQAAqwMAAA4AAAAAAAAAAQAgAAAAHgEAAGRy&#10;cy9lMm9Eb2MueG1sUEsFBgAAAAAGAAYAWQEAAGEFAAAAAA==&#10;">
              <v:fill on="f" focussize="0,0"/>
              <v:stroke on="f"/>
              <v:imagedata o:title=""/>
              <o:lock v:ext="edit" aspectratio="f"/>
              <v:textbox inset="0mm,0mm,0mm,0mm" style="mso-fit-shape-to-text:t;">
                <w:txbxContent>
                  <w:p w14:paraId="60FBD19E">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61</w:t>
                    </w:r>
                    <w:r>
                      <w:rPr>
                        <w:sz w:val="24"/>
                        <w:szCs w:val="24"/>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CB15F4">
    <w:pPr>
      <w:spacing w:before="1" w:line="166" w:lineRule="auto"/>
      <w:ind w:left="3565"/>
      <w:rPr>
        <w:rFonts w:hint="eastAsia" w:ascii="宋体" w:hAnsi="宋体" w:cs="宋体"/>
        <w:sz w:val="28"/>
        <w:szCs w:val="28"/>
      </w:rPr>
    </w:pPr>
    <w:r>
      <w:rPr>
        <w:sz w:val="28"/>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AADFD6">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65</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14:paraId="63AADFD6">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65</w:t>
                    </w:r>
                    <w:r>
                      <w:rPr>
                        <w:sz w:val="24"/>
                        <w:szCs w:val="24"/>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8CCD52">
    <w:pPr>
      <w:spacing w:before="1" w:line="166" w:lineRule="auto"/>
      <w:ind w:left="3565"/>
      <w:rPr>
        <w:rFonts w:hint="eastAsia" w:ascii="宋体" w:hAnsi="宋体" w:cs="宋体"/>
        <w:sz w:val="28"/>
        <w:szCs w:val="28"/>
      </w:rPr>
    </w:pPr>
    <w:r>
      <w:rPr>
        <w:sz w:val="28"/>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6A218C">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83</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4AZk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4AZkgtAgAAVwQAAA4AAAAAAAAAAQAgAAAAHwEAAGRycy9lMm9Eb2MueG1sUEsFBgAAAAAG&#10;AAYAWQEAAL4FAAAAAA==&#10;">
              <v:fill on="f" focussize="0,0"/>
              <v:stroke on="f" weight="0.5pt"/>
              <v:imagedata o:title=""/>
              <o:lock v:ext="edit" aspectratio="f"/>
              <v:textbox inset="0mm,0mm,0mm,0mm" style="mso-fit-shape-to-text:t;">
                <w:txbxContent>
                  <w:p w14:paraId="706A218C">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83</w:t>
                    </w:r>
                    <w:r>
                      <w:rPr>
                        <w:sz w:val="24"/>
                        <w:szCs w:val="24"/>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C2B72E">
    <w:pPr>
      <w:spacing w:line="167" w:lineRule="auto"/>
      <w:ind w:left="3565"/>
      <w:rPr>
        <w:rFonts w:hint="eastAsia" w:ascii="宋体" w:hAnsi="宋体"/>
        <w:sz w:val="28"/>
        <w:szCs w:val="28"/>
      </w:rPr>
    </w:pPr>
    <w:r>
      <w:rPr>
        <w:sz w:val="28"/>
      </w:rPr>
      <mc:AlternateContent>
        <mc:Choice Requires="wps">
          <w:drawing>
            <wp:anchor distT="0" distB="0" distL="114300" distR="114300" simplePos="0" relativeHeight="251707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9A5E5AC">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63</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7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1Z10szAgAAZQQAAA4AAAAAAAAAAQAgAAAAHwEAAGRycy9lMm9Eb2MueG1sUEsF&#10;BgAAAAAGAAYAWQEAAMQFAAAAAA==&#10;">
              <v:fill on="f" focussize="0,0"/>
              <v:stroke on="f" weight="0.5pt"/>
              <v:imagedata o:title=""/>
              <o:lock v:ext="edit" aspectratio="f"/>
              <v:textbox inset="0mm,0mm,0mm,0mm" style="mso-fit-shape-to-text:t;">
                <w:txbxContent>
                  <w:p w14:paraId="39A5E5AC">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63</w:t>
                    </w:r>
                    <w:r>
                      <w:rPr>
                        <w:sz w:val="24"/>
                        <w:szCs w:val="24"/>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F1F9BE">
    <w:pPr>
      <w:spacing w:before="1" w:line="166" w:lineRule="auto"/>
      <w:ind w:left="6402"/>
      <w:rPr>
        <w:rFonts w:hint="eastAsia" w:ascii="宋体" w:hAnsi="宋体" w:cs="宋体"/>
        <w:sz w:val="28"/>
        <w:szCs w:val="28"/>
      </w:rPr>
    </w:pPr>
    <w:r>
      <w:rPr>
        <w:sz w:val="28"/>
      </w:rPr>
      <mc:AlternateContent>
        <mc:Choice Requires="wps">
          <w:drawing>
            <wp:anchor distT="0" distB="0" distL="114300" distR="114300" simplePos="0" relativeHeight="251703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304EF4">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84</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3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14:paraId="4C304EF4">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84</w:t>
                    </w:r>
                    <w:r>
                      <w:rPr>
                        <w:sz w:val="24"/>
                        <w:szCs w:val="24"/>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1A475F">
    <w:pPr>
      <w:pStyle w:val="29"/>
      <w:tabs>
        <w:tab w:val="clear" w:pos="4153"/>
      </w:tabs>
      <w:jc w:val="center"/>
    </w:pPr>
    <w:r>
      <mc:AlternateContent>
        <mc:Choice Requires="wps">
          <w:drawing>
            <wp:anchor distT="0" distB="0" distL="114300" distR="114300" simplePos="0" relativeHeight="251706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DEDA04">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86</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6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DusZ8tAgAAVwQAAA4AAABkcnMvZTJvRG9jLnhtbK1UzY7TMBC+I/EO&#10;lu80aRFL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Os3lGimUPHT92+n&#10;H79OP78SnEGg1voZ4jYWkaF7azq0zXDucRh5d5VT8QtGBH7Ie7zIK7pAeLw0nUynOVwcvmED/Ozh&#10;unU+vBNGkWgU1KF+SVZ2uPWhDx1CYjZt1o2UqYZSk7agVy9f5e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DusZ8tAgAAVwQAAA4AAAAAAAAAAQAgAAAAHwEAAGRycy9lMm9Eb2MueG1sUEsFBgAAAAAG&#10;AAYAWQEAAL4FAAAAAA==&#10;">
              <v:fill on="f" focussize="0,0"/>
              <v:stroke on="f" weight="0.5pt"/>
              <v:imagedata o:title=""/>
              <o:lock v:ext="edit" aspectratio="f"/>
              <v:textbox inset="0mm,0mm,0mm,0mm" style="mso-fit-shape-to-text:t;">
                <w:txbxContent>
                  <w:p w14:paraId="7FDEDA04">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86</w:t>
                    </w:r>
                    <w:r>
                      <w:rPr>
                        <w:sz w:val="24"/>
                        <w:szCs w:val="24"/>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69292">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8F24CA">
    <w:pPr>
      <w:pStyle w:val="3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D183C">
    <w:pPr>
      <w:pStyle w:val="30"/>
      <w:pBdr>
        <w:bottom w:val="none" w:color="auto" w:sz="0" w:space="0"/>
      </w:pBdr>
      <w:ind w:firstLine="36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B02890B"/>
    <w:multiLevelType w:val="singleLevel"/>
    <w:tmpl w:val="5B02890B"/>
    <w:lvl w:ilvl="0" w:tentative="0">
      <w:start w:val="1"/>
      <w:numFmt w:val="bullet"/>
      <w:pStyle w:val="23"/>
      <w:lvlText w:val=""/>
      <w:lvlJc w:val="left"/>
      <w:pPr>
        <w:tabs>
          <w:tab w:val="left" w:pos="2040"/>
        </w:tabs>
        <w:ind w:left="2040" w:hanging="360"/>
      </w:pPr>
      <w:rPr>
        <w:rFonts w:hint="default" w:ascii="Wingdings" w:hAnsi="Wingdings"/>
      </w:rPr>
    </w:lvl>
  </w:abstractNum>
  <w:abstractNum w:abstractNumId="1">
    <w:nsid w:val="7A4B0EE0"/>
    <w:multiLevelType w:val="singleLevel"/>
    <w:tmpl w:val="7A4B0EE0"/>
    <w:lvl w:ilvl="0" w:tentative="0">
      <w:start w:val="3"/>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diZWVlMmE1OWQyYjc3ZWMzMDczZjg1M2I0OGY2MTAifQ=="/>
  </w:docVars>
  <w:rsids>
    <w:rsidRoot w:val="00172A27"/>
    <w:rsid w:val="000003BF"/>
    <w:rsid w:val="0000236D"/>
    <w:rsid w:val="000040A7"/>
    <w:rsid w:val="0000414B"/>
    <w:rsid w:val="000050C0"/>
    <w:rsid w:val="0000560C"/>
    <w:rsid w:val="000060B3"/>
    <w:rsid w:val="0001657A"/>
    <w:rsid w:val="00020159"/>
    <w:rsid w:val="00020246"/>
    <w:rsid w:val="0002049E"/>
    <w:rsid w:val="000222E1"/>
    <w:rsid w:val="000236C9"/>
    <w:rsid w:val="00027B6A"/>
    <w:rsid w:val="00030ECF"/>
    <w:rsid w:val="00032027"/>
    <w:rsid w:val="000326BF"/>
    <w:rsid w:val="000357F6"/>
    <w:rsid w:val="00036A44"/>
    <w:rsid w:val="000370B5"/>
    <w:rsid w:val="00037FCC"/>
    <w:rsid w:val="00042138"/>
    <w:rsid w:val="0004364B"/>
    <w:rsid w:val="000450E3"/>
    <w:rsid w:val="00045E6C"/>
    <w:rsid w:val="00046472"/>
    <w:rsid w:val="00047E75"/>
    <w:rsid w:val="00052C1F"/>
    <w:rsid w:val="00054892"/>
    <w:rsid w:val="00055504"/>
    <w:rsid w:val="000567FA"/>
    <w:rsid w:val="00056B3C"/>
    <w:rsid w:val="00056FB2"/>
    <w:rsid w:val="000610B2"/>
    <w:rsid w:val="0006154E"/>
    <w:rsid w:val="00061B1F"/>
    <w:rsid w:val="00063160"/>
    <w:rsid w:val="00063DC7"/>
    <w:rsid w:val="00065DDD"/>
    <w:rsid w:val="000733C4"/>
    <w:rsid w:val="00074783"/>
    <w:rsid w:val="000749C0"/>
    <w:rsid w:val="0007555C"/>
    <w:rsid w:val="0007576F"/>
    <w:rsid w:val="0007652D"/>
    <w:rsid w:val="00076791"/>
    <w:rsid w:val="00076EE3"/>
    <w:rsid w:val="00077DB4"/>
    <w:rsid w:val="0008070B"/>
    <w:rsid w:val="000810AC"/>
    <w:rsid w:val="00081A02"/>
    <w:rsid w:val="00082231"/>
    <w:rsid w:val="00085881"/>
    <w:rsid w:val="00086618"/>
    <w:rsid w:val="000874D4"/>
    <w:rsid w:val="000876AD"/>
    <w:rsid w:val="000917FC"/>
    <w:rsid w:val="0009287E"/>
    <w:rsid w:val="00092D38"/>
    <w:rsid w:val="00092F7A"/>
    <w:rsid w:val="0009377B"/>
    <w:rsid w:val="00096EB1"/>
    <w:rsid w:val="000A0673"/>
    <w:rsid w:val="000A20C9"/>
    <w:rsid w:val="000A3347"/>
    <w:rsid w:val="000A52E5"/>
    <w:rsid w:val="000A59F1"/>
    <w:rsid w:val="000A62AF"/>
    <w:rsid w:val="000A722F"/>
    <w:rsid w:val="000B058F"/>
    <w:rsid w:val="000B080A"/>
    <w:rsid w:val="000B21A8"/>
    <w:rsid w:val="000B3A25"/>
    <w:rsid w:val="000B445B"/>
    <w:rsid w:val="000B4467"/>
    <w:rsid w:val="000B4765"/>
    <w:rsid w:val="000B4DB9"/>
    <w:rsid w:val="000B574B"/>
    <w:rsid w:val="000B7A51"/>
    <w:rsid w:val="000C04C1"/>
    <w:rsid w:val="000C09AC"/>
    <w:rsid w:val="000C0CCA"/>
    <w:rsid w:val="000C63A0"/>
    <w:rsid w:val="000C767F"/>
    <w:rsid w:val="000D0BF5"/>
    <w:rsid w:val="000D14E7"/>
    <w:rsid w:val="000D186A"/>
    <w:rsid w:val="000D1A04"/>
    <w:rsid w:val="000D26D3"/>
    <w:rsid w:val="000D3DAD"/>
    <w:rsid w:val="000D5212"/>
    <w:rsid w:val="000D5A44"/>
    <w:rsid w:val="000D6968"/>
    <w:rsid w:val="000D6F13"/>
    <w:rsid w:val="000E190F"/>
    <w:rsid w:val="000E1B15"/>
    <w:rsid w:val="000E2AD1"/>
    <w:rsid w:val="000E318D"/>
    <w:rsid w:val="000E3ED2"/>
    <w:rsid w:val="000F40AD"/>
    <w:rsid w:val="000F4312"/>
    <w:rsid w:val="000F4A33"/>
    <w:rsid w:val="000F5292"/>
    <w:rsid w:val="000F6697"/>
    <w:rsid w:val="000F66BB"/>
    <w:rsid w:val="000F6A3A"/>
    <w:rsid w:val="00100241"/>
    <w:rsid w:val="00103013"/>
    <w:rsid w:val="00104016"/>
    <w:rsid w:val="00104CE3"/>
    <w:rsid w:val="00106D42"/>
    <w:rsid w:val="00107C9B"/>
    <w:rsid w:val="0011077A"/>
    <w:rsid w:val="00112052"/>
    <w:rsid w:val="00112CBC"/>
    <w:rsid w:val="001134AC"/>
    <w:rsid w:val="001170BE"/>
    <w:rsid w:val="00117C57"/>
    <w:rsid w:val="00123B2A"/>
    <w:rsid w:val="0012415D"/>
    <w:rsid w:val="00125087"/>
    <w:rsid w:val="001275D2"/>
    <w:rsid w:val="00131386"/>
    <w:rsid w:val="00131F42"/>
    <w:rsid w:val="00133176"/>
    <w:rsid w:val="0013344F"/>
    <w:rsid w:val="00134C18"/>
    <w:rsid w:val="00134D48"/>
    <w:rsid w:val="001357F1"/>
    <w:rsid w:val="00135810"/>
    <w:rsid w:val="0013793C"/>
    <w:rsid w:val="00140FA8"/>
    <w:rsid w:val="00142FEB"/>
    <w:rsid w:val="00143A2D"/>
    <w:rsid w:val="001440F4"/>
    <w:rsid w:val="00144495"/>
    <w:rsid w:val="00145A41"/>
    <w:rsid w:val="001473F0"/>
    <w:rsid w:val="00147E29"/>
    <w:rsid w:val="00150739"/>
    <w:rsid w:val="00151675"/>
    <w:rsid w:val="00151AE2"/>
    <w:rsid w:val="00152134"/>
    <w:rsid w:val="00153020"/>
    <w:rsid w:val="00153712"/>
    <w:rsid w:val="0015523D"/>
    <w:rsid w:val="00156269"/>
    <w:rsid w:val="001569E2"/>
    <w:rsid w:val="00157435"/>
    <w:rsid w:val="00157FB6"/>
    <w:rsid w:val="00162179"/>
    <w:rsid w:val="00164AF2"/>
    <w:rsid w:val="00165CE9"/>
    <w:rsid w:val="00166508"/>
    <w:rsid w:val="00170970"/>
    <w:rsid w:val="001724D3"/>
    <w:rsid w:val="00173240"/>
    <w:rsid w:val="00173B95"/>
    <w:rsid w:val="00174405"/>
    <w:rsid w:val="0017504D"/>
    <w:rsid w:val="0017643B"/>
    <w:rsid w:val="00176484"/>
    <w:rsid w:val="001764BE"/>
    <w:rsid w:val="0017664C"/>
    <w:rsid w:val="0017671A"/>
    <w:rsid w:val="00177422"/>
    <w:rsid w:val="00177D86"/>
    <w:rsid w:val="001800D7"/>
    <w:rsid w:val="001805EA"/>
    <w:rsid w:val="0018094F"/>
    <w:rsid w:val="001810DE"/>
    <w:rsid w:val="00181CB1"/>
    <w:rsid w:val="00182B49"/>
    <w:rsid w:val="00182E66"/>
    <w:rsid w:val="00183307"/>
    <w:rsid w:val="00183FC5"/>
    <w:rsid w:val="00184590"/>
    <w:rsid w:val="00184F5D"/>
    <w:rsid w:val="001853E0"/>
    <w:rsid w:val="001870D1"/>
    <w:rsid w:val="001870D9"/>
    <w:rsid w:val="0018778E"/>
    <w:rsid w:val="0018781E"/>
    <w:rsid w:val="0019262D"/>
    <w:rsid w:val="001938BA"/>
    <w:rsid w:val="00193E40"/>
    <w:rsid w:val="001964E6"/>
    <w:rsid w:val="001979FF"/>
    <w:rsid w:val="001A1B35"/>
    <w:rsid w:val="001A48A2"/>
    <w:rsid w:val="001A4F83"/>
    <w:rsid w:val="001A521B"/>
    <w:rsid w:val="001A6BC1"/>
    <w:rsid w:val="001A6F61"/>
    <w:rsid w:val="001A7F52"/>
    <w:rsid w:val="001B228D"/>
    <w:rsid w:val="001B2385"/>
    <w:rsid w:val="001B2D80"/>
    <w:rsid w:val="001B5124"/>
    <w:rsid w:val="001B72B7"/>
    <w:rsid w:val="001B72B8"/>
    <w:rsid w:val="001B734F"/>
    <w:rsid w:val="001C0C0D"/>
    <w:rsid w:val="001C0E1B"/>
    <w:rsid w:val="001C147C"/>
    <w:rsid w:val="001C22A5"/>
    <w:rsid w:val="001C2A26"/>
    <w:rsid w:val="001C2E7F"/>
    <w:rsid w:val="001C5B86"/>
    <w:rsid w:val="001C69B3"/>
    <w:rsid w:val="001C6B05"/>
    <w:rsid w:val="001C7356"/>
    <w:rsid w:val="001C745F"/>
    <w:rsid w:val="001D1CCA"/>
    <w:rsid w:val="001D20C0"/>
    <w:rsid w:val="001D2DC3"/>
    <w:rsid w:val="001D505D"/>
    <w:rsid w:val="001D5595"/>
    <w:rsid w:val="001D7874"/>
    <w:rsid w:val="001D7F22"/>
    <w:rsid w:val="001E0064"/>
    <w:rsid w:val="001E0149"/>
    <w:rsid w:val="001E0880"/>
    <w:rsid w:val="001E0B52"/>
    <w:rsid w:val="001E0C78"/>
    <w:rsid w:val="001E30B3"/>
    <w:rsid w:val="001E3B85"/>
    <w:rsid w:val="001E40B0"/>
    <w:rsid w:val="001E6846"/>
    <w:rsid w:val="001E6850"/>
    <w:rsid w:val="001F0F17"/>
    <w:rsid w:val="001F1432"/>
    <w:rsid w:val="001F284E"/>
    <w:rsid w:val="001F3347"/>
    <w:rsid w:val="001F3E89"/>
    <w:rsid w:val="001F5796"/>
    <w:rsid w:val="001F6161"/>
    <w:rsid w:val="001F61FE"/>
    <w:rsid w:val="001F6549"/>
    <w:rsid w:val="001F65CB"/>
    <w:rsid w:val="001F69E4"/>
    <w:rsid w:val="001F6B8C"/>
    <w:rsid w:val="00203A21"/>
    <w:rsid w:val="0020416F"/>
    <w:rsid w:val="002075FD"/>
    <w:rsid w:val="00212262"/>
    <w:rsid w:val="002125B4"/>
    <w:rsid w:val="00212E7D"/>
    <w:rsid w:val="00214DFB"/>
    <w:rsid w:val="0021544F"/>
    <w:rsid w:val="002155B8"/>
    <w:rsid w:val="002156F8"/>
    <w:rsid w:val="00215B7A"/>
    <w:rsid w:val="00215BD2"/>
    <w:rsid w:val="002166F3"/>
    <w:rsid w:val="002176EC"/>
    <w:rsid w:val="00224839"/>
    <w:rsid w:val="002249B2"/>
    <w:rsid w:val="00226574"/>
    <w:rsid w:val="00226744"/>
    <w:rsid w:val="00226B46"/>
    <w:rsid w:val="002278EC"/>
    <w:rsid w:val="00230151"/>
    <w:rsid w:val="002311C4"/>
    <w:rsid w:val="002316EF"/>
    <w:rsid w:val="0023280E"/>
    <w:rsid w:val="00232A50"/>
    <w:rsid w:val="00232E34"/>
    <w:rsid w:val="0023361D"/>
    <w:rsid w:val="00233858"/>
    <w:rsid w:val="00233986"/>
    <w:rsid w:val="00233A87"/>
    <w:rsid w:val="00235D74"/>
    <w:rsid w:val="002377D1"/>
    <w:rsid w:val="00240BA7"/>
    <w:rsid w:val="002419A0"/>
    <w:rsid w:val="00241FEB"/>
    <w:rsid w:val="00245862"/>
    <w:rsid w:val="00245BB8"/>
    <w:rsid w:val="00246458"/>
    <w:rsid w:val="00246EF8"/>
    <w:rsid w:val="00246F9E"/>
    <w:rsid w:val="002471BF"/>
    <w:rsid w:val="002506BC"/>
    <w:rsid w:val="00250BA0"/>
    <w:rsid w:val="00250FD4"/>
    <w:rsid w:val="00254345"/>
    <w:rsid w:val="00254E56"/>
    <w:rsid w:val="00255349"/>
    <w:rsid w:val="00257376"/>
    <w:rsid w:val="00260880"/>
    <w:rsid w:val="002613C6"/>
    <w:rsid w:val="00262B33"/>
    <w:rsid w:val="00263CE2"/>
    <w:rsid w:val="00264557"/>
    <w:rsid w:val="00264DB8"/>
    <w:rsid w:val="00267F49"/>
    <w:rsid w:val="0027067E"/>
    <w:rsid w:val="00270721"/>
    <w:rsid w:val="00270F4B"/>
    <w:rsid w:val="00271ADF"/>
    <w:rsid w:val="00272907"/>
    <w:rsid w:val="0027494A"/>
    <w:rsid w:val="0027781A"/>
    <w:rsid w:val="002779B1"/>
    <w:rsid w:val="002805AB"/>
    <w:rsid w:val="00282B01"/>
    <w:rsid w:val="00284204"/>
    <w:rsid w:val="00285B0C"/>
    <w:rsid w:val="00286189"/>
    <w:rsid w:val="002902E6"/>
    <w:rsid w:val="00291773"/>
    <w:rsid w:val="002918DE"/>
    <w:rsid w:val="00292AA5"/>
    <w:rsid w:val="00292C0E"/>
    <w:rsid w:val="0029309A"/>
    <w:rsid w:val="00293E49"/>
    <w:rsid w:val="00294785"/>
    <w:rsid w:val="00297B55"/>
    <w:rsid w:val="002A168C"/>
    <w:rsid w:val="002A2573"/>
    <w:rsid w:val="002A29D5"/>
    <w:rsid w:val="002A3DC7"/>
    <w:rsid w:val="002A426A"/>
    <w:rsid w:val="002A5A93"/>
    <w:rsid w:val="002A68EB"/>
    <w:rsid w:val="002A6A30"/>
    <w:rsid w:val="002B079D"/>
    <w:rsid w:val="002B2F7F"/>
    <w:rsid w:val="002B3280"/>
    <w:rsid w:val="002B49E2"/>
    <w:rsid w:val="002B73FD"/>
    <w:rsid w:val="002B7B00"/>
    <w:rsid w:val="002B7C44"/>
    <w:rsid w:val="002B7CAB"/>
    <w:rsid w:val="002C0964"/>
    <w:rsid w:val="002C1136"/>
    <w:rsid w:val="002C1C2F"/>
    <w:rsid w:val="002C2B17"/>
    <w:rsid w:val="002C305B"/>
    <w:rsid w:val="002C45E8"/>
    <w:rsid w:val="002C48E7"/>
    <w:rsid w:val="002C4BC7"/>
    <w:rsid w:val="002C5923"/>
    <w:rsid w:val="002C675B"/>
    <w:rsid w:val="002C6AF9"/>
    <w:rsid w:val="002D00C3"/>
    <w:rsid w:val="002D16B5"/>
    <w:rsid w:val="002D2DD8"/>
    <w:rsid w:val="002D3DD0"/>
    <w:rsid w:val="002D5721"/>
    <w:rsid w:val="002D62B6"/>
    <w:rsid w:val="002E0D84"/>
    <w:rsid w:val="002E0DF9"/>
    <w:rsid w:val="002E1F3A"/>
    <w:rsid w:val="002E298A"/>
    <w:rsid w:val="002E3B20"/>
    <w:rsid w:val="002E484A"/>
    <w:rsid w:val="002E58EF"/>
    <w:rsid w:val="002E6F0C"/>
    <w:rsid w:val="002F06B2"/>
    <w:rsid w:val="002F23B7"/>
    <w:rsid w:val="002F2AEE"/>
    <w:rsid w:val="002F42F9"/>
    <w:rsid w:val="002F4746"/>
    <w:rsid w:val="002F627E"/>
    <w:rsid w:val="002F6A9B"/>
    <w:rsid w:val="002F7193"/>
    <w:rsid w:val="002F7C13"/>
    <w:rsid w:val="00300B1F"/>
    <w:rsid w:val="00300EB8"/>
    <w:rsid w:val="00301978"/>
    <w:rsid w:val="0030332C"/>
    <w:rsid w:val="00303992"/>
    <w:rsid w:val="003049A8"/>
    <w:rsid w:val="003051C2"/>
    <w:rsid w:val="00305EE7"/>
    <w:rsid w:val="00305F60"/>
    <w:rsid w:val="003104D6"/>
    <w:rsid w:val="00310FA4"/>
    <w:rsid w:val="003121CF"/>
    <w:rsid w:val="00312296"/>
    <w:rsid w:val="003140F0"/>
    <w:rsid w:val="00314F0E"/>
    <w:rsid w:val="00320D83"/>
    <w:rsid w:val="0032104D"/>
    <w:rsid w:val="00321D8E"/>
    <w:rsid w:val="00324C87"/>
    <w:rsid w:val="00325928"/>
    <w:rsid w:val="00326F15"/>
    <w:rsid w:val="00330529"/>
    <w:rsid w:val="00330666"/>
    <w:rsid w:val="003306E5"/>
    <w:rsid w:val="00330729"/>
    <w:rsid w:val="00330EB9"/>
    <w:rsid w:val="00332863"/>
    <w:rsid w:val="003359D4"/>
    <w:rsid w:val="0033684D"/>
    <w:rsid w:val="00336A50"/>
    <w:rsid w:val="00337302"/>
    <w:rsid w:val="00337B42"/>
    <w:rsid w:val="00337DD2"/>
    <w:rsid w:val="00340C7B"/>
    <w:rsid w:val="003412E7"/>
    <w:rsid w:val="00341B42"/>
    <w:rsid w:val="00342B0D"/>
    <w:rsid w:val="0034348F"/>
    <w:rsid w:val="0034761F"/>
    <w:rsid w:val="00347F1A"/>
    <w:rsid w:val="00347F76"/>
    <w:rsid w:val="003504AD"/>
    <w:rsid w:val="00351950"/>
    <w:rsid w:val="00352A1A"/>
    <w:rsid w:val="00352D97"/>
    <w:rsid w:val="00354FBF"/>
    <w:rsid w:val="00354FE0"/>
    <w:rsid w:val="0035534B"/>
    <w:rsid w:val="003555EE"/>
    <w:rsid w:val="00355BAF"/>
    <w:rsid w:val="00356653"/>
    <w:rsid w:val="0035743F"/>
    <w:rsid w:val="00357B9F"/>
    <w:rsid w:val="00357BE2"/>
    <w:rsid w:val="00360A15"/>
    <w:rsid w:val="0036170C"/>
    <w:rsid w:val="00361D38"/>
    <w:rsid w:val="003649EE"/>
    <w:rsid w:val="00364D0A"/>
    <w:rsid w:val="00364D8E"/>
    <w:rsid w:val="0036520C"/>
    <w:rsid w:val="003662F2"/>
    <w:rsid w:val="00366E0F"/>
    <w:rsid w:val="0036744F"/>
    <w:rsid w:val="00373C7C"/>
    <w:rsid w:val="003762CB"/>
    <w:rsid w:val="00377502"/>
    <w:rsid w:val="003804AF"/>
    <w:rsid w:val="00381920"/>
    <w:rsid w:val="00381A72"/>
    <w:rsid w:val="00382909"/>
    <w:rsid w:val="00382CDE"/>
    <w:rsid w:val="00382F94"/>
    <w:rsid w:val="00384676"/>
    <w:rsid w:val="0038550D"/>
    <w:rsid w:val="00390456"/>
    <w:rsid w:val="00390857"/>
    <w:rsid w:val="00397E43"/>
    <w:rsid w:val="00397ED1"/>
    <w:rsid w:val="003A0006"/>
    <w:rsid w:val="003A1E9E"/>
    <w:rsid w:val="003A2430"/>
    <w:rsid w:val="003A4BF3"/>
    <w:rsid w:val="003A4E1F"/>
    <w:rsid w:val="003A5398"/>
    <w:rsid w:val="003A5E00"/>
    <w:rsid w:val="003A6222"/>
    <w:rsid w:val="003A6AC6"/>
    <w:rsid w:val="003B08B0"/>
    <w:rsid w:val="003B1F6F"/>
    <w:rsid w:val="003B237B"/>
    <w:rsid w:val="003B25A6"/>
    <w:rsid w:val="003B2603"/>
    <w:rsid w:val="003B420D"/>
    <w:rsid w:val="003B4863"/>
    <w:rsid w:val="003C06BF"/>
    <w:rsid w:val="003C1E0E"/>
    <w:rsid w:val="003C3294"/>
    <w:rsid w:val="003C3B5F"/>
    <w:rsid w:val="003C3D3D"/>
    <w:rsid w:val="003C476C"/>
    <w:rsid w:val="003C4914"/>
    <w:rsid w:val="003C545A"/>
    <w:rsid w:val="003C563C"/>
    <w:rsid w:val="003C5CB3"/>
    <w:rsid w:val="003C6C16"/>
    <w:rsid w:val="003D01D0"/>
    <w:rsid w:val="003D067A"/>
    <w:rsid w:val="003D3D00"/>
    <w:rsid w:val="003D60C3"/>
    <w:rsid w:val="003D794D"/>
    <w:rsid w:val="003D7BA9"/>
    <w:rsid w:val="003E1CE8"/>
    <w:rsid w:val="003E2B7C"/>
    <w:rsid w:val="003E3058"/>
    <w:rsid w:val="003E3AE0"/>
    <w:rsid w:val="003E4713"/>
    <w:rsid w:val="003E5275"/>
    <w:rsid w:val="003E6973"/>
    <w:rsid w:val="003E76A9"/>
    <w:rsid w:val="003E7C46"/>
    <w:rsid w:val="003F0809"/>
    <w:rsid w:val="003F0CA8"/>
    <w:rsid w:val="003F2C69"/>
    <w:rsid w:val="003F51A4"/>
    <w:rsid w:val="003F6A8C"/>
    <w:rsid w:val="003F7095"/>
    <w:rsid w:val="003F755C"/>
    <w:rsid w:val="003F75A7"/>
    <w:rsid w:val="00401814"/>
    <w:rsid w:val="00401916"/>
    <w:rsid w:val="00401DCC"/>
    <w:rsid w:val="00403FB7"/>
    <w:rsid w:val="00404EA0"/>
    <w:rsid w:val="004058DE"/>
    <w:rsid w:val="004061FE"/>
    <w:rsid w:val="00406A33"/>
    <w:rsid w:val="00406F01"/>
    <w:rsid w:val="00412B1F"/>
    <w:rsid w:val="00414737"/>
    <w:rsid w:val="00416D50"/>
    <w:rsid w:val="00416FD5"/>
    <w:rsid w:val="00417772"/>
    <w:rsid w:val="00420E6A"/>
    <w:rsid w:val="004219BD"/>
    <w:rsid w:val="00423117"/>
    <w:rsid w:val="00423BCC"/>
    <w:rsid w:val="00424C81"/>
    <w:rsid w:val="00425A9E"/>
    <w:rsid w:val="00426D6B"/>
    <w:rsid w:val="00427408"/>
    <w:rsid w:val="00427AA5"/>
    <w:rsid w:val="00431253"/>
    <w:rsid w:val="00431E6C"/>
    <w:rsid w:val="00432494"/>
    <w:rsid w:val="00432785"/>
    <w:rsid w:val="00432C1B"/>
    <w:rsid w:val="00433643"/>
    <w:rsid w:val="00433CE7"/>
    <w:rsid w:val="00433DF4"/>
    <w:rsid w:val="00435F94"/>
    <w:rsid w:val="00441A44"/>
    <w:rsid w:val="00441CDF"/>
    <w:rsid w:val="00443EE4"/>
    <w:rsid w:val="004440FE"/>
    <w:rsid w:val="00444DB3"/>
    <w:rsid w:val="00446A29"/>
    <w:rsid w:val="00446DDE"/>
    <w:rsid w:val="00446E9C"/>
    <w:rsid w:val="00447462"/>
    <w:rsid w:val="00447875"/>
    <w:rsid w:val="00447BD8"/>
    <w:rsid w:val="0045169C"/>
    <w:rsid w:val="00451B24"/>
    <w:rsid w:val="004522D9"/>
    <w:rsid w:val="00452738"/>
    <w:rsid w:val="0045273B"/>
    <w:rsid w:val="0045288F"/>
    <w:rsid w:val="0045479D"/>
    <w:rsid w:val="00454DB8"/>
    <w:rsid w:val="004557E7"/>
    <w:rsid w:val="00456091"/>
    <w:rsid w:val="00456124"/>
    <w:rsid w:val="00456F26"/>
    <w:rsid w:val="00457A15"/>
    <w:rsid w:val="00460589"/>
    <w:rsid w:val="00460A69"/>
    <w:rsid w:val="00460AB5"/>
    <w:rsid w:val="00463078"/>
    <w:rsid w:val="004643ED"/>
    <w:rsid w:val="00464617"/>
    <w:rsid w:val="00464DEE"/>
    <w:rsid w:val="00466321"/>
    <w:rsid w:val="004663B7"/>
    <w:rsid w:val="00466B9A"/>
    <w:rsid w:val="0046761B"/>
    <w:rsid w:val="00472593"/>
    <w:rsid w:val="00473330"/>
    <w:rsid w:val="004738FD"/>
    <w:rsid w:val="00474171"/>
    <w:rsid w:val="0047449B"/>
    <w:rsid w:val="00474ADA"/>
    <w:rsid w:val="0047510D"/>
    <w:rsid w:val="00480240"/>
    <w:rsid w:val="0048483D"/>
    <w:rsid w:val="00484B9B"/>
    <w:rsid w:val="00485082"/>
    <w:rsid w:val="00485317"/>
    <w:rsid w:val="004855F6"/>
    <w:rsid w:val="0048661E"/>
    <w:rsid w:val="004874BC"/>
    <w:rsid w:val="00487945"/>
    <w:rsid w:val="00491067"/>
    <w:rsid w:val="0049179F"/>
    <w:rsid w:val="00492063"/>
    <w:rsid w:val="00492E07"/>
    <w:rsid w:val="00492E10"/>
    <w:rsid w:val="00494670"/>
    <w:rsid w:val="004962AB"/>
    <w:rsid w:val="004962E0"/>
    <w:rsid w:val="00496805"/>
    <w:rsid w:val="00497E54"/>
    <w:rsid w:val="004A060F"/>
    <w:rsid w:val="004A0B4D"/>
    <w:rsid w:val="004A3823"/>
    <w:rsid w:val="004A47CC"/>
    <w:rsid w:val="004A6257"/>
    <w:rsid w:val="004A6A99"/>
    <w:rsid w:val="004A71BF"/>
    <w:rsid w:val="004B0258"/>
    <w:rsid w:val="004B2BD3"/>
    <w:rsid w:val="004B30F0"/>
    <w:rsid w:val="004B4483"/>
    <w:rsid w:val="004B6542"/>
    <w:rsid w:val="004B68F8"/>
    <w:rsid w:val="004C074C"/>
    <w:rsid w:val="004C14D1"/>
    <w:rsid w:val="004C2BCE"/>
    <w:rsid w:val="004C41D2"/>
    <w:rsid w:val="004C4A23"/>
    <w:rsid w:val="004C4A8D"/>
    <w:rsid w:val="004C6883"/>
    <w:rsid w:val="004C7D9C"/>
    <w:rsid w:val="004C7F7F"/>
    <w:rsid w:val="004D0440"/>
    <w:rsid w:val="004D12F9"/>
    <w:rsid w:val="004D32CD"/>
    <w:rsid w:val="004D485B"/>
    <w:rsid w:val="004D4BDA"/>
    <w:rsid w:val="004D54BE"/>
    <w:rsid w:val="004D6691"/>
    <w:rsid w:val="004D7173"/>
    <w:rsid w:val="004E1D35"/>
    <w:rsid w:val="004E1F92"/>
    <w:rsid w:val="004E399D"/>
    <w:rsid w:val="004E3CF5"/>
    <w:rsid w:val="004E3DAA"/>
    <w:rsid w:val="004E6946"/>
    <w:rsid w:val="004E694E"/>
    <w:rsid w:val="004E6AB9"/>
    <w:rsid w:val="004F13C3"/>
    <w:rsid w:val="004F1AD8"/>
    <w:rsid w:val="004F1BF5"/>
    <w:rsid w:val="004F2242"/>
    <w:rsid w:val="004F3D20"/>
    <w:rsid w:val="004F5126"/>
    <w:rsid w:val="004F7B2D"/>
    <w:rsid w:val="005039CB"/>
    <w:rsid w:val="00503C9C"/>
    <w:rsid w:val="0050558F"/>
    <w:rsid w:val="00506286"/>
    <w:rsid w:val="005065CF"/>
    <w:rsid w:val="00507514"/>
    <w:rsid w:val="00507B3C"/>
    <w:rsid w:val="00507FE4"/>
    <w:rsid w:val="00510813"/>
    <w:rsid w:val="0051194E"/>
    <w:rsid w:val="00511990"/>
    <w:rsid w:val="00511DE0"/>
    <w:rsid w:val="00512105"/>
    <w:rsid w:val="00512A33"/>
    <w:rsid w:val="00514870"/>
    <w:rsid w:val="00514B9B"/>
    <w:rsid w:val="00517F02"/>
    <w:rsid w:val="00517F63"/>
    <w:rsid w:val="005200EC"/>
    <w:rsid w:val="00522FDF"/>
    <w:rsid w:val="00524222"/>
    <w:rsid w:val="00524303"/>
    <w:rsid w:val="005258A2"/>
    <w:rsid w:val="005270D5"/>
    <w:rsid w:val="0053318E"/>
    <w:rsid w:val="0053391F"/>
    <w:rsid w:val="00535DAA"/>
    <w:rsid w:val="00540078"/>
    <w:rsid w:val="005401AE"/>
    <w:rsid w:val="005403D3"/>
    <w:rsid w:val="005419C6"/>
    <w:rsid w:val="00542A5D"/>
    <w:rsid w:val="00542E07"/>
    <w:rsid w:val="00542E2B"/>
    <w:rsid w:val="00542E38"/>
    <w:rsid w:val="00543511"/>
    <w:rsid w:val="0054370B"/>
    <w:rsid w:val="005446C0"/>
    <w:rsid w:val="00545424"/>
    <w:rsid w:val="005473DD"/>
    <w:rsid w:val="00547EB2"/>
    <w:rsid w:val="0055429E"/>
    <w:rsid w:val="0055453E"/>
    <w:rsid w:val="00554A7B"/>
    <w:rsid w:val="00554DCD"/>
    <w:rsid w:val="0055572C"/>
    <w:rsid w:val="00556093"/>
    <w:rsid w:val="00556796"/>
    <w:rsid w:val="0056106A"/>
    <w:rsid w:val="0056247D"/>
    <w:rsid w:val="00565529"/>
    <w:rsid w:val="0057163A"/>
    <w:rsid w:val="00571FDF"/>
    <w:rsid w:val="005720AE"/>
    <w:rsid w:val="00572880"/>
    <w:rsid w:val="005762B2"/>
    <w:rsid w:val="00576FB8"/>
    <w:rsid w:val="00580C6A"/>
    <w:rsid w:val="00581EEE"/>
    <w:rsid w:val="00582D9B"/>
    <w:rsid w:val="00583CAB"/>
    <w:rsid w:val="00590B03"/>
    <w:rsid w:val="00590C79"/>
    <w:rsid w:val="00592C9A"/>
    <w:rsid w:val="00592D03"/>
    <w:rsid w:val="005937B9"/>
    <w:rsid w:val="00594D77"/>
    <w:rsid w:val="00595C13"/>
    <w:rsid w:val="0059684F"/>
    <w:rsid w:val="005969E4"/>
    <w:rsid w:val="005976DD"/>
    <w:rsid w:val="005A06B7"/>
    <w:rsid w:val="005A117F"/>
    <w:rsid w:val="005A1759"/>
    <w:rsid w:val="005A233C"/>
    <w:rsid w:val="005A474E"/>
    <w:rsid w:val="005A5460"/>
    <w:rsid w:val="005A5946"/>
    <w:rsid w:val="005A68A7"/>
    <w:rsid w:val="005A6A62"/>
    <w:rsid w:val="005A6DC8"/>
    <w:rsid w:val="005A75DF"/>
    <w:rsid w:val="005A76B4"/>
    <w:rsid w:val="005A7B84"/>
    <w:rsid w:val="005B0059"/>
    <w:rsid w:val="005B1B46"/>
    <w:rsid w:val="005B1E02"/>
    <w:rsid w:val="005B2B41"/>
    <w:rsid w:val="005B3088"/>
    <w:rsid w:val="005B3B20"/>
    <w:rsid w:val="005B4936"/>
    <w:rsid w:val="005B4B30"/>
    <w:rsid w:val="005B50D8"/>
    <w:rsid w:val="005B6271"/>
    <w:rsid w:val="005B6893"/>
    <w:rsid w:val="005B7E7C"/>
    <w:rsid w:val="005C0983"/>
    <w:rsid w:val="005C0B14"/>
    <w:rsid w:val="005C0BC0"/>
    <w:rsid w:val="005C0D04"/>
    <w:rsid w:val="005C1ED7"/>
    <w:rsid w:val="005C2028"/>
    <w:rsid w:val="005C46E1"/>
    <w:rsid w:val="005C4921"/>
    <w:rsid w:val="005C62AA"/>
    <w:rsid w:val="005C70D4"/>
    <w:rsid w:val="005D2AD4"/>
    <w:rsid w:val="005D36AB"/>
    <w:rsid w:val="005D5D03"/>
    <w:rsid w:val="005D6C07"/>
    <w:rsid w:val="005D6F03"/>
    <w:rsid w:val="005D7BF8"/>
    <w:rsid w:val="005E56A6"/>
    <w:rsid w:val="005E7D32"/>
    <w:rsid w:val="005F1B9C"/>
    <w:rsid w:val="005F44B7"/>
    <w:rsid w:val="005F5200"/>
    <w:rsid w:val="005F5425"/>
    <w:rsid w:val="005F6234"/>
    <w:rsid w:val="005F65C0"/>
    <w:rsid w:val="005F7FF1"/>
    <w:rsid w:val="00600563"/>
    <w:rsid w:val="00600A6C"/>
    <w:rsid w:val="00600AA7"/>
    <w:rsid w:val="00600DAD"/>
    <w:rsid w:val="0060115D"/>
    <w:rsid w:val="00603D5F"/>
    <w:rsid w:val="00605BC3"/>
    <w:rsid w:val="00607BFE"/>
    <w:rsid w:val="006100F3"/>
    <w:rsid w:val="00613C03"/>
    <w:rsid w:val="00617CC3"/>
    <w:rsid w:val="0062112B"/>
    <w:rsid w:val="0062301B"/>
    <w:rsid w:val="006240D2"/>
    <w:rsid w:val="0062682C"/>
    <w:rsid w:val="0063245F"/>
    <w:rsid w:val="0063247F"/>
    <w:rsid w:val="00632C8F"/>
    <w:rsid w:val="00632FB9"/>
    <w:rsid w:val="0063302B"/>
    <w:rsid w:val="006345A7"/>
    <w:rsid w:val="006373A0"/>
    <w:rsid w:val="006377A6"/>
    <w:rsid w:val="00637A3D"/>
    <w:rsid w:val="006411EF"/>
    <w:rsid w:val="00642CB9"/>
    <w:rsid w:val="0064328B"/>
    <w:rsid w:val="006447C2"/>
    <w:rsid w:val="00645557"/>
    <w:rsid w:val="00646497"/>
    <w:rsid w:val="00647B91"/>
    <w:rsid w:val="006500CA"/>
    <w:rsid w:val="00656403"/>
    <w:rsid w:val="00656B72"/>
    <w:rsid w:val="0065712B"/>
    <w:rsid w:val="00660797"/>
    <w:rsid w:val="00660AB2"/>
    <w:rsid w:val="006614F6"/>
    <w:rsid w:val="00661F58"/>
    <w:rsid w:val="00663C7B"/>
    <w:rsid w:val="0066481E"/>
    <w:rsid w:val="006654D7"/>
    <w:rsid w:val="00665822"/>
    <w:rsid w:val="00666418"/>
    <w:rsid w:val="006671AD"/>
    <w:rsid w:val="00667ED9"/>
    <w:rsid w:val="00670110"/>
    <w:rsid w:val="00670A16"/>
    <w:rsid w:val="0067286B"/>
    <w:rsid w:val="006729A1"/>
    <w:rsid w:val="006729C5"/>
    <w:rsid w:val="006748B8"/>
    <w:rsid w:val="00674B75"/>
    <w:rsid w:val="006755B8"/>
    <w:rsid w:val="00675660"/>
    <w:rsid w:val="00675920"/>
    <w:rsid w:val="006766EF"/>
    <w:rsid w:val="006775C3"/>
    <w:rsid w:val="006810CE"/>
    <w:rsid w:val="006852E0"/>
    <w:rsid w:val="00685A32"/>
    <w:rsid w:val="00687BC9"/>
    <w:rsid w:val="00687F84"/>
    <w:rsid w:val="0069290A"/>
    <w:rsid w:val="0069652C"/>
    <w:rsid w:val="00696DB3"/>
    <w:rsid w:val="0069708E"/>
    <w:rsid w:val="0069775A"/>
    <w:rsid w:val="00697813"/>
    <w:rsid w:val="006A2DA6"/>
    <w:rsid w:val="006A30C0"/>
    <w:rsid w:val="006A3EE8"/>
    <w:rsid w:val="006A6221"/>
    <w:rsid w:val="006A72BF"/>
    <w:rsid w:val="006B03F2"/>
    <w:rsid w:val="006B0ACD"/>
    <w:rsid w:val="006B2CB9"/>
    <w:rsid w:val="006B37DC"/>
    <w:rsid w:val="006B38BD"/>
    <w:rsid w:val="006B4F68"/>
    <w:rsid w:val="006B5749"/>
    <w:rsid w:val="006B5759"/>
    <w:rsid w:val="006B6AD0"/>
    <w:rsid w:val="006C0592"/>
    <w:rsid w:val="006C088F"/>
    <w:rsid w:val="006C17E0"/>
    <w:rsid w:val="006C18A8"/>
    <w:rsid w:val="006C230E"/>
    <w:rsid w:val="006C2485"/>
    <w:rsid w:val="006C272E"/>
    <w:rsid w:val="006C5479"/>
    <w:rsid w:val="006C5E6E"/>
    <w:rsid w:val="006C6FFA"/>
    <w:rsid w:val="006C72FA"/>
    <w:rsid w:val="006C74BF"/>
    <w:rsid w:val="006D129F"/>
    <w:rsid w:val="006D13B5"/>
    <w:rsid w:val="006D22B9"/>
    <w:rsid w:val="006D2399"/>
    <w:rsid w:val="006D2726"/>
    <w:rsid w:val="006D3B48"/>
    <w:rsid w:val="006D5459"/>
    <w:rsid w:val="006D731B"/>
    <w:rsid w:val="006E0CCE"/>
    <w:rsid w:val="006E12FF"/>
    <w:rsid w:val="006E47D4"/>
    <w:rsid w:val="006E4F0C"/>
    <w:rsid w:val="006E607E"/>
    <w:rsid w:val="006F0965"/>
    <w:rsid w:val="006F241C"/>
    <w:rsid w:val="006F26A3"/>
    <w:rsid w:val="006F2810"/>
    <w:rsid w:val="006F4686"/>
    <w:rsid w:val="006F5176"/>
    <w:rsid w:val="006F6E14"/>
    <w:rsid w:val="006F7D9A"/>
    <w:rsid w:val="006F7DA8"/>
    <w:rsid w:val="0070231D"/>
    <w:rsid w:val="007031AC"/>
    <w:rsid w:val="007065B6"/>
    <w:rsid w:val="00706C5D"/>
    <w:rsid w:val="00706F2E"/>
    <w:rsid w:val="00710629"/>
    <w:rsid w:val="007118C8"/>
    <w:rsid w:val="007122C5"/>
    <w:rsid w:val="007125D8"/>
    <w:rsid w:val="00712EF2"/>
    <w:rsid w:val="007141A1"/>
    <w:rsid w:val="00716347"/>
    <w:rsid w:val="007202F7"/>
    <w:rsid w:val="007203F1"/>
    <w:rsid w:val="0072286B"/>
    <w:rsid w:val="00723B2E"/>
    <w:rsid w:val="00726B61"/>
    <w:rsid w:val="0073086C"/>
    <w:rsid w:val="00731510"/>
    <w:rsid w:val="00731597"/>
    <w:rsid w:val="00732922"/>
    <w:rsid w:val="007346F6"/>
    <w:rsid w:val="00736F19"/>
    <w:rsid w:val="007372FB"/>
    <w:rsid w:val="00740AB0"/>
    <w:rsid w:val="00741662"/>
    <w:rsid w:val="00741924"/>
    <w:rsid w:val="0075008A"/>
    <w:rsid w:val="0075162E"/>
    <w:rsid w:val="00752441"/>
    <w:rsid w:val="0075400A"/>
    <w:rsid w:val="00754034"/>
    <w:rsid w:val="00754570"/>
    <w:rsid w:val="007550DD"/>
    <w:rsid w:val="00756556"/>
    <w:rsid w:val="0076101A"/>
    <w:rsid w:val="007618C4"/>
    <w:rsid w:val="00763885"/>
    <w:rsid w:val="00764FE5"/>
    <w:rsid w:val="00765014"/>
    <w:rsid w:val="00765FFB"/>
    <w:rsid w:val="00767980"/>
    <w:rsid w:val="00770B19"/>
    <w:rsid w:val="00771B68"/>
    <w:rsid w:val="00773645"/>
    <w:rsid w:val="0077463F"/>
    <w:rsid w:val="00774E0B"/>
    <w:rsid w:val="007773AB"/>
    <w:rsid w:val="00777598"/>
    <w:rsid w:val="00777CF8"/>
    <w:rsid w:val="00777F3D"/>
    <w:rsid w:val="00781559"/>
    <w:rsid w:val="00782343"/>
    <w:rsid w:val="00782666"/>
    <w:rsid w:val="00783365"/>
    <w:rsid w:val="007836EA"/>
    <w:rsid w:val="00784CDA"/>
    <w:rsid w:val="00786097"/>
    <w:rsid w:val="007904A8"/>
    <w:rsid w:val="007906C4"/>
    <w:rsid w:val="00790B6A"/>
    <w:rsid w:val="00791C86"/>
    <w:rsid w:val="00792CE7"/>
    <w:rsid w:val="00793FAC"/>
    <w:rsid w:val="007940EA"/>
    <w:rsid w:val="007944A6"/>
    <w:rsid w:val="007967E8"/>
    <w:rsid w:val="007978C8"/>
    <w:rsid w:val="007A01F8"/>
    <w:rsid w:val="007A2170"/>
    <w:rsid w:val="007A22BF"/>
    <w:rsid w:val="007A2F49"/>
    <w:rsid w:val="007A3323"/>
    <w:rsid w:val="007A4219"/>
    <w:rsid w:val="007A4231"/>
    <w:rsid w:val="007A7683"/>
    <w:rsid w:val="007A79D8"/>
    <w:rsid w:val="007B0A69"/>
    <w:rsid w:val="007B2072"/>
    <w:rsid w:val="007B2D0F"/>
    <w:rsid w:val="007B3A8F"/>
    <w:rsid w:val="007B4189"/>
    <w:rsid w:val="007B72B8"/>
    <w:rsid w:val="007B7A58"/>
    <w:rsid w:val="007C1314"/>
    <w:rsid w:val="007C13F6"/>
    <w:rsid w:val="007C21B5"/>
    <w:rsid w:val="007C43AA"/>
    <w:rsid w:val="007C4F60"/>
    <w:rsid w:val="007C7C81"/>
    <w:rsid w:val="007D0BE7"/>
    <w:rsid w:val="007D2C96"/>
    <w:rsid w:val="007D3369"/>
    <w:rsid w:val="007D52AE"/>
    <w:rsid w:val="007D557F"/>
    <w:rsid w:val="007D79A9"/>
    <w:rsid w:val="007D7CA0"/>
    <w:rsid w:val="007E151C"/>
    <w:rsid w:val="007E1B25"/>
    <w:rsid w:val="007E3D63"/>
    <w:rsid w:val="007E3E9B"/>
    <w:rsid w:val="007E4BD2"/>
    <w:rsid w:val="007E65AE"/>
    <w:rsid w:val="007E6B96"/>
    <w:rsid w:val="007E797F"/>
    <w:rsid w:val="007F2459"/>
    <w:rsid w:val="007F6039"/>
    <w:rsid w:val="007F6503"/>
    <w:rsid w:val="00800452"/>
    <w:rsid w:val="00801393"/>
    <w:rsid w:val="00802C13"/>
    <w:rsid w:val="00802F88"/>
    <w:rsid w:val="00811536"/>
    <w:rsid w:val="00811BE6"/>
    <w:rsid w:val="0081293E"/>
    <w:rsid w:val="00813F06"/>
    <w:rsid w:val="00815465"/>
    <w:rsid w:val="008157CB"/>
    <w:rsid w:val="00815823"/>
    <w:rsid w:val="00817149"/>
    <w:rsid w:val="00817E9A"/>
    <w:rsid w:val="00820AF0"/>
    <w:rsid w:val="00821646"/>
    <w:rsid w:val="00823B6E"/>
    <w:rsid w:val="008264F4"/>
    <w:rsid w:val="008306BD"/>
    <w:rsid w:val="00831A80"/>
    <w:rsid w:val="00832CC6"/>
    <w:rsid w:val="0083346E"/>
    <w:rsid w:val="00833743"/>
    <w:rsid w:val="00833F1B"/>
    <w:rsid w:val="008340A4"/>
    <w:rsid w:val="00835FAB"/>
    <w:rsid w:val="00836483"/>
    <w:rsid w:val="00837437"/>
    <w:rsid w:val="00841399"/>
    <w:rsid w:val="00841A7D"/>
    <w:rsid w:val="00842F98"/>
    <w:rsid w:val="008436E1"/>
    <w:rsid w:val="00843F1C"/>
    <w:rsid w:val="00844113"/>
    <w:rsid w:val="00844CB5"/>
    <w:rsid w:val="008503BE"/>
    <w:rsid w:val="008509C8"/>
    <w:rsid w:val="00855988"/>
    <w:rsid w:val="00856DBA"/>
    <w:rsid w:val="0085777D"/>
    <w:rsid w:val="0086223C"/>
    <w:rsid w:val="00867C8F"/>
    <w:rsid w:val="00870DDC"/>
    <w:rsid w:val="0087135F"/>
    <w:rsid w:val="0087136B"/>
    <w:rsid w:val="00871769"/>
    <w:rsid w:val="00871816"/>
    <w:rsid w:val="00871C79"/>
    <w:rsid w:val="00872D94"/>
    <w:rsid w:val="00873579"/>
    <w:rsid w:val="0087565B"/>
    <w:rsid w:val="008776CE"/>
    <w:rsid w:val="00880364"/>
    <w:rsid w:val="00883383"/>
    <w:rsid w:val="008835C6"/>
    <w:rsid w:val="00891592"/>
    <w:rsid w:val="00891E9E"/>
    <w:rsid w:val="008927E3"/>
    <w:rsid w:val="00893E7C"/>
    <w:rsid w:val="00894081"/>
    <w:rsid w:val="00894175"/>
    <w:rsid w:val="00894383"/>
    <w:rsid w:val="00896AE8"/>
    <w:rsid w:val="00896C9B"/>
    <w:rsid w:val="008972B9"/>
    <w:rsid w:val="008A0DDC"/>
    <w:rsid w:val="008A1F47"/>
    <w:rsid w:val="008A1FA3"/>
    <w:rsid w:val="008A2F68"/>
    <w:rsid w:val="008A6398"/>
    <w:rsid w:val="008A7FB8"/>
    <w:rsid w:val="008A7FF2"/>
    <w:rsid w:val="008B026D"/>
    <w:rsid w:val="008B02B8"/>
    <w:rsid w:val="008B0DE6"/>
    <w:rsid w:val="008B4C0B"/>
    <w:rsid w:val="008B4FA6"/>
    <w:rsid w:val="008B50FA"/>
    <w:rsid w:val="008B5282"/>
    <w:rsid w:val="008B5845"/>
    <w:rsid w:val="008B5E21"/>
    <w:rsid w:val="008B5E48"/>
    <w:rsid w:val="008B6573"/>
    <w:rsid w:val="008B7308"/>
    <w:rsid w:val="008B76C0"/>
    <w:rsid w:val="008B7C0A"/>
    <w:rsid w:val="008B7C17"/>
    <w:rsid w:val="008C1543"/>
    <w:rsid w:val="008C218F"/>
    <w:rsid w:val="008C2307"/>
    <w:rsid w:val="008C24F7"/>
    <w:rsid w:val="008C26DB"/>
    <w:rsid w:val="008C27A2"/>
    <w:rsid w:val="008C2D01"/>
    <w:rsid w:val="008C40E6"/>
    <w:rsid w:val="008C4C93"/>
    <w:rsid w:val="008C53B5"/>
    <w:rsid w:val="008C6173"/>
    <w:rsid w:val="008C78B6"/>
    <w:rsid w:val="008D0584"/>
    <w:rsid w:val="008D0F7A"/>
    <w:rsid w:val="008D268F"/>
    <w:rsid w:val="008D2990"/>
    <w:rsid w:val="008D68E4"/>
    <w:rsid w:val="008D724E"/>
    <w:rsid w:val="008E0506"/>
    <w:rsid w:val="008E0CFF"/>
    <w:rsid w:val="008E15F0"/>
    <w:rsid w:val="008E30CD"/>
    <w:rsid w:val="008E38DA"/>
    <w:rsid w:val="008E5D6B"/>
    <w:rsid w:val="008E76F0"/>
    <w:rsid w:val="008F15FE"/>
    <w:rsid w:val="008F2191"/>
    <w:rsid w:val="008F2390"/>
    <w:rsid w:val="008F2D29"/>
    <w:rsid w:val="008F3469"/>
    <w:rsid w:val="008F3AA0"/>
    <w:rsid w:val="008F5187"/>
    <w:rsid w:val="008F60D8"/>
    <w:rsid w:val="008F6E64"/>
    <w:rsid w:val="008F70CE"/>
    <w:rsid w:val="00902525"/>
    <w:rsid w:val="00902727"/>
    <w:rsid w:val="00902ABB"/>
    <w:rsid w:val="0090312B"/>
    <w:rsid w:val="00903825"/>
    <w:rsid w:val="0090389D"/>
    <w:rsid w:val="00904EF7"/>
    <w:rsid w:val="0090612B"/>
    <w:rsid w:val="00910BC4"/>
    <w:rsid w:val="00912502"/>
    <w:rsid w:val="00912AD6"/>
    <w:rsid w:val="009145D1"/>
    <w:rsid w:val="00915D13"/>
    <w:rsid w:val="0091674D"/>
    <w:rsid w:val="00916EAA"/>
    <w:rsid w:val="0091736D"/>
    <w:rsid w:val="00917725"/>
    <w:rsid w:val="00921A47"/>
    <w:rsid w:val="00923BDA"/>
    <w:rsid w:val="0092421F"/>
    <w:rsid w:val="00924C35"/>
    <w:rsid w:val="00924FC7"/>
    <w:rsid w:val="00927D23"/>
    <w:rsid w:val="0093037A"/>
    <w:rsid w:val="009308A3"/>
    <w:rsid w:val="0093108D"/>
    <w:rsid w:val="00932B28"/>
    <w:rsid w:val="00933AA5"/>
    <w:rsid w:val="0093418D"/>
    <w:rsid w:val="009365F7"/>
    <w:rsid w:val="00936BFC"/>
    <w:rsid w:val="00936FEB"/>
    <w:rsid w:val="009373D9"/>
    <w:rsid w:val="0094154D"/>
    <w:rsid w:val="009422CB"/>
    <w:rsid w:val="0094312C"/>
    <w:rsid w:val="00943B09"/>
    <w:rsid w:val="00944741"/>
    <w:rsid w:val="009457CC"/>
    <w:rsid w:val="00946383"/>
    <w:rsid w:val="00947B5E"/>
    <w:rsid w:val="0095001F"/>
    <w:rsid w:val="00950338"/>
    <w:rsid w:val="0095155F"/>
    <w:rsid w:val="00951B96"/>
    <w:rsid w:val="00951C66"/>
    <w:rsid w:val="00951FE0"/>
    <w:rsid w:val="00953073"/>
    <w:rsid w:val="00954196"/>
    <w:rsid w:val="00954429"/>
    <w:rsid w:val="009562A7"/>
    <w:rsid w:val="009563CE"/>
    <w:rsid w:val="00957C7B"/>
    <w:rsid w:val="0096025A"/>
    <w:rsid w:val="00961D9A"/>
    <w:rsid w:val="00966434"/>
    <w:rsid w:val="0096733F"/>
    <w:rsid w:val="00967860"/>
    <w:rsid w:val="009710CA"/>
    <w:rsid w:val="00972B35"/>
    <w:rsid w:val="0097306F"/>
    <w:rsid w:val="00973174"/>
    <w:rsid w:val="00974911"/>
    <w:rsid w:val="00974C7D"/>
    <w:rsid w:val="009758E9"/>
    <w:rsid w:val="00976328"/>
    <w:rsid w:val="0097680D"/>
    <w:rsid w:val="00980C17"/>
    <w:rsid w:val="00982438"/>
    <w:rsid w:val="009826C2"/>
    <w:rsid w:val="009829E1"/>
    <w:rsid w:val="0098404C"/>
    <w:rsid w:val="00985283"/>
    <w:rsid w:val="00986451"/>
    <w:rsid w:val="00990174"/>
    <w:rsid w:val="009906C9"/>
    <w:rsid w:val="00992629"/>
    <w:rsid w:val="0099346B"/>
    <w:rsid w:val="00993532"/>
    <w:rsid w:val="009954D5"/>
    <w:rsid w:val="00995992"/>
    <w:rsid w:val="00996D68"/>
    <w:rsid w:val="00997D30"/>
    <w:rsid w:val="009A03E5"/>
    <w:rsid w:val="009A0F3B"/>
    <w:rsid w:val="009A1BB4"/>
    <w:rsid w:val="009A24C5"/>
    <w:rsid w:val="009A2628"/>
    <w:rsid w:val="009A26D8"/>
    <w:rsid w:val="009A3200"/>
    <w:rsid w:val="009A34FA"/>
    <w:rsid w:val="009B0897"/>
    <w:rsid w:val="009B271F"/>
    <w:rsid w:val="009B2CBF"/>
    <w:rsid w:val="009B70EC"/>
    <w:rsid w:val="009B7481"/>
    <w:rsid w:val="009B7BD9"/>
    <w:rsid w:val="009C0C98"/>
    <w:rsid w:val="009C1183"/>
    <w:rsid w:val="009C2BA5"/>
    <w:rsid w:val="009C4C7F"/>
    <w:rsid w:val="009C53D8"/>
    <w:rsid w:val="009C54A0"/>
    <w:rsid w:val="009C6790"/>
    <w:rsid w:val="009C7DD5"/>
    <w:rsid w:val="009D011A"/>
    <w:rsid w:val="009D1457"/>
    <w:rsid w:val="009D5465"/>
    <w:rsid w:val="009D5C3F"/>
    <w:rsid w:val="009E0A7B"/>
    <w:rsid w:val="009E227D"/>
    <w:rsid w:val="009E2A8E"/>
    <w:rsid w:val="009E3360"/>
    <w:rsid w:val="009E4344"/>
    <w:rsid w:val="009E5019"/>
    <w:rsid w:val="009E7552"/>
    <w:rsid w:val="009F02E6"/>
    <w:rsid w:val="009F1A7E"/>
    <w:rsid w:val="009F252A"/>
    <w:rsid w:val="009F2C5A"/>
    <w:rsid w:val="009F7C3C"/>
    <w:rsid w:val="00A0039F"/>
    <w:rsid w:val="00A008F1"/>
    <w:rsid w:val="00A0094D"/>
    <w:rsid w:val="00A00E66"/>
    <w:rsid w:val="00A04F1B"/>
    <w:rsid w:val="00A0501B"/>
    <w:rsid w:val="00A12F94"/>
    <w:rsid w:val="00A14947"/>
    <w:rsid w:val="00A16171"/>
    <w:rsid w:val="00A205A6"/>
    <w:rsid w:val="00A20B46"/>
    <w:rsid w:val="00A21FF1"/>
    <w:rsid w:val="00A22452"/>
    <w:rsid w:val="00A232EB"/>
    <w:rsid w:val="00A235DF"/>
    <w:rsid w:val="00A244D6"/>
    <w:rsid w:val="00A30750"/>
    <w:rsid w:val="00A31DD1"/>
    <w:rsid w:val="00A32A83"/>
    <w:rsid w:val="00A32DE5"/>
    <w:rsid w:val="00A33421"/>
    <w:rsid w:val="00A3441D"/>
    <w:rsid w:val="00A3609A"/>
    <w:rsid w:val="00A360CF"/>
    <w:rsid w:val="00A368DB"/>
    <w:rsid w:val="00A37690"/>
    <w:rsid w:val="00A37C26"/>
    <w:rsid w:val="00A40E6F"/>
    <w:rsid w:val="00A423AA"/>
    <w:rsid w:val="00A44D28"/>
    <w:rsid w:val="00A4604D"/>
    <w:rsid w:val="00A4678B"/>
    <w:rsid w:val="00A467C9"/>
    <w:rsid w:val="00A46F5A"/>
    <w:rsid w:val="00A50650"/>
    <w:rsid w:val="00A50D86"/>
    <w:rsid w:val="00A52EA1"/>
    <w:rsid w:val="00A5378E"/>
    <w:rsid w:val="00A53A23"/>
    <w:rsid w:val="00A53EC6"/>
    <w:rsid w:val="00A55C0F"/>
    <w:rsid w:val="00A56276"/>
    <w:rsid w:val="00A5711A"/>
    <w:rsid w:val="00A62FDA"/>
    <w:rsid w:val="00A63514"/>
    <w:rsid w:val="00A64090"/>
    <w:rsid w:val="00A643CE"/>
    <w:rsid w:val="00A64799"/>
    <w:rsid w:val="00A64BB3"/>
    <w:rsid w:val="00A6604B"/>
    <w:rsid w:val="00A6770B"/>
    <w:rsid w:val="00A70587"/>
    <w:rsid w:val="00A705FE"/>
    <w:rsid w:val="00A70E00"/>
    <w:rsid w:val="00A719AA"/>
    <w:rsid w:val="00A7563E"/>
    <w:rsid w:val="00A75850"/>
    <w:rsid w:val="00A765C6"/>
    <w:rsid w:val="00A76BFB"/>
    <w:rsid w:val="00A77807"/>
    <w:rsid w:val="00A77844"/>
    <w:rsid w:val="00A84E4A"/>
    <w:rsid w:val="00A86A4A"/>
    <w:rsid w:val="00A8713F"/>
    <w:rsid w:val="00A90BA1"/>
    <w:rsid w:val="00A9199B"/>
    <w:rsid w:val="00A92576"/>
    <w:rsid w:val="00A929B3"/>
    <w:rsid w:val="00A95125"/>
    <w:rsid w:val="00A9743A"/>
    <w:rsid w:val="00A97A9A"/>
    <w:rsid w:val="00AA0671"/>
    <w:rsid w:val="00AA1F45"/>
    <w:rsid w:val="00AA2056"/>
    <w:rsid w:val="00AA2531"/>
    <w:rsid w:val="00AB0929"/>
    <w:rsid w:val="00AB1E09"/>
    <w:rsid w:val="00AB2E9D"/>
    <w:rsid w:val="00AB38FE"/>
    <w:rsid w:val="00AB41FF"/>
    <w:rsid w:val="00AB4E16"/>
    <w:rsid w:val="00AB5273"/>
    <w:rsid w:val="00AB5330"/>
    <w:rsid w:val="00AB5AC9"/>
    <w:rsid w:val="00AB6181"/>
    <w:rsid w:val="00AB6DBD"/>
    <w:rsid w:val="00AB71CE"/>
    <w:rsid w:val="00AB7747"/>
    <w:rsid w:val="00AC14CE"/>
    <w:rsid w:val="00AC25E7"/>
    <w:rsid w:val="00AC2A56"/>
    <w:rsid w:val="00AC7F14"/>
    <w:rsid w:val="00AD03C4"/>
    <w:rsid w:val="00AD055E"/>
    <w:rsid w:val="00AD47A7"/>
    <w:rsid w:val="00AD5818"/>
    <w:rsid w:val="00AE02F2"/>
    <w:rsid w:val="00AE11E1"/>
    <w:rsid w:val="00AE1AB2"/>
    <w:rsid w:val="00AE1B21"/>
    <w:rsid w:val="00AE248C"/>
    <w:rsid w:val="00AE2950"/>
    <w:rsid w:val="00AE5AFD"/>
    <w:rsid w:val="00AE63D9"/>
    <w:rsid w:val="00AF0CBF"/>
    <w:rsid w:val="00AF1A05"/>
    <w:rsid w:val="00AF257F"/>
    <w:rsid w:val="00AF33CF"/>
    <w:rsid w:val="00AF352E"/>
    <w:rsid w:val="00AF3AC2"/>
    <w:rsid w:val="00AF4D50"/>
    <w:rsid w:val="00AF6179"/>
    <w:rsid w:val="00AF7264"/>
    <w:rsid w:val="00AF782A"/>
    <w:rsid w:val="00B00BF6"/>
    <w:rsid w:val="00B014CE"/>
    <w:rsid w:val="00B0189A"/>
    <w:rsid w:val="00B033E5"/>
    <w:rsid w:val="00B03D54"/>
    <w:rsid w:val="00B03E93"/>
    <w:rsid w:val="00B05D7B"/>
    <w:rsid w:val="00B07E19"/>
    <w:rsid w:val="00B112F6"/>
    <w:rsid w:val="00B126E9"/>
    <w:rsid w:val="00B1295A"/>
    <w:rsid w:val="00B1352D"/>
    <w:rsid w:val="00B17BDC"/>
    <w:rsid w:val="00B20A45"/>
    <w:rsid w:val="00B211E1"/>
    <w:rsid w:val="00B2121F"/>
    <w:rsid w:val="00B22C5C"/>
    <w:rsid w:val="00B22CAB"/>
    <w:rsid w:val="00B247A2"/>
    <w:rsid w:val="00B24F30"/>
    <w:rsid w:val="00B26134"/>
    <w:rsid w:val="00B27559"/>
    <w:rsid w:val="00B2787C"/>
    <w:rsid w:val="00B27FC4"/>
    <w:rsid w:val="00B30505"/>
    <w:rsid w:val="00B31ABF"/>
    <w:rsid w:val="00B33BE3"/>
    <w:rsid w:val="00B35639"/>
    <w:rsid w:val="00B40221"/>
    <w:rsid w:val="00B4091C"/>
    <w:rsid w:val="00B42E11"/>
    <w:rsid w:val="00B43319"/>
    <w:rsid w:val="00B43D34"/>
    <w:rsid w:val="00B46040"/>
    <w:rsid w:val="00B47C39"/>
    <w:rsid w:val="00B5387B"/>
    <w:rsid w:val="00B53AD4"/>
    <w:rsid w:val="00B53B5D"/>
    <w:rsid w:val="00B541EC"/>
    <w:rsid w:val="00B54BC1"/>
    <w:rsid w:val="00B54D91"/>
    <w:rsid w:val="00B5507A"/>
    <w:rsid w:val="00B6055E"/>
    <w:rsid w:val="00B62545"/>
    <w:rsid w:val="00B6317D"/>
    <w:rsid w:val="00B63ADB"/>
    <w:rsid w:val="00B63CDD"/>
    <w:rsid w:val="00B64013"/>
    <w:rsid w:val="00B64429"/>
    <w:rsid w:val="00B64487"/>
    <w:rsid w:val="00B700BD"/>
    <w:rsid w:val="00B734AB"/>
    <w:rsid w:val="00B76192"/>
    <w:rsid w:val="00B7723F"/>
    <w:rsid w:val="00B8031A"/>
    <w:rsid w:val="00B80534"/>
    <w:rsid w:val="00B80EEA"/>
    <w:rsid w:val="00B812F3"/>
    <w:rsid w:val="00B8150F"/>
    <w:rsid w:val="00B830AB"/>
    <w:rsid w:val="00B8433C"/>
    <w:rsid w:val="00B85F36"/>
    <w:rsid w:val="00B87491"/>
    <w:rsid w:val="00B90B38"/>
    <w:rsid w:val="00B912AC"/>
    <w:rsid w:val="00B915BF"/>
    <w:rsid w:val="00B943A2"/>
    <w:rsid w:val="00B94845"/>
    <w:rsid w:val="00B94908"/>
    <w:rsid w:val="00B96B57"/>
    <w:rsid w:val="00B97E7E"/>
    <w:rsid w:val="00BA18E5"/>
    <w:rsid w:val="00BA29E9"/>
    <w:rsid w:val="00BA4C2A"/>
    <w:rsid w:val="00BA5AC9"/>
    <w:rsid w:val="00BA5C68"/>
    <w:rsid w:val="00BA6212"/>
    <w:rsid w:val="00BA6BDA"/>
    <w:rsid w:val="00BA7142"/>
    <w:rsid w:val="00BB007E"/>
    <w:rsid w:val="00BB0313"/>
    <w:rsid w:val="00BB0585"/>
    <w:rsid w:val="00BB1234"/>
    <w:rsid w:val="00BB237C"/>
    <w:rsid w:val="00BB375D"/>
    <w:rsid w:val="00BB3EE9"/>
    <w:rsid w:val="00BB41A3"/>
    <w:rsid w:val="00BB41A8"/>
    <w:rsid w:val="00BB45FB"/>
    <w:rsid w:val="00BB49C7"/>
    <w:rsid w:val="00BB4EC3"/>
    <w:rsid w:val="00BC0153"/>
    <w:rsid w:val="00BC081C"/>
    <w:rsid w:val="00BC1A3C"/>
    <w:rsid w:val="00BC1BC5"/>
    <w:rsid w:val="00BC32DC"/>
    <w:rsid w:val="00BC35B6"/>
    <w:rsid w:val="00BC3C48"/>
    <w:rsid w:val="00BC69B2"/>
    <w:rsid w:val="00BC77EE"/>
    <w:rsid w:val="00BD1B51"/>
    <w:rsid w:val="00BD2AC0"/>
    <w:rsid w:val="00BD4596"/>
    <w:rsid w:val="00BD484D"/>
    <w:rsid w:val="00BD582E"/>
    <w:rsid w:val="00BD6027"/>
    <w:rsid w:val="00BE1405"/>
    <w:rsid w:val="00BE2BF5"/>
    <w:rsid w:val="00BE305B"/>
    <w:rsid w:val="00BE312D"/>
    <w:rsid w:val="00BE3366"/>
    <w:rsid w:val="00BE33D7"/>
    <w:rsid w:val="00BE3B05"/>
    <w:rsid w:val="00BE46AA"/>
    <w:rsid w:val="00BE662F"/>
    <w:rsid w:val="00BE77EA"/>
    <w:rsid w:val="00BF070B"/>
    <w:rsid w:val="00BF1C20"/>
    <w:rsid w:val="00BF3C3D"/>
    <w:rsid w:val="00BF53DC"/>
    <w:rsid w:val="00BF6160"/>
    <w:rsid w:val="00C01519"/>
    <w:rsid w:val="00C03625"/>
    <w:rsid w:val="00C0380B"/>
    <w:rsid w:val="00C045FF"/>
    <w:rsid w:val="00C07A10"/>
    <w:rsid w:val="00C10578"/>
    <w:rsid w:val="00C130BC"/>
    <w:rsid w:val="00C134EE"/>
    <w:rsid w:val="00C135BC"/>
    <w:rsid w:val="00C13635"/>
    <w:rsid w:val="00C15B01"/>
    <w:rsid w:val="00C15C95"/>
    <w:rsid w:val="00C15F25"/>
    <w:rsid w:val="00C162B1"/>
    <w:rsid w:val="00C16710"/>
    <w:rsid w:val="00C16E62"/>
    <w:rsid w:val="00C20A8A"/>
    <w:rsid w:val="00C21D0B"/>
    <w:rsid w:val="00C237DC"/>
    <w:rsid w:val="00C239EE"/>
    <w:rsid w:val="00C24E1C"/>
    <w:rsid w:val="00C24EAC"/>
    <w:rsid w:val="00C256CE"/>
    <w:rsid w:val="00C2596A"/>
    <w:rsid w:val="00C26386"/>
    <w:rsid w:val="00C27537"/>
    <w:rsid w:val="00C277D2"/>
    <w:rsid w:val="00C27EB1"/>
    <w:rsid w:val="00C31F57"/>
    <w:rsid w:val="00C32255"/>
    <w:rsid w:val="00C328FE"/>
    <w:rsid w:val="00C33507"/>
    <w:rsid w:val="00C35016"/>
    <w:rsid w:val="00C379C9"/>
    <w:rsid w:val="00C40CAE"/>
    <w:rsid w:val="00C425A7"/>
    <w:rsid w:val="00C42625"/>
    <w:rsid w:val="00C42712"/>
    <w:rsid w:val="00C4409D"/>
    <w:rsid w:val="00C446AC"/>
    <w:rsid w:val="00C44E72"/>
    <w:rsid w:val="00C45A06"/>
    <w:rsid w:val="00C470C7"/>
    <w:rsid w:val="00C47276"/>
    <w:rsid w:val="00C47BCB"/>
    <w:rsid w:val="00C47E5B"/>
    <w:rsid w:val="00C51610"/>
    <w:rsid w:val="00C517D0"/>
    <w:rsid w:val="00C51C55"/>
    <w:rsid w:val="00C55C80"/>
    <w:rsid w:val="00C561D4"/>
    <w:rsid w:val="00C5781B"/>
    <w:rsid w:val="00C61E4B"/>
    <w:rsid w:val="00C6227D"/>
    <w:rsid w:val="00C62ED6"/>
    <w:rsid w:val="00C63ADD"/>
    <w:rsid w:val="00C64BFF"/>
    <w:rsid w:val="00C64D63"/>
    <w:rsid w:val="00C65AC0"/>
    <w:rsid w:val="00C67A1A"/>
    <w:rsid w:val="00C704E9"/>
    <w:rsid w:val="00C7106B"/>
    <w:rsid w:val="00C73039"/>
    <w:rsid w:val="00C73BDA"/>
    <w:rsid w:val="00C749E4"/>
    <w:rsid w:val="00C74F07"/>
    <w:rsid w:val="00C75AE6"/>
    <w:rsid w:val="00C763C9"/>
    <w:rsid w:val="00C76B2C"/>
    <w:rsid w:val="00C779EF"/>
    <w:rsid w:val="00C80057"/>
    <w:rsid w:val="00C80E9C"/>
    <w:rsid w:val="00C8175B"/>
    <w:rsid w:val="00C81E18"/>
    <w:rsid w:val="00C82232"/>
    <w:rsid w:val="00C8234C"/>
    <w:rsid w:val="00C824A8"/>
    <w:rsid w:val="00C82913"/>
    <w:rsid w:val="00C8465B"/>
    <w:rsid w:val="00C861DF"/>
    <w:rsid w:val="00C87CFB"/>
    <w:rsid w:val="00C87F3D"/>
    <w:rsid w:val="00C96CD2"/>
    <w:rsid w:val="00C972B1"/>
    <w:rsid w:val="00CA2CCE"/>
    <w:rsid w:val="00CA33A1"/>
    <w:rsid w:val="00CA43FD"/>
    <w:rsid w:val="00CA4C53"/>
    <w:rsid w:val="00CA6CE2"/>
    <w:rsid w:val="00CA7EF8"/>
    <w:rsid w:val="00CB09C7"/>
    <w:rsid w:val="00CB604A"/>
    <w:rsid w:val="00CB619C"/>
    <w:rsid w:val="00CB6259"/>
    <w:rsid w:val="00CB6742"/>
    <w:rsid w:val="00CB7921"/>
    <w:rsid w:val="00CC0ABE"/>
    <w:rsid w:val="00CC0CDA"/>
    <w:rsid w:val="00CC0E7D"/>
    <w:rsid w:val="00CC27E6"/>
    <w:rsid w:val="00CC4154"/>
    <w:rsid w:val="00CC489B"/>
    <w:rsid w:val="00CC4F4F"/>
    <w:rsid w:val="00CC5681"/>
    <w:rsid w:val="00CC6506"/>
    <w:rsid w:val="00CC6FB6"/>
    <w:rsid w:val="00CC7283"/>
    <w:rsid w:val="00CD2BCD"/>
    <w:rsid w:val="00CD2F50"/>
    <w:rsid w:val="00CD38C1"/>
    <w:rsid w:val="00CD3A4C"/>
    <w:rsid w:val="00CD460F"/>
    <w:rsid w:val="00CD691B"/>
    <w:rsid w:val="00CD6B71"/>
    <w:rsid w:val="00CE10E9"/>
    <w:rsid w:val="00CE1369"/>
    <w:rsid w:val="00CE1CF4"/>
    <w:rsid w:val="00CE2910"/>
    <w:rsid w:val="00CE2AB4"/>
    <w:rsid w:val="00CE42D7"/>
    <w:rsid w:val="00CE5393"/>
    <w:rsid w:val="00CE6076"/>
    <w:rsid w:val="00CE71C5"/>
    <w:rsid w:val="00CE7594"/>
    <w:rsid w:val="00CF1685"/>
    <w:rsid w:val="00CF26C0"/>
    <w:rsid w:val="00CF2C1C"/>
    <w:rsid w:val="00CF3689"/>
    <w:rsid w:val="00CF36BE"/>
    <w:rsid w:val="00CF6000"/>
    <w:rsid w:val="00CF6082"/>
    <w:rsid w:val="00CF75E7"/>
    <w:rsid w:val="00D00088"/>
    <w:rsid w:val="00D003F3"/>
    <w:rsid w:val="00D014DE"/>
    <w:rsid w:val="00D022F8"/>
    <w:rsid w:val="00D023A5"/>
    <w:rsid w:val="00D02CA9"/>
    <w:rsid w:val="00D0364F"/>
    <w:rsid w:val="00D06834"/>
    <w:rsid w:val="00D07314"/>
    <w:rsid w:val="00D07CCD"/>
    <w:rsid w:val="00D12888"/>
    <w:rsid w:val="00D130C8"/>
    <w:rsid w:val="00D141DF"/>
    <w:rsid w:val="00D203BD"/>
    <w:rsid w:val="00D20447"/>
    <w:rsid w:val="00D20528"/>
    <w:rsid w:val="00D206E3"/>
    <w:rsid w:val="00D2536F"/>
    <w:rsid w:val="00D25949"/>
    <w:rsid w:val="00D262BE"/>
    <w:rsid w:val="00D2725E"/>
    <w:rsid w:val="00D2759E"/>
    <w:rsid w:val="00D30339"/>
    <w:rsid w:val="00D308ED"/>
    <w:rsid w:val="00D30C30"/>
    <w:rsid w:val="00D35AA6"/>
    <w:rsid w:val="00D35B96"/>
    <w:rsid w:val="00D35CA4"/>
    <w:rsid w:val="00D366AA"/>
    <w:rsid w:val="00D36D86"/>
    <w:rsid w:val="00D41738"/>
    <w:rsid w:val="00D42326"/>
    <w:rsid w:val="00D426C3"/>
    <w:rsid w:val="00D428AA"/>
    <w:rsid w:val="00D4394F"/>
    <w:rsid w:val="00D447DC"/>
    <w:rsid w:val="00D453F5"/>
    <w:rsid w:val="00D47FDB"/>
    <w:rsid w:val="00D50A34"/>
    <w:rsid w:val="00D53DE1"/>
    <w:rsid w:val="00D53EFA"/>
    <w:rsid w:val="00D54A5B"/>
    <w:rsid w:val="00D5522B"/>
    <w:rsid w:val="00D55954"/>
    <w:rsid w:val="00D577DC"/>
    <w:rsid w:val="00D60007"/>
    <w:rsid w:val="00D622EA"/>
    <w:rsid w:val="00D6431A"/>
    <w:rsid w:val="00D65CA3"/>
    <w:rsid w:val="00D67386"/>
    <w:rsid w:val="00D716D0"/>
    <w:rsid w:val="00D72465"/>
    <w:rsid w:val="00D72786"/>
    <w:rsid w:val="00D7392F"/>
    <w:rsid w:val="00D747A9"/>
    <w:rsid w:val="00D766E1"/>
    <w:rsid w:val="00D76E6A"/>
    <w:rsid w:val="00D8031F"/>
    <w:rsid w:val="00D808CC"/>
    <w:rsid w:val="00D81214"/>
    <w:rsid w:val="00D820B4"/>
    <w:rsid w:val="00D8397F"/>
    <w:rsid w:val="00D840A6"/>
    <w:rsid w:val="00D85D27"/>
    <w:rsid w:val="00D86177"/>
    <w:rsid w:val="00D866FB"/>
    <w:rsid w:val="00D86FD1"/>
    <w:rsid w:val="00D907A1"/>
    <w:rsid w:val="00D94A7C"/>
    <w:rsid w:val="00D95896"/>
    <w:rsid w:val="00D9728D"/>
    <w:rsid w:val="00D97438"/>
    <w:rsid w:val="00D97488"/>
    <w:rsid w:val="00DA02B5"/>
    <w:rsid w:val="00DA06D9"/>
    <w:rsid w:val="00DA1131"/>
    <w:rsid w:val="00DA29C4"/>
    <w:rsid w:val="00DA341B"/>
    <w:rsid w:val="00DB1D63"/>
    <w:rsid w:val="00DB2983"/>
    <w:rsid w:val="00DB390B"/>
    <w:rsid w:val="00DB4C01"/>
    <w:rsid w:val="00DB539A"/>
    <w:rsid w:val="00DB73E3"/>
    <w:rsid w:val="00DC031E"/>
    <w:rsid w:val="00DC1257"/>
    <w:rsid w:val="00DC165A"/>
    <w:rsid w:val="00DC2F12"/>
    <w:rsid w:val="00DC378C"/>
    <w:rsid w:val="00DC3D83"/>
    <w:rsid w:val="00DC3DC0"/>
    <w:rsid w:val="00DC4829"/>
    <w:rsid w:val="00DC5B2B"/>
    <w:rsid w:val="00DC5CCE"/>
    <w:rsid w:val="00DC7588"/>
    <w:rsid w:val="00DD182C"/>
    <w:rsid w:val="00DD2B91"/>
    <w:rsid w:val="00DD2BD8"/>
    <w:rsid w:val="00DD318D"/>
    <w:rsid w:val="00DD375F"/>
    <w:rsid w:val="00DD4A57"/>
    <w:rsid w:val="00DD6530"/>
    <w:rsid w:val="00DE00CE"/>
    <w:rsid w:val="00DE09C6"/>
    <w:rsid w:val="00DE34DB"/>
    <w:rsid w:val="00DE3ACD"/>
    <w:rsid w:val="00DE5B55"/>
    <w:rsid w:val="00DE5C26"/>
    <w:rsid w:val="00DE66E8"/>
    <w:rsid w:val="00DE6D7D"/>
    <w:rsid w:val="00DF2158"/>
    <w:rsid w:val="00DF260B"/>
    <w:rsid w:val="00DF2E12"/>
    <w:rsid w:val="00DF4416"/>
    <w:rsid w:val="00DF514A"/>
    <w:rsid w:val="00DF5C9F"/>
    <w:rsid w:val="00DF5D0B"/>
    <w:rsid w:val="00DF60BA"/>
    <w:rsid w:val="00DF6690"/>
    <w:rsid w:val="00DF6804"/>
    <w:rsid w:val="00E0223A"/>
    <w:rsid w:val="00E0358D"/>
    <w:rsid w:val="00E04323"/>
    <w:rsid w:val="00E05774"/>
    <w:rsid w:val="00E05CCB"/>
    <w:rsid w:val="00E070A2"/>
    <w:rsid w:val="00E07C4C"/>
    <w:rsid w:val="00E11E41"/>
    <w:rsid w:val="00E13244"/>
    <w:rsid w:val="00E134FE"/>
    <w:rsid w:val="00E1570F"/>
    <w:rsid w:val="00E15AD2"/>
    <w:rsid w:val="00E16CF4"/>
    <w:rsid w:val="00E218B0"/>
    <w:rsid w:val="00E22E7C"/>
    <w:rsid w:val="00E23776"/>
    <w:rsid w:val="00E24A15"/>
    <w:rsid w:val="00E251A9"/>
    <w:rsid w:val="00E2656A"/>
    <w:rsid w:val="00E27289"/>
    <w:rsid w:val="00E2789B"/>
    <w:rsid w:val="00E3095F"/>
    <w:rsid w:val="00E315CE"/>
    <w:rsid w:val="00E368C7"/>
    <w:rsid w:val="00E412D0"/>
    <w:rsid w:val="00E413B3"/>
    <w:rsid w:val="00E42928"/>
    <w:rsid w:val="00E435FA"/>
    <w:rsid w:val="00E44256"/>
    <w:rsid w:val="00E44C03"/>
    <w:rsid w:val="00E46AC5"/>
    <w:rsid w:val="00E529DF"/>
    <w:rsid w:val="00E52CFC"/>
    <w:rsid w:val="00E545FB"/>
    <w:rsid w:val="00E552C2"/>
    <w:rsid w:val="00E56322"/>
    <w:rsid w:val="00E57B1D"/>
    <w:rsid w:val="00E60982"/>
    <w:rsid w:val="00E62C62"/>
    <w:rsid w:val="00E62F81"/>
    <w:rsid w:val="00E654C1"/>
    <w:rsid w:val="00E65D97"/>
    <w:rsid w:val="00E65F7B"/>
    <w:rsid w:val="00E679B2"/>
    <w:rsid w:val="00E7102C"/>
    <w:rsid w:val="00E72A5A"/>
    <w:rsid w:val="00E72D40"/>
    <w:rsid w:val="00E73354"/>
    <w:rsid w:val="00E74060"/>
    <w:rsid w:val="00E74B29"/>
    <w:rsid w:val="00E75E0A"/>
    <w:rsid w:val="00E820F5"/>
    <w:rsid w:val="00E83EC6"/>
    <w:rsid w:val="00E84A5E"/>
    <w:rsid w:val="00E84E9F"/>
    <w:rsid w:val="00E85657"/>
    <w:rsid w:val="00E85BF9"/>
    <w:rsid w:val="00E85DA5"/>
    <w:rsid w:val="00E86763"/>
    <w:rsid w:val="00E874AA"/>
    <w:rsid w:val="00E87E87"/>
    <w:rsid w:val="00E9242D"/>
    <w:rsid w:val="00E93388"/>
    <w:rsid w:val="00E93774"/>
    <w:rsid w:val="00E94C83"/>
    <w:rsid w:val="00E94E84"/>
    <w:rsid w:val="00EA1815"/>
    <w:rsid w:val="00EA2025"/>
    <w:rsid w:val="00EA5453"/>
    <w:rsid w:val="00EA5B64"/>
    <w:rsid w:val="00EA7A49"/>
    <w:rsid w:val="00EB1083"/>
    <w:rsid w:val="00EB3A84"/>
    <w:rsid w:val="00EB5255"/>
    <w:rsid w:val="00EB52D4"/>
    <w:rsid w:val="00EB5C47"/>
    <w:rsid w:val="00EB7280"/>
    <w:rsid w:val="00EC052B"/>
    <w:rsid w:val="00EC2215"/>
    <w:rsid w:val="00EC682C"/>
    <w:rsid w:val="00EC7B88"/>
    <w:rsid w:val="00ED0231"/>
    <w:rsid w:val="00ED02A0"/>
    <w:rsid w:val="00ED0639"/>
    <w:rsid w:val="00ED2C3E"/>
    <w:rsid w:val="00ED2FD2"/>
    <w:rsid w:val="00ED4394"/>
    <w:rsid w:val="00ED4C31"/>
    <w:rsid w:val="00ED53E1"/>
    <w:rsid w:val="00ED69B5"/>
    <w:rsid w:val="00EE1992"/>
    <w:rsid w:val="00EE1DA9"/>
    <w:rsid w:val="00EE2A69"/>
    <w:rsid w:val="00EE6256"/>
    <w:rsid w:val="00EE66DA"/>
    <w:rsid w:val="00EE68BC"/>
    <w:rsid w:val="00EF3824"/>
    <w:rsid w:val="00EF4755"/>
    <w:rsid w:val="00EF58E1"/>
    <w:rsid w:val="00EF5A04"/>
    <w:rsid w:val="00EF7135"/>
    <w:rsid w:val="00F006BD"/>
    <w:rsid w:val="00F027DB"/>
    <w:rsid w:val="00F0460E"/>
    <w:rsid w:val="00F05382"/>
    <w:rsid w:val="00F05A7A"/>
    <w:rsid w:val="00F10CD2"/>
    <w:rsid w:val="00F149D4"/>
    <w:rsid w:val="00F14A7A"/>
    <w:rsid w:val="00F14D6F"/>
    <w:rsid w:val="00F15183"/>
    <w:rsid w:val="00F1766D"/>
    <w:rsid w:val="00F21B3E"/>
    <w:rsid w:val="00F220F6"/>
    <w:rsid w:val="00F22985"/>
    <w:rsid w:val="00F2508F"/>
    <w:rsid w:val="00F25E66"/>
    <w:rsid w:val="00F26227"/>
    <w:rsid w:val="00F30738"/>
    <w:rsid w:val="00F31766"/>
    <w:rsid w:val="00F31C6E"/>
    <w:rsid w:val="00F322DD"/>
    <w:rsid w:val="00F3383E"/>
    <w:rsid w:val="00F35142"/>
    <w:rsid w:val="00F3607F"/>
    <w:rsid w:val="00F45734"/>
    <w:rsid w:val="00F465A7"/>
    <w:rsid w:val="00F50B7C"/>
    <w:rsid w:val="00F50E9A"/>
    <w:rsid w:val="00F511A3"/>
    <w:rsid w:val="00F529AA"/>
    <w:rsid w:val="00F53E67"/>
    <w:rsid w:val="00F550E6"/>
    <w:rsid w:val="00F55F5B"/>
    <w:rsid w:val="00F5776B"/>
    <w:rsid w:val="00F60B25"/>
    <w:rsid w:val="00F63119"/>
    <w:rsid w:val="00F63CDB"/>
    <w:rsid w:val="00F6511E"/>
    <w:rsid w:val="00F663AD"/>
    <w:rsid w:val="00F66906"/>
    <w:rsid w:val="00F67E5C"/>
    <w:rsid w:val="00F707B5"/>
    <w:rsid w:val="00F74345"/>
    <w:rsid w:val="00F759FB"/>
    <w:rsid w:val="00F764E4"/>
    <w:rsid w:val="00F76856"/>
    <w:rsid w:val="00F8027D"/>
    <w:rsid w:val="00F80A0A"/>
    <w:rsid w:val="00F810F1"/>
    <w:rsid w:val="00F82966"/>
    <w:rsid w:val="00F82B19"/>
    <w:rsid w:val="00F834CE"/>
    <w:rsid w:val="00F85853"/>
    <w:rsid w:val="00F900F6"/>
    <w:rsid w:val="00F9212D"/>
    <w:rsid w:val="00F92298"/>
    <w:rsid w:val="00F9397C"/>
    <w:rsid w:val="00F93DB9"/>
    <w:rsid w:val="00F93DEB"/>
    <w:rsid w:val="00F944BA"/>
    <w:rsid w:val="00F95178"/>
    <w:rsid w:val="00F95F3E"/>
    <w:rsid w:val="00F965DA"/>
    <w:rsid w:val="00F96A33"/>
    <w:rsid w:val="00FA0213"/>
    <w:rsid w:val="00FA0635"/>
    <w:rsid w:val="00FA0D24"/>
    <w:rsid w:val="00FA0E89"/>
    <w:rsid w:val="00FA1EDE"/>
    <w:rsid w:val="00FA25C9"/>
    <w:rsid w:val="00FA2BD4"/>
    <w:rsid w:val="00FA406A"/>
    <w:rsid w:val="00FA500E"/>
    <w:rsid w:val="00FA6560"/>
    <w:rsid w:val="00FB24AE"/>
    <w:rsid w:val="00FB308C"/>
    <w:rsid w:val="00FB503A"/>
    <w:rsid w:val="00FB516C"/>
    <w:rsid w:val="00FB5EC0"/>
    <w:rsid w:val="00FB774D"/>
    <w:rsid w:val="00FB78A8"/>
    <w:rsid w:val="00FB78AC"/>
    <w:rsid w:val="00FC05D5"/>
    <w:rsid w:val="00FC0929"/>
    <w:rsid w:val="00FC206D"/>
    <w:rsid w:val="00FC24B0"/>
    <w:rsid w:val="00FD0236"/>
    <w:rsid w:val="00FD18F4"/>
    <w:rsid w:val="00FD2036"/>
    <w:rsid w:val="00FD29F1"/>
    <w:rsid w:val="00FD54DB"/>
    <w:rsid w:val="00FD619F"/>
    <w:rsid w:val="00FD672C"/>
    <w:rsid w:val="00FD68A5"/>
    <w:rsid w:val="00FD754C"/>
    <w:rsid w:val="00FE270B"/>
    <w:rsid w:val="00FE2D29"/>
    <w:rsid w:val="00FE3A1E"/>
    <w:rsid w:val="00FE4E78"/>
    <w:rsid w:val="00FE6252"/>
    <w:rsid w:val="00FE677B"/>
    <w:rsid w:val="00FE7B08"/>
    <w:rsid w:val="00FF04C4"/>
    <w:rsid w:val="00FF1C90"/>
    <w:rsid w:val="00FF221B"/>
    <w:rsid w:val="00FF23E1"/>
    <w:rsid w:val="00FF3958"/>
    <w:rsid w:val="00FF3D8B"/>
    <w:rsid w:val="00FF41D7"/>
    <w:rsid w:val="00FF54A3"/>
    <w:rsid w:val="00FF5AA5"/>
    <w:rsid w:val="01045D46"/>
    <w:rsid w:val="011B38AC"/>
    <w:rsid w:val="01290F7E"/>
    <w:rsid w:val="012C31B9"/>
    <w:rsid w:val="012D3F00"/>
    <w:rsid w:val="01571AC6"/>
    <w:rsid w:val="015D1E09"/>
    <w:rsid w:val="016A071E"/>
    <w:rsid w:val="018E6DA4"/>
    <w:rsid w:val="01BF59FB"/>
    <w:rsid w:val="01F91C72"/>
    <w:rsid w:val="01F97E76"/>
    <w:rsid w:val="021B40CD"/>
    <w:rsid w:val="024414F5"/>
    <w:rsid w:val="02604471"/>
    <w:rsid w:val="02697903"/>
    <w:rsid w:val="026B126A"/>
    <w:rsid w:val="02757C17"/>
    <w:rsid w:val="0276687B"/>
    <w:rsid w:val="02987BF3"/>
    <w:rsid w:val="02A1357E"/>
    <w:rsid w:val="02A93B2F"/>
    <w:rsid w:val="02B43C0E"/>
    <w:rsid w:val="02BB74E5"/>
    <w:rsid w:val="02C31933"/>
    <w:rsid w:val="02C36B8C"/>
    <w:rsid w:val="02C646E1"/>
    <w:rsid w:val="02CE265D"/>
    <w:rsid w:val="02DB74FD"/>
    <w:rsid w:val="02EA4873"/>
    <w:rsid w:val="02F96569"/>
    <w:rsid w:val="02FA216F"/>
    <w:rsid w:val="02FD263D"/>
    <w:rsid w:val="031743B0"/>
    <w:rsid w:val="03273795"/>
    <w:rsid w:val="032F04D8"/>
    <w:rsid w:val="037F36C7"/>
    <w:rsid w:val="03801F24"/>
    <w:rsid w:val="038E15BE"/>
    <w:rsid w:val="03A313A6"/>
    <w:rsid w:val="03A5589C"/>
    <w:rsid w:val="03C86AEE"/>
    <w:rsid w:val="03D6401F"/>
    <w:rsid w:val="03E614F4"/>
    <w:rsid w:val="03EA7B21"/>
    <w:rsid w:val="03FB13F1"/>
    <w:rsid w:val="041240F3"/>
    <w:rsid w:val="041F2F73"/>
    <w:rsid w:val="042E68A8"/>
    <w:rsid w:val="045E2E06"/>
    <w:rsid w:val="046E0B6E"/>
    <w:rsid w:val="046E6DDE"/>
    <w:rsid w:val="04836190"/>
    <w:rsid w:val="04AA73A9"/>
    <w:rsid w:val="04D01847"/>
    <w:rsid w:val="04F76DD4"/>
    <w:rsid w:val="04F94396"/>
    <w:rsid w:val="05083C10"/>
    <w:rsid w:val="05094D59"/>
    <w:rsid w:val="05377D8A"/>
    <w:rsid w:val="054306FC"/>
    <w:rsid w:val="057E450D"/>
    <w:rsid w:val="059B55E5"/>
    <w:rsid w:val="05AD56F0"/>
    <w:rsid w:val="05B06F0E"/>
    <w:rsid w:val="05B8492F"/>
    <w:rsid w:val="05EF67CC"/>
    <w:rsid w:val="05F83EAE"/>
    <w:rsid w:val="0607608E"/>
    <w:rsid w:val="0608756F"/>
    <w:rsid w:val="060E126C"/>
    <w:rsid w:val="063E7D85"/>
    <w:rsid w:val="06460702"/>
    <w:rsid w:val="06581AF4"/>
    <w:rsid w:val="06695AAF"/>
    <w:rsid w:val="0676641E"/>
    <w:rsid w:val="06783122"/>
    <w:rsid w:val="06996DDB"/>
    <w:rsid w:val="06EA28E5"/>
    <w:rsid w:val="06F100EE"/>
    <w:rsid w:val="06F14F07"/>
    <w:rsid w:val="070776A5"/>
    <w:rsid w:val="0719416D"/>
    <w:rsid w:val="07272898"/>
    <w:rsid w:val="07293586"/>
    <w:rsid w:val="07295285"/>
    <w:rsid w:val="0730481F"/>
    <w:rsid w:val="075E2D84"/>
    <w:rsid w:val="07636392"/>
    <w:rsid w:val="076F767D"/>
    <w:rsid w:val="07740E68"/>
    <w:rsid w:val="07770C56"/>
    <w:rsid w:val="0781715E"/>
    <w:rsid w:val="07817C26"/>
    <w:rsid w:val="07CC56E3"/>
    <w:rsid w:val="07D611D9"/>
    <w:rsid w:val="07E5093B"/>
    <w:rsid w:val="07F24004"/>
    <w:rsid w:val="081952B3"/>
    <w:rsid w:val="081E245E"/>
    <w:rsid w:val="083B347B"/>
    <w:rsid w:val="083C22E1"/>
    <w:rsid w:val="086E5F4A"/>
    <w:rsid w:val="087B33F9"/>
    <w:rsid w:val="08896BF4"/>
    <w:rsid w:val="08957AE1"/>
    <w:rsid w:val="08AC0FDA"/>
    <w:rsid w:val="08F301FA"/>
    <w:rsid w:val="08FB1F7D"/>
    <w:rsid w:val="091361A6"/>
    <w:rsid w:val="092217DD"/>
    <w:rsid w:val="09264351"/>
    <w:rsid w:val="092B746A"/>
    <w:rsid w:val="09306D58"/>
    <w:rsid w:val="093A7294"/>
    <w:rsid w:val="093B3554"/>
    <w:rsid w:val="09412D13"/>
    <w:rsid w:val="096133B5"/>
    <w:rsid w:val="09743699"/>
    <w:rsid w:val="099E20EE"/>
    <w:rsid w:val="09A34935"/>
    <w:rsid w:val="09A66753"/>
    <w:rsid w:val="09B47680"/>
    <w:rsid w:val="09CF3C7F"/>
    <w:rsid w:val="0A263993"/>
    <w:rsid w:val="0A2D3AC2"/>
    <w:rsid w:val="0A345E6D"/>
    <w:rsid w:val="0A3E4F4C"/>
    <w:rsid w:val="0A41453F"/>
    <w:rsid w:val="0A5063FD"/>
    <w:rsid w:val="0A742C74"/>
    <w:rsid w:val="0A7B4003"/>
    <w:rsid w:val="0AA755DF"/>
    <w:rsid w:val="0AC93C18"/>
    <w:rsid w:val="0AD563ED"/>
    <w:rsid w:val="0AEE68A5"/>
    <w:rsid w:val="0AFC4E15"/>
    <w:rsid w:val="0B075ACF"/>
    <w:rsid w:val="0B120D44"/>
    <w:rsid w:val="0B3568A8"/>
    <w:rsid w:val="0B54502F"/>
    <w:rsid w:val="0B9D61FB"/>
    <w:rsid w:val="0BAD28E2"/>
    <w:rsid w:val="0BB45F54"/>
    <w:rsid w:val="0BC07081"/>
    <w:rsid w:val="0BD27BF6"/>
    <w:rsid w:val="0BD54C5D"/>
    <w:rsid w:val="0BFB7F97"/>
    <w:rsid w:val="0C01114E"/>
    <w:rsid w:val="0C12096C"/>
    <w:rsid w:val="0C3B3C7D"/>
    <w:rsid w:val="0C875D84"/>
    <w:rsid w:val="0CAB2EAE"/>
    <w:rsid w:val="0CB02377"/>
    <w:rsid w:val="0CCB361E"/>
    <w:rsid w:val="0CE40585"/>
    <w:rsid w:val="0D185BC6"/>
    <w:rsid w:val="0D3511EA"/>
    <w:rsid w:val="0D386EBC"/>
    <w:rsid w:val="0D3D7C96"/>
    <w:rsid w:val="0D430144"/>
    <w:rsid w:val="0D5A0848"/>
    <w:rsid w:val="0D621C7D"/>
    <w:rsid w:val="0DA25896"/>
    <w:rsid w:val="0DA50A19"/>
    <w:rsid w:val="0DA84003"/>
    <w:rsid w:val="0DAC183F"/>
    <w:rsid w:val="0DEB314C"/>
    <w:rsid w:val="0E0E2C2D"/>
    <w:rsid w:val="0E143A4D"/>
    <w:rsid w:val="0E3A275B"/>
    <w:rsid w:val="0E3C6AF3"/>
    <w:rsid w:val="0E5C6437"/>
    <w:rsid w:val="0E656D5D"/>
    <w:rsid w:val="0E671717"/>
    <w:rsid w:val="0E73034D"/>
    <w:rsid w:val="0E9E1F1C"/>
    <w:rsid w:val="0EC66C82"/>
    <w:rsid w:val="0EC95C60"/>
    <w:rsid w:val="0EEE41D5"/>
    <w:rsid w:val="0EF54BAD"/>
    <w:rsid w:val="0F076E37"/>
    <w:rsid w:val="0F13775A"/>
    <w:rsid w:val="0F297BB3"/>
    <w:rsid w:val="0F3A74D1"/>
    <w:rsid w:val="0F434A4A"/>
    <w:rsid w:val="0F54525A"/>
    <w:rsid w:val="0F5F45FE"/>
    <w:rsid w:val="0F621921"/>
    <w:rsid w:val="0F6935F2"/>
    <w:rsid w:val="0F7C2CF7"/>
    <w:rsid w:val="0F892248"/>
    <w:rsid w:val="0F9A112B"/>
    <w:rsid w:val="0F9F1181"/>
    <w:rsid w:val="0FB2512C"/>
    <w:rsid w:val="0FB75ADD"/>
    <w:rsid w:val="0FBA3932"/>
    <w:rsid w:val="0FFF56D6"/>
    <w:rsid w:val="100C3CA5"/>
    <w:rsid w:val="101C0F7D"/>
    <w:rsid w:val="105646DF"/>
    <w:rsid w:val="10693E66"/>
    <w:rsid w:val="106D2F64"/>
    <w:rsid w:val="1078796A"/>
    <w:rsid w:val="10B63710"/>
    <w:rsid w:val="10C72541"/>
    <w:rsid w:val="10EE0CB7"/>
    <w:rsid w:val="10F02398"/>
    <w:rsid w:val="10F10820"/>
    <w:rsid w:val="111C2F7A"/>
    <w:rsid w:val="11421D1E"/>
    <w:rsid w:val="11665CA1"/>
    <w:rsid w:val="11976220"/>
    <w:rsid w:val="119E7107"/>
    <w:rsid w:val="119F0480"/>
    <w:rsid w:val="11A24CCA"/>
    <w:rsid w:val="11B12A58"/>
    <w:rsid w:val="11BB04A1"/>
    <w:rsid w:val="11E6418C"/>
    <w:rsid w:val="11F36B75"/>
    <w:rsid w:val="12010CBD"/>
    <w:rsid w:val="122D7871"/>
    <w:rsid w:val="12616C6F"/>
    <w:rsid w:val="126523B4"/>
    <w:rsid w:val="12684C0A"/>
    <w:rsid w:val="12716E79"/>
    <w:rsid w:val="127E28E2"/>
    <w:rsid w:val="12AA0FC6"/>
    <w:rsid w:val="12B97C83"/>
    <w:rsid w:val="12C462B5"/>
    <w:rsid w:val="12CA5B28"/>
    <w:rsid w:val="12F162A3"/>
    <w:rsid w:val="1315107D"/>
    <w:rsid w:val="13163996"/>
    <w:rsid w:val="131E6E02"/>
    <w:rsid w:val="135A5165"/>
    <w:rsid w:val="138C2734"/>
    <w:rsid w:val="139363A6"/>
    <w:rsid w:val="13951726"/>
    <w:rsid w:val="13C10E02"/>
    <w:rsid w:val="13F037B8"/>
    <w:rsid w:val="13FA068E"/>
    <w:rsid w:val="13FC3C5B"/>
    <w:rsid w:val="14216DC1"/>
    <w:rsid w:val="14235704"/>
    <w:rsid w:val="14396509"/>
    <w:rsid w:val="14454BDE"/>
    <w:rsid w:val="14460456"/>
    <w:rsid w:val="14481A6E"/>
    <w:rsid w:val="146B158C"/>
    <w:rsid w:val="146B50E8"/>
    <w:rsid w:val="146C0264"/>
    <w:rsid w:val="1475006A"/>
    <w:rsid w:val="148310DB"/>
    <w:rsid w:val="148E632B"/>
    <w:rsid w:val="149D6867"/>
    <w:rsid w:val="14A60E1A"/>
    <w:rsid w:val="14D964F6"/>
    <w:rsid w:val="14DD2C3C"/>
    <w:rsid w:val="15543DCE"/>
    <w:rsid w:val="157601E9"/>
    <w:rsid w:val="15865F5F"/>
    <w:rsid w:val="158E64F8"/>
    <w:rsid w:val="158F3058"/>
    <w:rsid w:val="158F7EC6"/>
    <w:rsid w:val="15D41C12"/>
    <w:rsid w:val="16087E1D"/>
    <w:rsid w:val="160B0931"/>
    <w:rsid w:val="16290142"/>
    <w:rsid w:val="16856946"/>
    <w:rsid w:val="169201AF"/>
    <w:rsid w:val="169E79F7"/>
    <w:rsid w:val="16AA47C4"/>
    <w:rsid w:val="16C508D2"/>
    <w:rsid w:val="17086D4C"/>
    <w:rsid w:val="170D30EE"/>
    <w:rsid w:val="171750B3"/>
    <w:rsid w:val="17562080"/>
    <w:rsid w:val="17701D14"/>
    <w:rsid w:val="17735226"/>
    <w:rsid w:val="178B3D61"/>
    <w:rsid w:val="17942BA8"/>
    <w:rsid w:val="17A616E0"/>
    <w:rsid w:val="17D15283"/>
    <w:rsid w:val="180579C4"/>
    <w:rsid w:val="18154D41"/>
    <w:rsid w:val="18277578"/>
    <w:rsid w:val="18350EF4"/>
    <w:rsid w:val="183643B8"/>
    <w:rsid w:val="18464CFE"/>
    <w:rsid w:val="18493520"/>
    <w:rsid w:val="1856074F"/>
    <w:rsid w:val="18803556"/>
    <w:rsid w:val="188A20EA"/>
    <w:rsid w:val="18971BFD"/>
    <w:rsid w:val="189F624C"/>
    <w:rsid w:val="18B87482"/>
    <w:rsid w:val="18C52855"/>
    <w:rsid w:val="18F27B86"/>
    <w:rsid w:val="19090812"/>
    <w:rsid w:val="192137EA"/>
    <w:rsid w:val="19370B79"/>
    <w:rsid w:val="1938477D"/>
    <w:rsid w:val="19522DF1"/>
    <w:rsid w:val="195B6022"/>
    <w:rsid w:val="1964282F"/>
    <w:rsid w:val="19935DAA"/>
    <w:rsid w:val="19B27315"/>
    <w:rsid w:val="19B50B33"/>
    <w:rsid w:val="19D65FAA"/>
    <w:rsid w:val="1A016E88"/>
    <w:rsid w:val="1A1C66C0"/>
    <w:rsid w:val="1A244394"/>
    <w:rsid w:val="1A42393B"/>
    <w:rsid w:val="1A587EBD"/>
    <w:rsid w:val="1A72634D"/>
    <w:rsid w:val="1A937147"/>
    <w:rsid w:val="1AA056A9"/>
    <w:rsid w:val="1AA07505"/>
    <w:rsid w:val="1AA20E4C"/>
    <w:rsid w:val="1AA9696A"/>
    <w:rsid w:val="1AAB4541"/>
    <w:rsid w:val="1AAD45DE"/>
    <w:rsid w:val="1AF5395E"/>
    <w:rsid w:val="1B046F80"/>
    <w:rsid w:val="1B09784B"/>
    <w:rsid w:val="1B3267B5"/>
    <w:rsid w:val="1B3920E3"/>
    <w:rsid w:val="1B3A1DD6"/>
    <w:rsid w:val="1B3A7422"/>
    <w:rsid w:val="1B40161D"/>
    <w:rsid w:val="1B441859"/>
    <w:rsid w:val="1B471C0C"/>
    <w:rsid w:val="1B5B55E2"/>
    <w:rsid w:val="1B62419A"/>
    <w:rsid w:val="1B6371AB"/>
    <w:rsid w:val="1B641AF8"/>
    <w:rsid w:val="1B6606B1"/>
    <w:rsid w:val="1B800292"/>
    <w:rsid w:val="1B8151F1"/>
    <w:rsid w:val="1B890F40"/>
    <w:rsid w:val="1B952CBB"/>
    <w:rsid w:val="1B9C4643"/>
    <w:rsid w:val="1BA86B44"/>
    <w:rsid w:val="1BF522EC"/>
    <w:rsid w:val="1BFE2CE6"/>
    <w:rsid w:val="1C416DD2"/>
    <w:rsid w:val="1C574ACF"/>
    <w:rsid w:val="1C5E7925"/>
    <w:rsid w:val="1C6A3ED7"/>
    <w:rsid w:val="1C6C298A"/>
    <w:rsid w:val="1C7067C2"/>
    <w:rsid w:val="1C8628BB"/>
    <w:rsid w:val="1C920D38"/>
    <w:rsid w:val="1CD2191E"/>
    <w:rsid w:val="1CDE13A5"/>
    <w:rsid w:val="1CE4777B"/>
    <w:rsid w:val="1CF65A71"/>
    <w:rsid w:val="1CFD070F"/>
    <w:rsid w:val="1D046871"/>
    <w:rsid w:val="1D215675"/>
    <w:rsid w:val="1D231209"/>
    <w:rsid w:val="1D2E3157"/>
    <w:rsid w:val="1D434E54"/>
    <w:rsid w:val="1D494AB1"/>
    <w:rsid w:val="1D5F6196"/>
    <w:rsid w:val="1D6132A5"/>
    <w:rsid w:val="1D616BDB"/>
    <w:rsid w:val="1D721295"/>
    <w:rsid w:val="1D8E56D5"/>
    <w:rsid w:val="1DAB02E6"/>
    <w:rsid w:val="1DE64CD6"/>
    <w:rsid w:val="1DF4799B"/>
    <w:rsid w:val="1DFC42F3"/>
    <w:rsid w:val="1E0B5974"/>
    <w:rsid w:val="1E107C71"/>
    <w:rsid w:val="1E1A2596"/>
    <w:rsid w:val="1E2F7187"/>
    <w:rsid w:val="1E531AD8"/>
    <w:rsid w:val="1E5B79ED"/>
    <w:rsid w:val="1E621756"/>
    <w:rsid w:val="1E676A63"/>
    <w:rsid w:val="1E737718"/>
    <w:rsid w:val="1E7A43DA"/>
    <w:rsid w:val="1E8B53BB"/>
    <w:rsid w:val="1E920FF4"/>
    <w:rsid w:val="1E952D86"/>
    <w:rsid w:val="1E960EF2"/>
    <w:rsid w:val="1EAB0102"/>
    <w:rsid w:val="1EAF57F3"/>
    <w:rsid w:val="1EB331A2"/>
    <w:rsid w:val="1EBF32D1"/>
    <w:rsid w:val="1ECE57F7"/>
    <w:rsid w:val="1ED037F9"/>
    <w:rsid w:val="1ED77131"/>
    <w:rsid w:val="1EEA3BCC"/>
    <w:rsid w:val="1EF6667B"/>
    <w:rsid w:val="1EFF5C2B"/>
    <w:rsid w:val="1F0716D1"/>
    <w:rsid w:val="1F215E93"/>
    <w:rsid w:val="1F250D89"/>
    <w:rsid w:val="1F2B0A52"/>
    <w:rsid w:val="1F3A1588"/>
    <w:rsid w:val="1F3C43C2"/>
    <w:rsid w:val="1F6148BD"/>
    <w:rsid w:val="1F7057BF"/>
    <w:rsid w:val="1F762A09"/>
    <w:rsid w:val="1F8E05A7"/>
    <w:rsid w:val="1FAE2C7B"/>
    <w:rsid w:val="1FB604AA"/>
    <w:rsid w:val="1FC908DF"/>
    <w:rsid w:val="1FE7539E"/>
    <w:rsid w:val="1FFC78A6"/>
    <w:rsid w:val="201B41DF"/>
    <w:rsid w:val="20232D1B"/>
    <w:rsid w:val="203B62B7"/>
    <w:rsid w:val="20671BE0"/>
    <w:rsid w:val="20907AF5"/>
    <w:rsid w:val="20963CB8"/>
    <w:rsid w:val="20A81A1B"/>
    <w:rsid w:val="20B07FB6"/>
    <w:rsid w:val="20B646FB"/>
    <w:rsid w:val="20D92642"/>
    <w:rsid w:val="20EE081C"/>
    <w:rsid w:val="21197918"/>
    <w:rsid w:val="213B74B1"/>
    <w:rsid w:val="214C4683"/>
    <w:rsid w:val="215A2310"/>
    <w:rsid w:val="216C158C"/>
    <w:rsid w:val="217001E2"/>
    <w:rsid w:val="21712FB6"/>
    <w:rsid w:val="21771570"/>
    <w:rsid w:val="21911468"/>
    <w:rsid w:val="219B47A6"/>
    <w:rsid w:val="219E4D4F"/>
    <w:rsid w:val="21B870C2"/>
    <w:rsid w:val="21C638F6"/>
    <w:rsid w:val="21C978F2"/>
    <w:rsid w:val="21D62A8B"/>
    <w:rsid w:val="21DA2E97"/>
    <w:rsid w:val="21DE318A"/>
    <w:rsid w:val="21E354A7"/>
    <w:rsid w:val="21E872B7"/>
    <w:rsid w:val="21EE48C0"/>
    <w:rsid w:val="21EF5B80"/>
    <w:rsid w:val="221868B3"/>
    <w:rsid w:val="22382533"/>
    <w:rsid w:val="223F30CD"/>
    <w:rsid w:val="224F6049"/>
    <w:rsid w:val="22576990"/>
    <w:rsid w:val="2259408F"/>
    <w:rsid w:val="2265586D"/>
    <w:rsid w:val="22680C97"/>
    <w:rsid w:val="229D33C0"/>
    <w:rsid w:val="22A23778"/>
    <w:rsid w:val="22B567E9"/>
    <w:rsid w:val="22F47480"/>
    <w:rsid w:val="22FB679A"/>
    <w:rsid w:val="2301714E"/>
    <w:rsid w:val="230A65EC"/>
    <w:rsid w:val="23146D1C"/>
    <w:rsid w:val="233B46DE"/>
    <w:rsid w:val="234657D2"/>
    <w:rsid w:val="234A05BF"/>
    <w:rsid w:val="23641680"/>
    <w:rsid w:val="23690FB4"/>
    <w:rsid w:val="23BD6517"/>
    <w:rsid w:val="23C81F5A"/>
    <w:rsid w:val="23CE2A4E"/>
    <w:rsid w:val="23CF10C1"/>
    <w:rsid w:val="23DE1C48"/>
    <w:rsid w:val="240210CD"/>
    <w:rsid w:val="24027F4B"/>
    <w:rsid w:val="24264B88"/>
    <w:rsid w:val="24417C14"/>
    <w:rsid w:val="2449512E"/>
    <w:rsid w:val="24604E51"/>
    <w:rsid w:val="24646008"/>
    <w:rsid w:val="24655449"/>
    <w:rsid w:val="246E59A6"/>
    <w:rsid w:val="24852301"/>
    <w:rsid w:val="249A030A"/>
    <w:rsid w:val="24BF09F7"/>
    <w:rsid w:val="24C04FDC"/>
    <w:rsid w:val="24D17CD5"/>
    <w:rsid w:val="24DC78B8"/>
    <w:rsid w:val="24DD0CC3"/>
    <w:rsid w:val="24E33DC2"/>
    <w:rsid w:val="24E36FEC"/>
    <w:rsid w:val="24E43ADC"/>
    <w:rsid w:val="24E937BE"/>
    <w:rsid w:val="24EA5C2C"/>
    <w:rsid w:val="252D53FE"/>
    <w:rsid w:val="25466C1E"/>
    <w:rsid w:val="254D3533"/>
    <w:rsid w:val="25545324"/>
    <w:rsid w:val="25706A02"/>
    <w:rsid w:val="25743FC3"/>
    <w:rsid w:val="257A6505"/>
    <w:rsid w:val="258C4EBE"/>
    <w:rsid w:val="25946D3B"/>
    <w:rsid w:val="259A196D"/>
    <w:rsid w:val="25BC6EC6"/>
    <w:rsid w:val="25C24D84"/>
    <w:rsid w:val="25CF7DAE"/>
    <w:rsid w:val="25D456C7"/>
    <w:rsid w:val="25EC2D81"/>
    <w:rsid w:val="25FC69B1"/>
    <w:rsid w:val="26044107"/>
    <w:rsid w:val="263234A3"/>
    <w:rsid w:val="263810F1"/>
    <w:rsid w:val="263E2EA2"/>
    <w:rsid w:val="264F6AAE"/>
    <w:rsid w:val="2665408D"/>
    <w:rsid w:val="267563FA"/>
    <w:rsid w:val="268F4C66"/>
    <w:rsid w:val="26A12420"/>
    <w:rsid w:val="26A7416C"/>
    <w:rsid w:val="26B61A14"/>
    <w:rsid w:val="26D905D7"/>
    <w:rsid w:val="273378F4"/>
    <w:rsid w:val="276848D7"/>
    <w:rsid w:val="277057A2"/>
    <w:rsid w:val="278A3680"/>
    <w:rsid w:val="27C541DD"/>
    <w:rsid w:val="27E52900"/>
    <w:rsid w:val="280C6C87"/>
    <w:rsid w:val="281C32A9"/>
    <w:rsid w:val="281E474C"/>
    <w:rsid w:val="28230AC5"/>
    <w:rsid w:val="284657F9"/>
    <w:rsid w:val="28695D30"/>
    <w:rsid w:val="287D1F4F"/>
    <w:rsid w:val="28964FEA"/>
    <w:rsid w:val="29022A8F"/>
    <w:rsid w:val="290D06FC"/>
    <w:rsid w:val="2914061D"/>
    <w:rsid w:val="29206EB8"/>
    <w:rsid w:val="29595666"/>
    <w:rsid w:val="2977071A"/>
    <w:rsid w:val="297735AE"/>
    <w:rsid w:val="29874881"/>
    <w:rsid w:val="29990DA5"/>
    <w:rsid w:val="29A20691"/>
    <w:rsid w:val="29A44ECD"/>
    <w:rsid w:val="29B771BE"/>
    <w:rsid w:val="29E325E0"/>
    <w:rsid w:val="2A0B0AA8"/>
    <w:rsid w:val="2A0B3764"/>
    <w:rsid w:val="2A3D2278"/>
    <w:rsid w:val="2A452503"/>
    <w:rsid w:val="2A5844A3"/>
    <w:rsid w:val="2A591196"/>
    <w:rsid w:val="2A8A407E"/>
    <w:rsid w:val="2AC333F1"/>
    <w:rsid w:val="2B097912"/>
    <w:rsid w:val="2B230073"/>
    <w:rsid w:val="2B253B3A"/>
    <w:rsid w:val="2B381D70"/>
    <w:rsid w:val="2B900F4A"/>
    <w:rsid w:val="2B943AA2"/>
    <w:rsid w:val="2BA936A8"/>
    <w:rsid w:val="2BAA24E2"/>
    <w:rsid w:val="2BC926E0"/>
    <w:rsid w:val="2BC96E6C"/>
    <w:rsid w:val="2BCF2A55"/>
    <w:rsid w:val="2BCF6CEB"/>
    <w:rsid w:val="2BD804A6"/>
    <w:rsid w:val="2BE57569"/>
    <w:rsid w:val="2BF74D27"/>
    <w:rsid w:val="2C2879BD"/>
    <w:rsid w:val="2C315A5A"/>
    <w:rsid w:val="2C325C5E"/>
    <w:rsid w:val="2C495EEA"/>
    <w:rsid w:val="2C4B1C25"/>
    <w:rsid w:val="2C4E1416"/>
    <w:rsid w:val="2C5A06A9"/>
    <w:rsid w:val="2C77400A"/>
    <w:rsid w:val="2CA67E79"/>
    <w:rsid w:val="2CA8512D"/>
    <w:rsid w:val="2CAE76A7"/>
    <w:rsid w:val="2CB516E9"/>
    <w:rsid w:val="2CDF621C"/>
    <w:rsid w:val="2CE850D0"/>
    <w:rsid w:val="2CEC5002"/>
    <w:rsid w:val="2CFC7029"/>
    <w:rsid w:val="2D012636"/>
    <w:rsid w:val="2D0F7EC8"/>
    <w:rsid w:val="2D27751E"/>
    <w:rsid w:val="2D2A393B"/>
    <w:rsid w:val="2D372031"/>
    <w:rsid w:val="2D3A0392"/>
    <w:rsid w:val="2D410C84"/>
    <w:rsid w:val="2D6505A3"/>
    <w:rsid w:val="2D683439"/>
    <w:rsid w:val="2D760839"/>
    <w:rsid w:val="2D7A57D8"/>
    <w:rsid w:val="2D9937B4"/>
    <w:rsid w:val="2D9E56F5"/>
    <w:rsid w:val="2DB86539"/>
    <w:rsid w:val="2DC1677B"/>
    <w:rsid w:val="2E054A00"/>
    <w:rsid w:val="2E084045"/>
    <w:rsid w:val="2E41165F"/>
    <w:rsid w:val="2E520957"/>
    <w:rsid w:val="2E5A402A"/>
    <w:rsid w:val="2E667F96"/>
    <w:rsid w:val="2E783F54"/>
    <w:rsid w:val="2E7D6405"/>
    <w:rsid w:val="2E8226AB"/>
    <w:rsid w:val="2E8472A4"/>
    <w:rsid w:val="2E9020F8"/>
    <w:rsid w:val="2E96754F"/>
    <w:rsid w:val="2EA342EC"/>
    <w:rsid w:val="2EA4771D"/>
    <w:rsid w:val="2EB977AC"/>
    <w:rsid w:val="2EBF5A34"/>
    <w:rsid w:val="2ED73C87"/>
    <w:rsid w:val="2EE13C88"/>
    <w:rsid w:val="2EE43FBD"/>
    <w:rsid w:val="2EF33CF3"/>
    <w:rsid w:val="2F1E302B"/>
    <w:rsid w:val="2F221140"/>
    <w:rsid w:val="2F2C6398"/>
    <w:rsid w:val="2F651149"/>
    <w:rsid w:val="2F8D1866"/>
    <w:rsid w:val="2FC11891"/>
    <w:rsid w:val="2FD065E6"/>
    <w:rsid w:val="2FD96870"/>
    <w:rsid w:val="2FE1062C"/>
    <w:rsid w:val="2FE43947"/>
    <w:rsid w:val="2FE45139"/>
    <w:rsid w:val="2FE57FED"/>
    <w:rsid w:val="3038136C"/>
    <w:rsid w:val="30405EFE"/>
    <w:rsid w:val="304165B4"/>
    <w:rsid w:val="305529D1"/>
    <w:rsid w:val="30580BC9"/>
    <w:rsid w:val="306727B0"/>
    <w:rsid w:val="307A6947"/>
    <w:rsid w:val="30894E1C"/>
    <w:rsid w:val="30E11138"/>
    <w:rsid w:val="30F01E24"/>
    <w:rsid w:val="31033E44"/>
    <w:rsid w:val="311E2ED7"/>
    <w:rsid w:val="312C4297"/>
    <w:rsid w:val="31365CDD"/>
    <w:rsid w:val="3138297C"/>
    <w:rsid w:val="314B3E80"/>
    <w:rsid w:val="314D19A6"/>
    <w:rsid w:val="315619EE"/>
    <w:rsid w:val="315C449C"/>
    <w:rsid w:val="319861AF"/>
    <w:rsid w:val="31B56C20"/>
    <w:rsid w:val="31B82709"/>
    <w:rsid w:val="31BC55E5"/>
    <w:rsid w:val="31CB5888"/>
    <w:rsid w:val="31CC3212"/>
    <w:rsid w:val="31D05482"/>
    <w:rsid w:val="31D33BDE"/>
    <w:rsid w:val="322A16DC"/>
    <w:rsid w:val="322C4F5E"/>
    <w:rsid w:val="32400B34"/>
    <w:rsid w:val="32487D2D"/>
    <w:rsid w:val="324F56C3"/>
    <w:rsid w:val="325223B2"/>
    <w:rsid w:val="32522AEB"/>
    <w:rsid w:val="32975FA8"/>
    <w:rsid w:val="329E6876"/>
    <w:rsid w:val="32A008BB"/>
    <w:rsid w:val="32B4098D"/>
    <w:rsid w:val="32BB17B7"/>
    <w:rsid w:val="32BF7827"/>
    <w:rsid w:val="32F402FF"/>
    <w:rsid w:val="33230FCE"/>
    <w:rsid w:val="333015F2"/>
    <w:rsid w:val="334B6320"/>
    <w:rsid w:val="33564236"/>
    <w:rsid w:val="3361798A"/>
    <w:rsid w:val="33796687"/>
    <w:rsid w:val="339733AC"/>
    <w:rsid w:val="339E6ED8"/>
    <w:rsid w:val="33BF3B58"/>
    <w:rsid w:val="33C04CC0"/>
    <w:rsid w:val="33C171D3"/>
    <w:rsid w:val="33D934D4"/>
    <w:rsid w:val="33DF725C"/>
    <w:rsid w:val="33EA096D"/>
    <w:rsid w:val="33FE2F6A"/>
    <w:rsid w:val="340A3A3E"/>
    <w:rsid w:val="340E07E5"/>
    <w:rsid w:val="34163603"/>
    <w:rsid w:val="34235BF7"/>
    <w:rsid w:val="343378A0"/>
    <w:rsid w:val="343C3883"/>
    <w:rsid w:val="343E65D2"/>
    <w:rsid w:val="34476B80"/>
    <w:rsid w:val="344C5A5B"/>
    <w:rsid w:val="34696745"/>
    <w:rsid w:val="346B5F41"/>
    <w:rsid w:val="34BB756E"/>
    <w:rsid w:val="34C91C0B"/>
    <w:rsid w:val="34D21C75"/>
    <w:rsid w:val="34D421AF"/>
    <w:rsid w:val="352260F8"/>
    <w:rsid w:val="35230E90"/>
    <w:rsid w:val="35265EB6"/>
    <w:rsid w:val="35300A8B"/>
    <w:rsid w:val="35343375"/>
    <w:rsid w:val="35380B97"/>
    <w:rsid w:val="353E4CB7"/>
    <w:rsid w:val="353F67B6"/>
    <w:rsid w:val="354D466A"/>
    <w:rsid w:val="358C5FA8"/>
    <w:rsid w:val="35AF355C"/>
    <w:rsid w:val="35BA1419"/>
    <w:rsid w:val="35C15DF1"/>
    <w:rsid w:val="35C45F10"/>
    <w:rsid w:val="36074A7F"/>
    <w:rsid w:val="360B23CB"/>
    <w:rsid w:val="363506C2"/>
    <w:rsid w:val="36390619"/>
    <w:rsid w:val="36535AB0"/>
    <w:rsid w:val="36620881"/>
    <w:rsid w:val="36822194"/>
    <w:rsid w:val="36923549"/>
    <w:rsid w:val="369577EC"/>
    <w:rsid w:val="369B443A"/>
    <w:rsid w:val="369D5528"/>
    <w:rsid w:val="36B75FBF"/>
    <w:rsid w:val="36BC434F"/>
    <w:rsid w:val="36BD0C45"/>
    <w:rsid w:val="36E11AC5"/>
    <w:rsid w:val="36F171AD"/>
    <w:rsid w:val="36F663F6"/>
    <w:rsid w:val="36FB381F"/>
    <w:rsid w:val="375113BB"/>
    <w:rsid w:val="375A67BB"/>
    <w:rsid w:val="377C6F7F"/>
    <w:rsid w:val="378835D1"/>
    <w:rsid w:val="378D1B76"/>
    <w:rsid w:val="37AD7642"/>
    <w:rsid w:val="37B17570"/>
    <w:rsid w:val="37C4498C"/>
    <w:rsid w:val="37D01DD2"/>
    <w:rsid w:val="37D116ED"/>
    <w:rsid w:val="37D83F93"/>
    <w:rsid w:val="37E00298"/>
    <w:rsid w:val="37E1553E"/>
    <w:rsid w:val="37F51809"/>
    <w:rsid w:val="37FE7E9E"/>
    <w:rsid w:val="38047C2B"/>
    <w:rsid w:val="380A6EAB"/>
    <w:rsid w:val="38133B61"/>
    <w:rsid w:val="38286CC9"/>
    <w:rsid w:val="383A3AD6"/>
    <w:rsid w:val="384331AD"/>
    <w:rsid w:val="38593326"/>
    <w:rsid w:val="38726196"/>
    <w:rsid w:val="388C6629"/>
    <w:rsid w:val="38922DC8"/>
    <w:rsid w:val="38AB7AEC"/>
    <w:rsid w:val="38B302F9"/>
    <w:rsid w:val="38C30CC1"/>
    <w:rsid w:val="38F12CD3"/>
    <w:rsid w:val="38F94775"/>
    <w:rsid w:val="39137979"/>
    <w:rsid w:val="3918546B"/>
    <w:rsid w:val="39186D3D"/>
    <w:rsid w:val="392971ED"/>
    <w:rsid w:val="39325651"/>
    <w:rsid w:val="39374EE1"/>
    <w:rsid w:val="393D67A4"/>
    <w:rsid w:val="39673A8E"/>
    <w:rsid w:val="396D3CA1"/>
    <w:rsid w:val="397B3CE4"/>
    <w:rsid w:val="399A62CC"/>
    <w:rsid w:val="39B14E7A"/>
    <w:rsid w:val="39CC5010"/>
    <w:rsid w:val="39E430C3"/>
    <w:rsid w:val="39E70516"/>
    <w:rsid w:val="39EE7A9E"/>
    <w:rsid w:val="3A002A5F"/>
    <w:rsid w:val="3A03179B"/>
    <w:rsid w:val="3A0D2BB1"/>
    <w:rsid w:val="3A2160C5"/>
    <w:rsid w:val="3A2775BC"/>
    <w:rsid w:val="3A322302"/>
    <w:rsid w:val="3A444921"/>
    <w:rsid w:val="3A4A561C"/>
    <w:rsid w:val="3A502507"/>
    <w:rsid w:val="3A872856"/>
    <w:rsid w:val="3A9E281D"/>
    <w:rsid w:val="3AB97A11"/>
    <w:rsid w:val="3AC95A09"/>
    <w:rsid w:val="3ACC19E6"/>
    <w:rsid w:val="3ACE0335"/>
    <w:rsid w:val="3AEB385A"/>
    <w:rsid w:val="3AF439D1"/>
    <w:rsid w:val="3AF50388"/>
    <w:rsid w:val="3B023801"/>
    <w:rsid w:val="3B2A3D23"/>
    <w:rsid w:val="3B2D3E6E"/>
    <w:rsid w:val="3B3275EC"/>
    <w:rsid w:val="3B3763D1"/>
    <w:rsid w:val="3B624E48"/>
    <w:rsid w:val="3B784DB9"/>
    <w:rsid w:val="3B8927B8"/>
    <w:rsid w:val="3BB34319"/>
    <w:rsid w:val="3BD504B1"/>
    <w:rsid w:val="3BDA6978"/>
    <w:rsid w:val="3BEF02AE"/>
    <w:rsid w:val="3C011D0B"/>
    <w:rsid w:val="3C0B7D54"/>
    <w:rsid w:val="3C2F6E1E"/>
    <w:rsid w:val="3C300842"/>
    <w:rsid w:val="3C341EBC"/>
    <w:rsid w:val="3C4D4EF4"/>
    <w:rsid w:val="3C4F64BA"/>
    <w:rsid w:val="3C4F6F1A"/>
    <w:rsid w:val="3C51142E"/>
    <w:rsid w:val="3C511A61"/>
    <w:rsid w:val="3C8755D4"/>
    <w:rsid w:val="3C882D25"/>
    <w:rsid w:val="3C8B4E0C"/>
    <w:rsid w:val="3C9C35B9"/>
    <w:rsid w:val="3CA47CBF"/>
    <w:rsid w:val="3CBB6755"/>
    <w:rsid w:val="3CBE5E4E"/>
    <w:rsid w:val="3CDA245A"/>
    <w:rsid w:val="3D1E06B7"/>
    <w:rsid w:val="3D4D47C3"/>
    <w:rsid w:val="3D5210BB"/>
    <w:rsid w:val="3D5243D5"/>
    <w:rsid w:val="3D6019DB"/>
    <w:rsid w:val="3D8965B6"/>
    <w:rsid w:val="3D8A4A41"/>
    <w:rsid w:val="3D8A71EE"/>
    <w:rsid w:val="3D8C2AD2"/>
    <w:rsid w:val="3D9F260D"/>
    <w:rsid w:val="3DE010CB"/>
    <w:rsid w:val="3DF67F84"/>
    <w:rsid w:val="3DFC5847"/>
    <w:rsid w:val="3E231887"/>
    <w:rsid w:val="3E342725"/>
    <w:rsid w:val="3E3C150D"/>
    <w:rsid w:val="3E4164F2"/>
    <w:rsid w:val="3E5D4E6C"/>
    <w:rsid w:val="3E756428"/>
    <w:rsid w:val="3E866AE9"/>
    <w:rsid w:val="3EA63D2F"/>
    <w:rsid w:val="3EB876E9"/>
    <w:rsid w:val="3EDA0523"/>
    <w:rsid w:val="3EE36C23"/>
    <w:rsid w:val="3F452F96"/>
    <w:rsid w:val="3F4B7DCF"/>
    <w:rsid w:val="3F530DF5"/>
    <w:rsid w:val="3F5C3150"/>
    <w:rsid w:val="3F612AFC"/>
    <w:rsid w:val="3F645CCE"/>
    <w:rsid w:val="3F7951E3"/>
    <w:rsid w:val="3FB452E6"/>
    <w:rsid w:val="3FCA02CF"/>
    <w:rsid w:val="3FD017EB"/>
    <w:rsid w:val="3FEF0668"/>
    <w:rsid w:val="3FF473ED"/>
    <w:rsid w:val="4014495C"/>
    <w:rsid w:val="4017068F"/>
    <w:rsid w:val="40265BEA"/>
    <w:rsid w:val="402E3DB6"/>
    <w:rsid w:val="404E2308"/>
    <w:rsid w:val="40583CF2"/>
    <w:rsid w:val="407A6407"/>
    <w:rsid w:val="40813643"/>
    <w:rsid w:val="408F0965"/>
    <w:rsid w:val="40A47108"/>
    <w:rsid w:val="40A50896"/>
    <w:rsid w:val="41070669"/>
    <w:rsid w:val="41200E85"/>
    <w:rsid w:val="41300BC1"/>
    <w:rsid w:val="414945AA"/>
    <w:rsid w:val="415A481E"/>
    <w:rsid w:val="41620B9E"/>
    <w:rsid w:val="418C7A69"/>
    <w:rsid w:val="41B5529A"/>
    <w:rsid w:val="41B9630E"/>
    <w:rsid w:val="41FA40EF"/>
    <w:rsid w:val="4200449D"/>
    <w:rsid w:val="420B2551"/>
    <w:rsid w:val="42126458"/>
    <w:rsid w:val="421A4018"/>
    <w:rsid w:val="422B1CF5"/>
    <w:rsid w:val="423A3BCC"/>
    <w:rsid w:val="424E57D2"/>
    <w:rsid w:val="426265A9"/>
    <w:rsid w:val="42641241"/>
    <w:rsid w:val="428E0070"/>
    <w:rsid w:val="429B4AB5"/>
    <w:rsid w:val="42B26C49"/>
    <w:rsid w:val="42C122F6"/>
    <w:rsid w:val="42C27294"/>
    <w:rsid w:val="42D27F5D"/>
    <w:rsid w:val="42D812EB"/>
    <w:rsid w:val="42EB54C2"/>
    <w:rsid w:val="42F17120"/>
    <w:rsid w:val="42F425C9"/>
    <w:rsid w:val="42F8373B"/>
    <w:rsid w:val="42F95C65"/>
    <w:rsid w:val="432701F2"/>
    <w:rsid w:val="433A6FE6"/>
    <w:rsid w:val="43421237"/>
    <w:rsid w:val="43480868"/>
    <w:rsid w:val="4350713C"/>
    <w:rsid w:val="43644794"/>
    <w:rsid w:val="43655CC1"/>
    <w:rsid w:val="436653E0"/>
    <w:rsid w:val="436C56A3"/>
    <w:rsid w:val="437F78FC"/>
    <w:rsid w:val="43C4431A"/>
    <w:rsid w:val="43EC2FD6"/>
    <w:rsid w:val="43FA47E5"/>
    <w:rsid w:val="44157B28"/>
    <w:rsid w:val="44336EA9"/>
    <w:rsid w:val="44386F13"/>
    <w:rsid w:val="443961BC"/>
    <w:rsid w:val="443E53F4"/>
    <w:rsid w:val="445D6F53"/>
    <w:rsid w:val="4479731C"/>
    <w:rsid w:val="44823859"/>
    <w:rsid w:val="449661F2"/>
    <w:rsid w:val="44B951CC"/>
    <w:rsid w:val="44CD14E0"/>
    <w:rsid w:val="44ED5B18"/>
    <w:rsid w:val="44F20B0B"/>
    <w:rsid w:val="44FF1EE1"/>
    <w:rsid w:val="452E5F4C"/>
    <w:rsid w:val="45401AF6"/>
    <w:rsid w:val="45612018"/>
    <w:rsid w:val="456A5A1B"/>
    <w:rsid w:val="45772895"/>
    <w:rsid w:val="457B5205"/>
    <w:rsid w:val="458946E9"/>
    <w:rsid w:val="45896D96"/>
    <w:rsid w:val="459D6377"/>
    <w:rsid w:val="45A47C0E"/>
    <w:rsid w:val="45AC607A"/>
    <w:rsid w:val="45D8763E"/>
    <w:rsid w:val="464D1829"/>
    <w:rsid w:val="46577FD6"/>
    <w:rsid w:val="465A435A"/>
    <w:rsid w:val="46716CA4"/>
    <w:rsid w:val="46816072"/>
    <w:rsid w:val="46835F82"/>
    <w:rsid w:val="46A14816"/>
    <w:rsid w:val="46BF1452"/>
    <w:rsid w:val="46D955A7"/>
    <w:rsid w:val="46DB1CFC"/>
    <w:rsid w:val="46F03838"/>
    <w:rsid w:val="46F85C3C"/>
    <w:rsid w:val="46FD7572"/>
    <w:rsid w:val="470850E1"/>
    <w:rsid w:val="47133957"/>
    <w:rsid w:val="473474C9"/>
    <w:rsid w:val="473A07C7"/>
    <w:rsid w:val="4751250D"/>
    <w:rsid w:val="476615BC"/>
    <w:rsid w:val="476A5F09"/>
    <w:rsid w:val="47976055"/>
    <w:rsid w:val="47A07E0C"/>
    <w:rsid w:val="47C00B3A"/>
    <w:rsid w:val="47C7730F"/>
    <w:rsid w:val="47EE5820"/>
    <w:rsid w:val="47F55A08"/>
    <w:rsid w:val="480C3F44"/>
    <w:rsid w:val="480D1B18"/>
    <w:rsid w:val="4870272E"/>
    <w:rsid w:val="487970CD"/>
    <w:rsid w:val="487B7DD3"/>
    <w:rsid w:val="487C4D54"/>
    <w:rsid w:val="48873C32"/>
    <w:rsid w:val="4895694F"/>
    <w:rsid w:val="48BE229C"/>
    <w:rsid w:val="48F9480D"/>
    <w:rsid w:val="491B0A04"/>
    <w:rsid w:val="491F5F40"/>
    <w:rsid w:val="4978521B"/>
    <w:rsid w:val="497F6C1B"/>
    <w:rsid w:val="49900B72"/>
    <w:rsid w:val="49940662"/>
    <w:rsid w:val="49983D74"/>
    <w:rsid w:val="49B15CB2"/>
    <w:rsid w:val="49BB7FFD"/>
    <w:rsid w:val="49BE33C3"/>
    <w:rsid w:val="49C65774"/>
    <w:rsid w:val="49D15412"/>
    <w:rsid w:val="49D663FD"/>
    <w:rsid w:val="49DC7715"/>
    <w:rsid w:val="49DE76CD"/>
    <w:rsid w:val="49DF2E48"/>
    <w:rsid w:val="49E0289D"/>
    <w:rsid w:val="49F7299F"/>
    <w:rsid w:val="4A023139"/>
    <w:rsid w:val="4A29327C"/>
    <w:rsid w:val="4A2F038B"/>
    <w:rsid w:val="4A7B576F"/>
    <w:rsid w:val="4AB76106"/>
    <w:rsid w:val="4AF561A9"/>
    <w:rsid w:val="4B025B6F"/>
    <w:rsid w:val="4B041325"/>
    <w:rsid w:val="4B1530DD"/>
    <w:rsid w:val="4B8B32F4"/>
    <w:rsid w:val="4BA71825"/>
    <w:rsid w:val="4BB24DCF"/>
    <w:rsid w:val="4BBF4325"/>
    <w:rsid w:val="4BDF5CB0"/>
    <w:rsid w:val="4BE92FC6"/>
    <w:rsid w:val="4BF52F0E"/>
    <w:rsid w:val="4C204B15"/>
    <w:rsid w:val="4C2203ED"/>
    <w:rsid w:val="4C3F1BF5"/>
    <w:rsid w:val="4C4A0649"/>
    <w:rsid w:val="4C5F51E4"/>
    <w:rsid w:val="4C674719"/>
    <w:rsid w:val="4C7E5ECA"/>
    <w:rsid w:val="4C876AA5"/>
    <w:rsid w:val="4CA53B59"/>
    <w:rsid w:val="4CA95F3B"/>
    <w:rsid w:val="4CAD48B8"/>
    <w:rsid w:val="4CB612FA"/>
    <w:rsid w:val="4CC033C3"/>
    <w:rsid w:val="4CC43D82"/>
    <w:rsid w:val="4CDD5E7C"/>
    <w:rsid w:val="4CFC07D3"/>
    <w:rsid w:val="4D0E00FB"/>
    <w:rsid w:val="4D176606"/>
    <w:rsid w:val="4D2211D8"/>
    <w:rsid w:val="4D28735E"/>
    <w:rsid w:val="4D3632F4"/>
    <w:rsid w:val="4D4825C1"/>
    <w:rsid w:val="4D4E3827"/>
    <w:rsid w:val="4D926C66"/>
    <w:rsid w:val="4DA51447"/>
    <w:rsid w:val="4DA76F10"/>
    <w:rsid w:val="4DB1243D"/>
    <w:rsid w:val="4DEC4FB0"/>
    <w:rsid w:val="4E075D8A"/>
    <w:rsid w:val="4E1418BB"/>
    <w:rsid w:val="4E197388"/>
    <w:rsid w:val="4E27229A"/>
    <w:rsid w:val="4E303152"/>
    <w:rsid w:val="4E3D0E73"/>
    <w:rsid w:val="4E4808CB"/>
    <w:rsid w:val="4E4A29F2"/>
    <w:rsid w:val="4E7820C0"/>
    <w:rsid w:val="4E846181"/>
    <w:rsid w:val="4EC00FAD"/>
    <w:rsid w:val="4ECD6362"/>
    <w:rsid w:val="4ED24F7C"/>
    <w:rsid w:val="4F0A4F22"/>
    <w:rsid w:val="4F0C1C1A"/>
    <w:rsid w:val="4F1C32F2"/>
    <w:rsid w:val="4F357060"/>
    <w:rsid w:val="4F5D1742"/>
    <w:rsid w:val="4F6F31D1"/>
    <w:rsid w:val="4F846A83"/>
    <w:rsid w:val="4F9843DC"/>
    <w:rsid w:val="4FB629B4"/>
    <w:rsid w:val="4FC62A8C"/>
    <w:rsid w:val="4FC93F80"/>
    <w:rsid w:val="4FE04F4D"/>
    <w:rsid w:val="4FE20F0D"/>
    <w:rsid w:val="4FE51552"/>
    <w:rsid w:val="500C123A"/>
    <w:rsid w:val="501C59C5"/>
    <w:rsid w:val="503142D2"/>
    <w:rsid w:val="50504C4B"/>
    <w:rsid w:val="505416D5"/>
    <w:rsid w:val="50592A94"/>
    <w:rsid w:val="50956811"/>
    <w:rsid w:val="509C6E7C"/>
    <w:rsid w:val="50EA01F8"/>
    <w:rsid w:val="50F73284"/>
    <w:rsid w:val="511D0F3D"/>
    <w:rsid w:val="51565E3F"/>
    <w:rsid w:val="5162104E"/>
    <w:rsid w:val="516F7DCA"/>
    <w:rsid w:val="5174046D"/>
    <w:rsid w:val="517B5A61"/>
    <w:rsid w:val="51846DF9"/>
    <w:rsid w:val="518B3AC8"/>
    <w:rsid w:val="519740D0"/>
    <w:rsid w:val="519F60E0"/>
    <w:rsid w:val="51A033F5"/>
    <w:rsid w:val="51AF1271"/>
    <w:rsid w:val="51B16EB1"/>
    <w:rsid w:val="51C726F9"/>
    <w:rsid w:val="51F15F26"/>
    <w:rsid w:val="52036385"/>
    <w:rsid w:val="521D73DE"/>
    <w:rsid w:val="522C1E75"/>
    <w:rsid w:val="52493686"/>
    <w:rsid w:val="52733715"/>
    <w:rsid w:val="527C6137"/>
    <w:rsid w:val="52A628D0"/>
    <w:rsid w:val="52AC2855"/>
    <w:rsid w:val="52B96E6E"/>
    <w:rsid w:val="52D352D4"/>
    <w:rsid w:val="530764FC"/>
    <w:rsid w:val="531620E8"/>
    <w:rsid w:val="53650979"/>
    <w:rsid w:val="536F0A75"/>
    <w:rsid w:val="537D3427"/>
    <w:rsid w:val="53A039CC"/>
    <w:rsid w:val="53A1505A"/>
    <w:rsid w:val="53D91484"/>
    <w:rsid w:val="53D97B09"/>
    <w:rsid w:val="53EA0BEA"/>
    <w:rsid w:val="54063E08"/>
    <w:rsid w:val="542C53F7"/>
    <w:rsid w:val="543437E8"/>
    <w:rsid w:val="546D5D37"/>
    <w:rsid w:val="547075D6"/>
    <w:rsid w:val="5472341A"/>
    <w:rsid w:val="54754727"/>
    <w:rsid w:val="54A831CB"/>
    <w:rsid w:val="54AC1A15"/>
    <w:rsid w:val="54B301BB"/>
    <w:rsid w:val="54BD4DF3"/>
    <w:rsid w:val="54F73313"/>
    <w:rsid w:val="54F80955"/>
    <w:rsid w:val="54F80959"/>
    <w:rsid w:val="55124B31"/>
    <w:rsid w:val="5514456A"/>
    <w:rsid w:val="55164368"/>
    <w:rsid w:val="551C5269"/>
    <w:rsid w:val="552D5837"/>
    <w:rsid w:val="553B06B4"/>
    <w:rsid w:val="553D1BAE"/>
    <w:rsid w:val="555170A7"/>
    <w:rsid w:val="5560589C"/>
    <w:rsid w:val="55802582"/>
    <w:rsid w:val="5587536D"/>
    <w:rsid w:val="5592206E"/>
    <w:rsid w:val="559B174B"/>
    <w:rsid w:val="55AD7E36"/>
    <w:rsid w:val="55CE0CF4"/>
    <w:rsid w:val="55D9187E"/>
    <w:rsid w:val="55FF4903"/>
    <w:rsid w:val="56123B09"/>
    <w:rsid w:val="56402C2D"/>
    <w:rsid w:val="56793E58"/>
    <w:rsid w:val="568455BA"/>
    <w:rsid w:val="568B4B9B"/>
    <w:rsid w:val="5693011B"/>
    <w:rsid w:val="569D4F9B"/>
    <w:rsid w:val="56A71BE0"/>
    <w:rsid w:val="56B05D52"/>
    <w:rsid w:val="56B22A9C"/>
    <w:rsid w:val="56B6169A"/>
    <w:rsid w:val="56B8358B"/>
    <w:rsid w:val="56C41BB2"/>
    <w:rsid w:val="56D77B93"/>
    <w:rsid w:val="56E52D6F"/>
    <w:rsid w:val="571B13F2"/>
    <w:rsid w:val="572B0E7F"/>
    <w:rsid w:val="575C50C1"/>
    <w:rsid w:val="57A85B42"/>
    <w:rsid w:val="57B72A76"/>
    <w:rsid w:val="57C3426C"/>
    <w:rsid w:val="57CA51BB"/>
    <w:rsid w:val="57CE1F93"/>
    <w:rsid w:val="57D67297"/>
    <w:rsid w:val="58016B55"/>
    <w:rsid w:val="580526D3"/>
    <w:rsid w:val="58091D2B"/>
    <w:rsid w:val="58356951"/>
    <w:rsid w:val="585363BA"/>
    <w:rsid w:val="585D090B"/>
    <w:rsid w:val="587F428B"/>
    <w:rsid w:val="588743D1"/>
    <w:rsid w:val="5887701A"/>
    <w:rsid w:val="588E2720"/>
    <w:rsid w:val="58931AE5"/>
    <w:rsid w:val="58976D88"/>
    <w:rsid w:val="589866DF"/>
    <w:rsid w:val="58A8162D"/>
    <w:rsid w:val="58AB32D2"/>
    <w:rsid w:val="58B33F35"/>
    <w:rsid w:val="58BA17E7"/>
    <w:rsid w:val="58C01FAC"/>
    <w:rsid w:val="58E046AB"/>
    <w:rsid w:val="59114DD8"/>
    <w:rsid w:val="59253171"/>
    <w:rsid w:val="592E3D5C"/>
    <w:rsid w:val="59335911"/>
    <w:rsid w:val="593C1225"/>
    <w:rsid w:val="593E361E"/>
    <w:rsid w:val="59416157"/>
    <w:rsid w:val="594D25DB"/>
    <w:rsid w:val="594E5A91"/>
    <w:rsid w:val="59673487"/>
    <w:rsid w:val="59742AC1"/>
    <w:rsid w:val="59771406"/>
    <w:rsid w:val="597A6457"/>
    <w:rsid w:val="59972307"/>
    <w:rsid w:val="59A37131"/>
    <w:rsid w:val="59AD76DB"/>
    <w:rsid w:val="59C0439F"/>
    <w:rsid w:val="59CA7D81"/>
    <w:rsid w:val="59D34F0E"/>
    <w:rsid w:val="59E268EE"/>
    <w:rsid w:val="59E57756"/>
    <w:rsid w:val="59FB2037"/>
    <w:rsid w:val="5A057C73"/>
    <w:rsid w:val="5A0A4028"/>
    <w:rsid w:val="5A180DDE"/>
    <w:rsid w:val="5A1B1443"/>
    <w:rsid w:val="5A225504"/>
    <w:rsid w:val="5A331DD7"/>
    <w:rsid w:val="5A381C96"/>
    <w:rsid w:val="5A475977"/>
    <w:rsid w:val="5A4E12CF"/>
    <w:rsid w:val="5A5831BD"/>
    <w:rsid w:val="5A7A7EB4"/>
    <w:rsid w:val="5A904663"/>
    <w:rsid w:val="5AAE2C06"/>
    <w:rsid w:val="5AB73426"/>
    <w:rsid w:val="5ABE2233"/>
    <w:rsid w:val="5ACA4723"/>
    <w:rsid w:val="5AE47DEB"/>
    <w:rsid w:val="5AE66844"/>
    <w:rsid w:val="5B055CCD"/>
    <w:rsid w:val="5B0A68EC"/>
    <w:rsid w:val="5B195BE4"/>
    <w:rsid w:val="5B266D41"/>
    <w:rsid w:val="5B3E042E"/>
    <w:rsid w:val="5B4A2EA7"/>
    <w:rsid w:val="5B4D1B6B"/>
    <w:rsid w:val="5B5B518D"/>
    <w:rsid w:val="5B600CD0"/>
    <w:rsid w:val="5B6237DD"/>
    <w:rsid w:val="5B7976B8"/>
    <w:rsid w:val="5B970ED3"/>
    <w:rsid w:val="5BAB5694"/>
    <w:rsid w:val="5BAC17FA"/>
    <w:rsid w:val="5BBD1C05"/>
    <w:rsid w:val="5BD252CE"/>
    <w:rsid w:val="5BDF5D95"/>
    <w:rsid w:val="5BE857A5"/>
    <w:rsid w:val="5BFE52E4"/>
    <w:rsid w:val="5BFE7528"/>
    <w:rsid w:val="5C057404"/>
    <w:rsid w:val="5C1347D3"/>
    <w:rsid w:val="5C6A0700"/>
    <w:rsid w:val="5C8E7193"/>
    <w:rsid w:val="5CF163CC"/>
    <w:rsid w:val="5D0F2146"/>
    <w:rsid w:val="5D6924FF"/>
    <w:rsid w:val="5D7E5A6D"/>
    <w:rsid w:val="5D900CE9"/>
    <w:rsid w:val="5D932CA5"/>
    <w:rsid w:val="5DD85A85"/>
    <w:rsid w:val="5DDB1B75"/>
    <w:rsid w:val="5DEF24A4"/>
    <w:rsid w:val="5E2467F1"/>
    <w:rsid w:val="5E287B2F"/>
    <w:rsid w:val="5E530FC6"/>
    <w:rsid w:val="5E577DA1"/>
    <w:rsid w:val="5E874B33"/>
    <w:rsid w:val="5EAF6B6D"/>
    <w:rsid w:val="5EE132B4"/>
    <w:rsid w:val="5EF157B7"/>
    <w:rsid w:val="5EFE6044"/>
    <w:rsid w:val="5F0A1B85"/>
    <w:rsid w:val="5F161CB0"/>
    <w:rsid w:val="5F1A2B43"/>
    <w:rsid w:val="5F1B3B63"/>
    <w:rsid w:val="5F235C82"/>
    <w:rsid w:val="5F451B02"/>
    <w:rsid w:val="5F510D7F"/>
    <w:rsid w:val="5F6412E9"/>
    <w:rsid w:val="5F7D0F1A"/>
    <w:rsid w:val="5F8E6C88"/>
    <w:rsid w:val="5FB837BB"/>
    <w:rsid w:val="5FCB5012"/>
    <w:rsid w:val="5FE86000"/>
    <w:rsid w:val="600A3B58"/>
    <w:rsid w:val="60190CB5"/>
    <w:rsid w:val="601A0C87"/>
    <w:rsid w:val="6041546B"/>
    <w:rsid w:val="607C0319"/>
    <w:rsid w:val="60893180"/>
    <w:rsid w:val="60A910C2"/>
    <w:rsid w:val="60CC405A"/>
    <w:rsid w:val="60FD7BB2"/>
    <w:rsid w:val="61081033"/>
    <w:rsid w:val="611124D3"/>
    <w:rsid w:val="614810BF"/>
    <w:rsid w:val="615269E1"/>
    <w:rsid w:val="615C160D"/>
    <w:rsid w:val="615F691E"/>
    <w:rsid w:val="61771A3C"/>
    <w:rsid w:val="61830D56"/>
    <w:rsid w:val="618D5C6B"/>
    <w:rsid w:val="61AB256B"/>
    <w:rsid w:val="61CD250B"/>
    <w:rsid w:val="61E215D8"/>
    <w:rsid w:val="62073708"/>
    <w:rsid w:val="621B3775"/>
    <w:rsid w:val="621B47B3"/>
    <w:rsid w:val="62315E81"/>
    <w:rsid w:val="62364782"/>
    <w:rsid w:val="6298624F"/>
    <w:rsid w:val="62B215C5"/>
    <w:rsid w:val="62BF1D31"/>
    <w:rsid w:val="62C855C8"/>
    <w:rsid w:val="62CA07F9"/>
    <w:rsid w:val="62D45E4F"/>
    <w:rsid w:val="6334599F"/>
    <w:rsid w:val="633E0363"/>
    <w:rsid w:val="633F186E"/>
    <w:rsid w:val="63414812"/>
    <w:rsid w:val="63547A73"/>
    <w:rsid w:val="63696264"/>
    <w:rsid w:val="63744F99"/>
    <w:rsid w:val="639008DA"/>
    <w:rsid w:val="6394356A"/>
    <w:rsid w:val="63946F67"/>
    <w:rsid w:val="63B15515"/>
    <w:rsid w:val="63C61B2C"/>
    <w:rsid w:val="63CF16C4"/>
    <w:rsid w:val="63D40BE9"/>
    <w:rsid w:val="63DF623B"/>
    <w:rsid w:val="63EC09F4"/>
    <w:rsid w:val="63EE680E"/>
    <w:rsid w:val="63F802C4"/>
    <w:rsid w:val="63FB3B19"/>
    <w:rsid w:val="64102431"/>
    <w:rsid w:val="641D05B5"/>
    <w:rsid w:val="642F4EBF"/>
    <w:rsid w:val="646537AC"/>
    <w:rsid w:val="64701E66"/>
    <w:rsid w:val="6491649F"/>
    <w:rsid w:val="64A37553"/>
    <w:rsid w:val="64A5243A"/>
    <w:rsid w:val="64A83460"/>
    <w:rsid w:val="64CA092A"/>
    <w:rsid w:val="64CE6550"/>
    <w:rsid w:val="64D32692"/>
    <w:rsid w:val="64E2007C"/>
    <w:rsid w:val="64F531DE"/>
    <w:rsid w:val="6511677D"/>
    <w:rsid w:val="6516137B"/>
    <w:rsid w:val="651C4C58"/>
    <w:rsid w:val="65373578"/>
    <w:rsid w:val="655D0EA7"/>
    <w:rsid w:val="656C729B"/>
    <w:rsid w:val="657B3713"/>
    <w:rsid w:val="6587504E"/>
    <w:rsid w:val="65A75B21"/>
    <w:rsid w:val="65C67202"/>
    <w:rsid w:val="65D34C6F"/>
    <w:rsid w:val="65E53BBA"/>
    <w:rsid w:val="660863A7"/>
    <w:rsid w:val="66091638"/>
    <w:rsid w:val="66352159"/>
    <w:rsid w:val="66377775"/>
    <w:rsid w:val="666176C6"/>
    <w:rsid w:val="666F24C2"/>
    <w:rsid w:val="66A5011D"/>
    <w:rsid w:val="66BC6BA8"/>
    <w:rsid w:val="66E549FB"/>
    <w:rsid w:val="66F715FA"/>
    <w:rsid w:val="671F124A"/>
    <w:rsid w:val="672C3830"/>
    <w:rsid w:val="67472418"/>
    <w:rsid w:val="67527824"/>
    <w:rsid w:val="67550B21"/>
    <w:rsid w:val="677564BE"/>
    <w:rsid w:val="677A33C6"/>
    <w:rsid w:val="678656FF"/>
    <w:rsid w:val="679B7E37"/>
    <w:rsid w:val="67A13E22"/>
    <w:rsid w:val="67C0011B"/>
    <w:rsid w:val="67D83339"/>
    <w:rsid w:val="67E8086F"/>
    <w:rsid w:val="68030A35"/>
    <w:rsid w:val="680E7DD4"/>
    <w:rsid w:val="681C7057"/>
    <w:rsid w:val="681F6961"/>
    <w:rsid w:val="682269E1"/>
    <w:rsid w:val="68252AB1"/>
    <w:rsid w:val="682A5189"/>
    <w:rsid w:val="68610A2F"/>
    <w:rsid w:val="68711C95"/>
    <w:rsid w:val="68805514"/>
    <w:rsid w:val="68C92356"/>
    <w:rsid w:val="68ED3493"/>
    <w:rsid w:val="68F4265A"/>
    <w:rsid w:val="68FA4878"/>
    <w:rsid w:val="68FD41C8"/>
    <w:rsid w:val="69003677"/>
    <w:rsid w:val="69142D91"/>
    <w:rsid w:val="692B2F7A"/>
    <w:rsid w:val="69316E2F"/>
    <w:rsid w:val="694320DB"/>
    <w:rsid w:val="694C01BA"/>
    <w:rsid w:val="694E2071"/>
    <w:rsid w:val="696C2AA0"/>
    <w:rsid w:val="696D3ED3"/>
    <w:rsid w:val="697110C0"/>
    <w:rsid w:val="69766163"/>
    <w:rsid w:val="697829A1"/>
    <w:rsid w:val="697A3B33"/>
    <w:rsid w:val="69AA3132"/>
    <w:rsid w:val="69AD259B"/>
    <w:rsid w:val="69AE2CDA"/>
    <w:rsid w:val="69BA6AE8"/>
    <w:rsid w:val="69D44760"/>
    <w:rsid w:val="69DA0212"/>
    <w:rsid w:val="69DA1BE5"/>
    <w:rsid w:val="69DE67C2"/>
    <w:rsid w:val="69E27E52"/>
    <w:rsid w:val="69EE44CE"/>
    <w:rsid w:val="6A01174F"/>
    <w:rsid w:val="6A054EE6"/>
    <w:rsid w:val="6A0A266E"/>
    <w:rsid w:val="6A1C5DDE"/>
    <w:rsid w:val="6A2904FB"/>
    <w:rsid w:val="6A520EC7"/>
    <w:rsid w:val="6A7669A8"/>
    <w:rsid w:val="6A767F75"/>
    <w:rsid w:val="6A892D47"/>
    <w:rsid w:val="6AB13C81"/>
    <w:rsid w:val="6AC82CFF"/>
    <w:rsid w:val="6AF64881"/>
    <w:rsid w:val="6AF87E20"/>
    <w:rsid w:val="6B322639"/>
    <w:rsid w:val="6B350625"/>
    <w:rsid w:val="6B3B2FF9"/>
    <w:rsid w:val="6B4376F1"/>
    <w:rsid w:val="6B6C4B43"/>
    <w:rsid w:val="6B9A6C28"/>
    <w:rsid w:val="6BB84E41"/>
    <w:rsid w:val="6BC41818"/>
    <w:rsid w:val="6BC654FC"/>
    <w:rsid w:val="6BC82B25"/>
    <w:rsid w:val="6BE32D45"/>
    <w:rsid w:val="6C0A28E7"/>
    <w:rsid w:val="6C3926ED"/>
    <w:rsid w:val="6C636C38"/>
    <w:rsid w:val="6C6B54DD"/>
    <w:rsid w:val="6C8E2897"/>
    <w:rsid w:val="6C937EAD"/>
    <w:rsid w:val="6CA20B34"/>
    <w:rsid w:val="6CA3750C"/>
    <w:rsid w:val="6CB3620A"/>
    <w:rsid w:val="6D154D36"/>
    <w:rsid w:val="6D1C60F5"/>
    <w:rsid w:val="6D4F5008"/>
    <w:rsid w:val="6D8C30C1"/>
    <w:rsid w:val="6D8F7B8A"/>
    <w:rsid w:val="6DAF2E1D"/>
    <w:rsid w:val="6DB34098"/>
    <w:rsid w:val="6DB45496"/>
    <w:rsid w:val="6DB545B6"/>
    <w:rsid w:val="6DCA5B51"/>
    <w:rsid w:val="6DD22159"/>
    <w:rsid w:val="6DD864C0"/>
    <w:rsid w:val="6DDC52CE"/>
    <w:rsid w:val="6DE02FB4"/>
    <w:rsid w:val="6DF36E56"/>
    <w:rsid w:val="6E07419E"/>
    <w:rsid w:val="6E0A352C"/>
    <w:rsid w:val="6E1B1666"/>
    <w:rsid w:val="6E225124"/>
    <w:rsid w:val="6E361B31"/>
    <w:rsid w:val="6E4770F5"/>
    <w:rsid w:val="6E514CED"/>
    <w:rsid w:val="6E5B484E"/>
    <w:rsid w:val="6E9440C2"/>
    <w:rsid w:val="6E9F40EE"/>
    <w:rsid w:val="6EB563D5"/>
    <w:rsid w:val="6EB60CF1"/>
    <w:rsid w:val="6ED92677"/>
    <w:rsid w:val="6EDA6267"/>
    <w:rsid w:val="6EE026C8"/>
    <w:rsid w:val="6EED6FAE"/>
    <w:rsid w:val="6EF92BBF"/>
    <w:rsid w:val="6F0B6D0F"/>
    <w:rsid w:val="6F1826CF"/>
    <w:rsid w:val="6F225983"/>
    <w:rsid w:val="6F351FBE"/>
    <w:rsid w:val="6F520EF1"/>
    <w:rsid w:val="6F5614BA"/>
    <w:rsid w:val="6F5B2CCE"/>
    <w:rsid w:val="6F6505DA"/>
    <w:rsid w:val="6F914B78"/>
    <w:rsid w:val="6F990141"/>
    <w:rsid w:val="6FCA43E4"/>
    <w:rsid w:val="6FDC1B6B"/>
    <w:rsid w:val="6FF709D1"/>
    <w:rsid w:val="6FF87030"/>
    <w:rsid w:val="6FFC5590"/>
    <w:rsid w:val="70025A22"/>
    <w:rsid w:val="70280B82"/>
    <w:rsid w:val="704223C1"/>
    <w:rsid w:val="70563120"/>
    <w:rsid w:val="70580F52"/>
    <w:rsid w:val="705F66D0"/>
    <w:rsid w:val="706D1DD0"/>
    <w:rsid w:val="70836184"/>
    <w:rsid w:val="70855E9E"/>
    <w:rsid w:val="70856B87"/>
    <w:rsid w:val="709656E2"/>
    <w:rsid w:val="70B36D70"/>
    <w:rsid w:val="70C9220F"/>
    <w:rsid w:val="70CD4043"/>
    <w:rsid w:val="70CF39A8"/>
    <w:rsid w:val="70D527EE"/>
    <w:rsid w:val="70DC62C7"/>
    <w:rsid w:val="70F26CF1"/>
    <w:rsid w:val="710D4B66"/>
    <w:rsid w:val="711C33C6"/>
    <w:rsid w:val="71270F1E"/>
    <w:rsid w:val="7150636D"/>
    <w:rsid w:val="715B5300"/>
    <w:rsid w:val="71793359"/>
    <w:rsid w:val="71AB06FA"/>
    <w:rsid w:val="71AE3447"/>
    <w:rsid w:val="71D27F8A"/>
    <w:rsid w:val="71E80233"/>
    <w:rsid w:val="71F95DB5"/>
    <w:rsid w:val="71FF7333"/>
    <w:rsid w:val="72055145"/>
    <w:rsid w:val="72434482"/>
    <w:rsid w:val="724C0875"/>
    <w:rsid w:val="72553024"/>
    <w:rsid w:val="72593EAE"/>
    <w:rsid w:val="727C693D"/>
    <w:rsid w:val="728541CD"/>
    <w:rsid w:val="729360C1"/>
    <w:rsid w:val="729D0617"/>
    <w:rsid w:val="72D8271C"/>
    <w:rsid w:val="73004E3A"/>
    <w:rsid w:val="73122968"/>
    <w:rsid w:val="731F5D5E"/>
    <w:rsid w:val="73283936"/>
    <w:rsid w:val="732C5B6B"/>
    <w:rsid w:val="73375A36"/>
    <w:rsid w:val="734A0F9C"/>
    <w:rsid w:val="735E0734"/>
    <w:rsid w:val="73746DD9"/>
    <w:rsid w:val="7379430D"/>
    <w:rsid w:val="737A4969"/>
    <w:rsid w:val="73865D2B"/>
    <w:rsid w:val="738D5656"/>
    <w:rsid w:val="73C51AD5"/>
    <w:rsid w:val="73F45E4D"/>
    <w:rsid w:val="73FA185E"/>
    <w:rsid w:val="741E793C"/>
    <w:rsid w:val="74244483"/>
    <w:rsid w:val="74275812"/>
    <w:rsid w:val="743A5EBC"/>
    <w:rsid w:val="745E3944"/>
    <w:rsid w:val="7465790C"/>
    <w:rsid w:val="74782EBA"/>
    <w:rsid w:val="74A82061"/>
    <w:rsid w:val="74A91C02"/>
    <w:rsid w:val="74A94EAA"/>
    <w:rsid w:val="74C56E8A"/>
    <w:rsid w:val="74E7348C"/>
    <w:rsid w:val="74F259FB"/>
    <w:rsid w:val="74F642D7"/>
    <w:rsid w:val="75032BE2"/>
    <w:rsid w:val="75272F16"/>
    <w:rsid w:val="753007A1"/>
    <w:rsid w:val="753172A6"/>
    <w:rsid w:val="753949E3"/>
    <w:rsid w:val="753B6A13"/>
    <w:rsid w:val="753C15DA"/>
    <w:rsid w:val="754A3852"/>
    <w:rsid w:val="755558B0"/>
    <w:rsid w:val="7558063D"/>
    <w:rsid w:val="75643AD9"/>
    <w:rsid w:val="75AB0F3B"/>
    <w:rsid w:val="75C02620"/>
    <w:rsid w:val="75CE0A7A"/>
    <w:rsid w:val="75D20794"/>
    <w:rsid w:val="75EC2627"/>
    <w:rsid w:val="760342F6"/>
    <w:rsid w:val="76066FA6"/>
    <w:rsid w:val="762471F0"/>
    <w:rsid w:val="762967D9"/>
    <w:rsid w:val="76326989"/>
    <w:rsid w:val="7635099D"/>
    <w:rsid w:val="766034F6"/>
    <w:rsid w:val="76B82CAE"/>
    <w:rsid w:val="76BE72DE"/>
    <w:rsid w:val="76C43C71"/>
    <w:rsid w:val="76CC0B8C"/>
    <w:rsid w:val="76CF7D74"/>
    <w:rsid w:val="76D00978"/>
    <w:rsid w:val="76D91319"/>
    <w:rsid w:val="76E2215D"/>
    <w:rsid w:val="77081EF8"/>
    <w:rsid w:val="77161A50"/>
    <w:rsid w:val="771639A1"/>
    <w:rsid w:val="773D6723"/>
    <w:rsid w:val="775A1194"/>
    <w:rsid w:val="777027EC"/>
    <w:rsid w:val="77762421"/>
    <w:rsid w:val="777B1F7F"/>
    <w:rsid w:val="77881564"/>
    <w:rsid w:val="779C62FE"/>
    <w:rsid w:val="779D6084"/>
    <w:rsid w:val="77B56B1F"/>
    <w:rsid w:val="77F70009"/>
    <w:rsid w:val="780F09F4"/>
    <w:rsid w:val="7822192D"/>
    <w:rsid w:val="783D4581"/>
    <w:rsid w:val="78414B3A"/>
    <w:rsid w:val="78601D64"/>
    <w:rsid w:val="786923ED"/>
    <w:rsid w:val="787B336D"/>
    <w:rsid w:val="78825504"/>
    <w:rsid w:val="78A90480"/>
    <w:rsid w:val="78C30B4D"/>
    <w:rsid w:val="78C54260"/>
    <w:rsid w:val="78DF301F"/>
    <w:rsid w:val="78F15D7E"/>
    <w:rsid w:val="78F87A16"/>
    <w:rsid w:val="790A04EF"/>
    <w:rsid w:val="792D67C3"/>
    <w:rsid w:val="792F0BB1"/>
    <w:rsid w:val="79410FF4"/>
    <w:rsid w:val="79431FB0"/>
    <w:rsid w:val="794A1ABF"/>
    <w:rsid w:val="795F1331"/>
    <w:rsid w:val="796055BB"/>
    <w:rsid w:val="796E68F3"/>
    <w:rsid w:val="798A414B"/>
    <w:rsid w:val="79AA087F"/>
    <w:rsid w:val="79B54FE1"/>
    <w:rsid w:val="79BB10AA"/>
    <w:rsid w:val="79D76107"/>
    <w:rsid w:val="79DC1EBD"/>
    <w:rsid w:val="7A0C223E"/>
    <w:rsid w:val="7A1940E8"/>
    <w:rsid w:val="7A1E6893"/>
    <w:rsid w:val="7A364017"/>
    <w:rsid w:val="7A394BFF"/>
    <w:rsid w:val="7A456C8B"/>
    <w:rsid w:val="7A635DB0"/>
    <w:rsid w:val="7A8265E1"/>
    <w:rsid w:val="7A9C0875"/>
    <w:rsid w:val="7AA34C5A"/>
    <w:rsid w:val="7AA62F32"/>
    <w:rsid w:val="7AD452AB"/>
    <w:rsid w:val="7AD46261"/>
    <w:rsid w:val="7AED3A34"/>
    <w:rsid w:val="7AFD68B1"/>
    <w:rsid w:val="7B507FDE"/>
    <w:rsid w:val="7B686D42"/>
    <w:rsid w:val="7B841746"/>
    <w:rsid w:val="7B930324"/>
    <w:rsid w:val="7BC2255D"/>
    <w:rsid w:val="7BC9569A"/>
    <w:rsid w:val="7BD911FD"/>
    <w:rsid w:val="7C0B235E"/>
    <w:rsid w:val="7C492F7D"/>
    <w:rsid w:val="7C6C5AC7"/>
    <w:rsid w:val="7C907E98"/>
    <w:rsid w:val="7C9B2E13"/>
    <w:rsid w:val="7CAA63F1"/>
    <w:rsid w:val="7CC6544B"/>
    <w:rsid w:val="7CF1528D"/>
    <w:rsid w:val="7D0239FF"/>
    <w:rsid w:val="7D1172F8"/>
    <w:rsid w:val="7D143D8C"/>
    <w:rsid w:val="7D1E09AF"/>
    <w:rsid w:val="7D251F60"/>
    <w:rsid w:val="7D366D5F"/>
    <w:rsid w:val="7D5E40CD"/>
    <w:rsid w:val="7D6F6CEB"/>
    <w:rsid w:val="7D84025A"/>
    <w:rsid w:val="7D85293D"/>
    <w:rsid w:val="7DA21912"/>
    <w:rsid w:val="7DCD56F2"/>
    <w:rsid w:val="7DD31A53"/>
    <w:rsid w:val="7DD345AE"/>
    <w:rsid w:val="7DD842A8"/>
    <w:rsid w:val="7DD962F1"/>
    <w:rsid w:val="7DFB0E94"/>
    <w:rsid w:val="7E33054D"/>
    <w:rsid w:val="7E544291"/>
    <w:rsid w:val="7E5D4094"/>
    <w:rsid w:val="7E7B2ECD"/>
    <w:rsid w:val="7E7D2237"/>
    <w:rsid w:val="7E8B30DA"/>
    <w:rsid w:val="7E8B3E8A"/>
    <w:rsid w:val="7E9E0374"/>
    <w:rsid w:val="7EA476C6"/>
    <w:rsid w:val="7EB911BB"/>
    <w:rsid w:val="7EBF36EC"/>
    <w:rsid w:val="7ED4682F"/>
    <w:rsid w:val="7EF23159"/>
    <w:rsid w:val="7EFE7EFE"/>
    <w:rsid w:val="7F001CE7"/>
    <w:rsid w:val="7F1D6BD7"/>
    <w:rsid w:val="7F224C10"/>
    <w:rsid w:val="7F565496"/>
    <w:rsid w:val="7F7122D0"/>
    <w:rsid w:val="7F7249AC"/>
    <w:rsid w:val="7F744DFF"/>
    <w:rsid w:val="7F971D10"/>
    <w:rsid w:val="7FA95BC6"/>
    <w:rsid w:val="7FE47E50"/>
    <w:rsid w:val="7FEF3C66"/>
    <w:rsid w:val="7FF60A2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99" w:semiHidden="0" w:name="heading 2" w:locked="1"/>
    <w:lsdException w:qFormat="1" w:unhideWhenUsed="0" w:uiPriority="9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qFormat="1" w:uiPriority="39" w:semiHidden="0" w:name="toc 1" w:locked="1"/>
    <w:lsdException w:qFormat="1" w:uiPriority="39" w:semiHidden="0" w:name="toc 2" w:locked="1"/>
    <w:lsdException w:qFormat="1" w:uiPriority="39" w:semiHidden="0" w:name="toc 3" w:locked="1"/>
    <w:lsdException w:qFormat="1" w:unhideWhenUsed="0" w:uiPriority="39" w:semiHidden="0" w:name="toc 4" w:locked="1"/>
    <w:lsdException w:qFormat="1" w:uiPriority="0" w:semiHidden="0" w:name="toc 5" w:locked="1"/>
    <w:lsdException w:qFormat="1" w:uiPriority="39" w:semiHidden="0" w:name="toc 6" w:locked="1"/>
    <w:lsdException w:qFormat="1" w:uiPriority="39" w:semiHidden="0" w:name="toc 7" w:locked="1"/>
    <w:lsdException w:qFormat="1" w:uiPriority="39" w:semiHidden="0" w:name="toc 8" w:locked="1"/>
    <w:lsdException w:qFormat="1" w:uiPriority="39" w:semiHidden="0" w:name="toc 9" w:locked="1"/>
    <w:lsdException w:qFormat="1" w:uiPriority="0" w:semiHidden="0" w:name="Normal Indent" w:locked="1"/>
    <w:lsdException w:uiPriority="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ocked="1"/>
    <w:lsdException w:qFormat="1" w:unhideWhenUsed="0"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0" w:semiHidden="0" w:name="annotation reference"/>
    <w:lsdException w:uiPriority="0" w:name="line number" w:locked="1"/>
    <w:lsdException w:qFormat="1" w:unhideWhenUsed="0" w:uiPriority="0" w:semiHidden="0" w:name="page number" w:locked="1"/>
    <w:lsdException w:uiPriority="0" w:name="endnote reference" w:locked="1"/>
    <w:lsdException w:qFormat="1" w:unhideWhenUsed="0" w:uiPriority="0" w:semiHidden="0" w:name="endnote text" w:locked="1"/>
    <w:lsdException w:unhideWhenUsed="0" w:uiPriority="0" w:semiHidden="0" w:name="table of authorities" w:locked="1"/>
    <w:lsdException w:uiPriority="0" w:name="macro" w:locked="1"/>
    <w:lsdException w:uiPriority="0" w:name="toa heading" w:locked="1"/>
    <w:lsdException w:qFormat="1" w:unhideWhenUsed="0" w:uiPriority="0" w:semiHidden="0" w:name="List" w:locked="1"/>
    <w:lsdException w:unhideWhenUsed="0" w:uiPriority="0" w:semiHidden="0" w:name="List Bullet" w:locked="1"/>
    <w:lsdException w:uiPriority="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qFormat="1" w:uiPriority="99" w:semiHidden="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iPriority="0" w:name="Message Header" w:locked="1"/>
    <w:lsdException w:qFormat="1" w:unhideWhenUsed="0" w:uiPriority="0" w:semiHidden="0" w:name="Subtitle" w:locked="1"/>
    <w:lsdException w:uiPriority="0" w:name="Salutation" w:locked="1"/>
    <w:lsdException w:qFormat="1" w:unhideWhenUsed="0" w:uiPriority="99" w:semiHidden="0" w:name="Date"/>
    <w:lsdException w:qFormat="1" w:uiPriority="99" w:semiHidden="0" w:name="Body Text First Indent" w:locked="1"/>
    <w:lsdException w:qFormat="1" w:unhideWhenUsed="0" w:uiPriority="99" w:semiHidden="0" w:name="Body Text First Indent 2" w:locked="1"/>
    <w:lsdException w:uiPriority="0" w:name="Note Heading" w:locked="1"/>
    <w:lsdException w:uiPriority="0" w:name="Body Text 2" w:locked="1"/>
    <w:lsdException w:uiPriority="0" w:name="Body Text 3" w:locked="1"/>
    <w:lsdException w:qFormat="1" w:unhideWhenUsed="0" w:uiPriority="99" w:semiHidden="0" w:name="Body Text Indent 2" w:locked="1"/>
    <w:lsdException w:qFormat="1" w:unhideWhenUsed="0" w:uiPriority="0" w:semiHidden="0" w:name="Body Text Indent 3" w:locked="1"/>
    <w:lsdException w:uiPriority="0" w:name="Block Text" w:locked="1"/>
    <w:lsdException w:qFormat="1" w:unhideWhenUsed="0" w:uiPriority="0" w:semiHidden="0" w:name="Hyperlink" w:locked="1"/>
    <w:lsdException w:uiPriority="0" w:name="FollowedHyperlink" w:locked="1"/>
    <w:lsdException w:qFormat="1" w:unhideWhenUsed="0" w:uiPriority="0" w:semiHidden="0" w:name="Strong" w:locked="1"/>
    <w:lsdException w:qFormat="1" w:unhideWhenUsed="0" w:uiPriority="0" w:semiHidden="0" w:name="Emphasis" w:locked="1"/>
    <w:lsdException w:qFormat="1" w:uiPriority="99" w:semiHidden="0" w:name="Document Map" w:locked="1"/>
    <w:lsdException w:qFormat="1" w:unhideWhenUsed="0" w:uiPriority="0" w:semiHidden="0" w:name="Plain Text" w:locked="1"/>
    <w:lsdException w:uiPriority="0" w:name="E-mail Signature" w:locked="1"/>
    <w:lsdException w:qFormat="1" w:unhideWhenUsed="0" w:uiPriority="0"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59"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7"/>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56"/>
    <w:autoRedefine/>
    <w:qFormat/>
    <w:locked/>
    <w:uiPriority w:val="99"/>
    <w:pPr>
      <w:keepNext/>
      <w:keepLines/>
      <w:spacing w:before="260" w:after="260" w:line="416" w:lineRule="auto"/>
      <w:outlineLvl w:val="1"/>
    </w:pPr>
    <w:rPr>
      <w:rFonts w:ascii="Cambria" w:hAnsi="Cambria"/>
      <w:b/>
      <w:bCs/>
      <w:sz w:val="32"/>
      <w:szCs w:val="32"/>
    </w:rPr>
  </w:style>
  <w:style w:type="paragraph" w:styleId="4">
    <w:name w:val="heading 3"/>
    <w:basedOn w:val="1"/>
    <w:next w:val="1"/>
    <w:link w:val="58"/>
    <w:autoRedefine/>
    <w:qFormat/>
    <w:locked/>
    <w:uiPriority w:val="99"/>
    <w:pPr>
      <w:keepNext/>
      <w:keepLines/>
      <w:spacing w:before="260" w:after="260" w:line="416" w:lineRule="auto"/>
      <w:outlineLvl w:val="2"/>
    </w:pPr>
    <w:rPr>
      <w:b/>
      <w:bCs/>
      <w:sz w:val="32"/>
      <w:szCs w:val="32"/>
    </w:rPr>
  </w:style>
  <w:style w:type="paragraph" w:styleId="5">
    <w:name w:val="heading 4"/>
    <w:basedOn w:val="1"/>
    <w:next w:val="1"/>
    <w:link w:val="67"/>
    <w:autoRedefine/>
    <w:qFormat/>
    <w:locked/>
    <w:uiPriority w:val="0"/>
    <w:pPr>
      <w:keepNext/>
      <w:keepLines/>
      <w:spacing w:before="280" w:after="290" w:line="376" w:lineRule="auto"/>
      <w:outlineLvl w:val="3"/>
    </w:pPr>
    <w:rPr>
      <w:rFonts w:ascii="Cambria" w:hAnsi="Cambria"/>
      <w:b/>
      <w:bCs/>
      <w:sz w:val="28"/>
      <w:szCs w:val="28"/>
    </w:rPr>
  </w:style>
  <w:style w:type="paragraph" w:styleId="6">
    <w:name w:val="heading 5"/>
    <w:basedOn w:val="1"/>
    <w:next w:val="1"/>
    <w:link w:val="68"/>
    <w:autoRedefine/>
    <w:qFormat/>
    <w:locked/>
    <w:uiPriority w:val="0"/>
    <w:pPr>
      <w:keepNext/>
      <w:keepLines/>
      <w:spacing w:before="280" w:after="290" w:line="376" w:lineRule="auto"/>
      <w:outlineLvl w:val="4"/>
    </w:pPr>
    <w:rPr>
      <w:b/>
      <w:bCs/>
      <w:sz w:val="28"/>
      <w:szCs w:val="28"/>
    </w:rPr>
  </w:style>
  <w:style w:type="paragraph" w:styleId="7">
    <w:name w:val="heading 6"/>
    <w:basedOn w:val="1"/>
    <w:next w:val="1"/>
    <w:link w:val="69"/>
    <w:autoRedefine/>
    <w:qFormat/>
    <w:locked/>
    <w:uiPriority w:val="0"/>
    <w:pPr>
      <w:keepNext/>
      <w:keepLines/>
      <w:spacing w:line="240" w:lineRule="atLeast"/>
      <w:jc w:val="left"/>
      <w:outlineLvl w:val="5"/>
    </w:pPr>
    <w:rPr>
      <w:rFonts w:eastAsia="Arial Unicode MS"/>
      <w:i/>
      <w:color w:val="000000"/>
      <w:spacing w:val="5"/>
      <w:kern w:val="20"/>
      <w:szCs w:val="20"/>
    </w:rPr>
  </w:style>
  <w:style w:type="paragraph" w:styleId="8">
    <w:name w:val="heading 7"/>
    <w:basedOn w:val="1"/>
    <w:next w:val="1"/>
    <w:link w:val="70"/>
    <w:qFormat/>
    <w:locked/>
    <w:uiPriority w:val="0"/>
    <w:pPr>
      <w:keepNext/>
      <w:keepLines/>
      <w:spacing w:line="240" w:lineRule="atLeast"/>
      <w:jc w:val="left"/>
      <w:outlineLvl w:val="6"/>
    </w:pPr>
    <w:rPr>
      <w:smallCaps/>
      <w:color w:val="000000"/>
      <w:kern w:val="20"/>
      <w:szCs w:val="20"/>
    </w:rPr>
  </w:style>
  <w:style w:type="paragraph" w:styleId="9">
    <w:name w:val="heading 8"/>
    <w:basedOn w:val="1"/>
    <w:next w:val="1"/>
    <w:link w:val="71"/>
    <w:qFormat/>
    <w:locked/>
    <w:uiPriority w:val="0"/>
    <w:pPr>
      <w:keepNext/>
      <w:keepLines/>
      <w:spacing w:line="240" w:lineRule="atLeast"/>
      <w:ind w:firstLine="360"/>
      <w:jc w:val="left"/>
      <w:outlineLvl w:val="7"/>
    </w:pPr>
    <w:rPr>
      <w:i/>
      <w:color w:val="000000"/>
      <w:spacing w:val="5"/>
      <w:kern w:val="20"/>
      <w:szCs w:val="20"/>
    </w:rPr>
  </w:style>
  <w:style w:type="paragraph" w:styleId="10">
    <w:name w:val="heading 9"/>
    <w:basedOn w:val="1"/>
    <w:next w:val="1"/>
    <w:link w:val="72"/>
    <w:autoRedefine/>
    <w:qFormat/>
    <w:locked/>
    <w:uiPriority w:val="0"/>
    <w:pPr>
      <w:keepNext/>
      <w:keepLines/>
      <w:spacing w:line="240" w:lineRule="atLeast"/>
      <w:jc w:val="left"/>
      <w:outlineLvl w:val="8"/>
    </w:pPr>
    <w:rPr>
      <w:color w:val="000000"/>
      <w:spacing w:val="-5"/>
      <w:kern w:val="20"/>
      <w:szCs w:val="20"/>
    </w:rPr>
  </w:style>
  <w:style w:type="character" w:default="1" w:styleId="50">
    <w:name w:val="Default Paragraph Font"/>
    <w:semiHidden/>
    <w:unhideWhenUsed/>
    <w:qFormat/>
    <w:uiPriority w:val="1"/>
  </w:style>
  <w:style w:type="table" w:default="1" w:styleId="47">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locked/>
    <w:uiPriority w:val="39"/>
    <w:pPr>
      <w:widowControl/>
      <w:adjustRightInd w:val="0"/>
      <w:snapToGrid w:val="0"/>
      <w:spacing w:line="360" w:lineRule="auto"/>
      <w:ind w:left="1320"/>
      <w:jc w:val="left"/>
    </w:pPr>
    <w:rPr>
      <w:rFonts w:ascii="Calibri" w:hAnsi="Calibri" w:cs="Calibri"/>
      <w:kern w:val="0"/>
      <w:sz w:val="18"/>
      <w:szCs w:val="18"/>
    </w:rPr>
  </w:style>
  <w:style w:type="paragraph" w:styleId="12">
    <w:name w:val="Normal Indent"/>
    <w:basedOn w:val="1"/>
    <w:link w:val="73"/>
    <w:unhideWhenUsed/>
    <w:qFormat/>
    <w:locked/>
    <w:uiPriority w:val="0"/>
    <w:pPr>
      <w:ind w:firstLine="420"/>
    </w:pPr>
    <w:rPr>
      <w:rFonts w:ascii="Calibri" w:hAnsi="Calibri"/>
      <w:szCs w:val="22"/>
    </w:rPr>
  </w:style>
  <w:style w:type="paragraph" w:styleId="13">
    <w:name w:val="caption"/>
    <w:basedOn w:val="1"/>
    <w:next w:val="1"/>
    <w:autoRedefine/>
    <w:qFormat/>
    <w:locked/>
    <w:uiPriority w:val="0"/>
    <w:rPr>
      <w:rFonts w:ascii="Arial" w:hAnsi="Arial" w:eastAsia="黑体"/>
      <w:b/>
      <w:sz w:val="20"/>
    </w:rPr>
  </w:style>
  <w:style w:type="paragraph" w:styleId="14">
    <w:name w:val="Document Map"/>
    <w:basedOn w:val="1"/>
    <w:link w:val="74"/>
    <w:unhideWhenUsed/>
    <w:qFormat/>
    <w:locked/>
    <w:uiPriority w:val="99"/>
    <w:rPr>
      <w:rFonts w:ascii="宋体"/>
      <w:sz w:val="18"/>
      <w:szCs w:val="18"/>
    </w:rPr>
  </w:style>
  <w:style w:type="paragraph" w:styleId="15">
    <w:name w:val="annotation text"/>
    <w:basedOn w:val="1"/>
    <w:link w:val="75"/>
    <w:qFormat/>
    <w:uiPriority w:val="0"/>
    <w:pPr>
      <w:jc w:val="left"/>
    </w:pPr>
    <w:rPr>
      <w:kern w:val="0"/>
      <w:sz w:val="24"/>
      <w:szCs w:val="20"/>
    </w:rPr>
  </w:style>
  <w:style w:type="paragraph" w:styleId="16">
    <w:name w:val="Body Text"/>
    <w:basedOn w:val="1"/>
    <w:link w:val="76"/>
    <w:qFormat/>
    <w:uiPriority w:val="99"/>
    <w:pPr>
      <w:widowControl/>
      <w:snapToGrid w:val="0"/>
      <w:spacing w:before="60" w:after="160" w:line="259" w:lineRule="auto"/>
      <w:ind w:right="113"/>
    </w:pPr>
    <w:rPr>
      <w:kern w:val="0"/>
      <w:sz w:val="18"/>
      <w:szCs w:val="20"/>
    </w:rPr>
  </w:style>
  <w:style w:type="paragraph" w:styleId="17">
    <w:name w:val="Body Text Indent"/>
    <w:basedOn w:val="1"/>
    <w:next w:val="18"/>
    <w:link w:val="65"/>
    <w:autoRedefine/>
    <w:qFormat/>
    <w:uiPriority w:val="99"/>
    <w:pPr>
      <w:spacing w:after="120"/>
      <w:ind w:left="420" w:leftChars="200"/>
    </w:pPr>
    <w:rPr>
      <w:kern w:val="0"/>
      <w:sz w:val="24"/>
      <w:szCs w:val="20"/>
    </w:rPr>
  </w:style>
  <w:style w:type="paragraph" w:customStyle="1" w:styleId="18">
    <w:name w:val="样式 正文文本缩进 + 行距: 1.5 倍行距"/>
    <w:basedOn w:val="19"/>
    <w:next w:val="1"/>
    <w:autoRedefine/>
    <w:qFormat/>
    <w:uiPriority w:val="0"/>
    <w:pPr>
      <w:spacing w:after="120" w:line="360" w:lineRule="auto"/>
      <w:ind w:left="90" w:leftChars="32" w:firstLine="560" w:firstLineChars="200"/>
    </w:pPr>
    <w:rPr>
      <w:rFonts w:cs="宋体"/>
      <w:sz w:val="24"/>
    </w:rPr>
  </w:style>
  <w:style w:type="paragraph" w:customStyle="1" w:styleId="19">
    <w:name w:val="Body Text Indent"/>
    <w:basedOn w:val="1"/>
    <w:next w:val="18"/>
    <w:qFormat/>
    <w:uiPriority w:val="0"/>
    <w:pPr>
      <w:spacing w:after="120" w:afterLines="0"/>
      <w:ind w:left="420" w:leftChars="200"/>
    </w:pPr>
    <w:rPr>
      <w:rFonts w:ascii="Times New Roman" w:hAnsi="Times New Roman" w:eastAsia="宋体"/>
      <w:sz w:val="24"/>
    </w:rPr>
  </w:style>
  <w:style w:type="paragraph" w:styleId="20">
    <w:name w:val="toc 5"/>
    <w:basedOn w:val="1"/>
    <w:next w:val="1"/>
    <w:unhideWhenUsed/>
    <w:qFormat/>
    <w:locked/>
    <w:uiPriority w:val="0"/>
    <w:pPr>
      <w:widowControl/>
      <w:adjustRightInd w:val="0"/>
      <w:snapToGrid w:val="0"/>
      <w:spacing w:line="360" w:lineRule="auto"/>
      <w:ind w:left="880"/>
      <w:jc w:val="left"/>
    </w:pPr>
    <w:rPr>
      <w:rFonts w:ascii="Calibri" w:hAnsi="Calibri" w:cs="Calibri"/>
      <w:kern w:val="0"/>
      <w:sz w:val="18"/>
      <w:szCs w:val="18"/>
    </w:rPr>
  </w:style>
  <w:style w:type="paragraph" w:styleId="21">
    <w:name w:val="toc 3"/>
    <w:basedOn w:val="1"/>
    <w:next w:val="1"/>
    <w:unhideWhenUsed/>
    <w:qFormat/>
    <w:locked/>
    <w:uiPriority w:val="39"/>
    <w:pPr>
      <w:widowControl/>
      <w:adjustRightInd w:val="0"/>
      <w:snapToGrid w:val="0"/>
      <w:spacing w:line="360" w:lineRule="auto"/>
      <w:ind w:left="440"/>
      <w:jc w:val="left"/>
    </w:pPr>
    <w:rPr>
      <w:rFonts w:ascii="Calibri" w:hAnsi="Calibri" w:cs="Calibri"/>
      <w:i/>
      <w:iCs/>
      <w:kern w:val="0"/>
      <w:sz w:val="20"/>
      <w:szCs w:val="20"/>
    </w:rPr>
  </w:style>
  <w:style w:type="paragraph" w:styleId="22">
    <w:name w:val="Plain Text"/>
    <w:basedOn w:val="1"/>
    <w:next w:val="1"/>
    <w:link w:val="77"/>
    <w:qFormat/>
    <w:locked/>
    <w:uiPriority w:val="0"/>
    <w:rPr>
      <w:rFonts w:ascii="宋体" w:hAnsi="Courier New"/>
      <w:kern w:val="0"/>
      <w:sz w:val="20"/>
      <w:szCs w:val="20"/>
    </w:rPr>
  </w:style>
  <w:style w:type="paragraph" w:styleId="23">
    <w:name w:val="List Bullet 5"/>
    <w:basedOn w:val="1"/>
    <w:unhideWhenUsed/>
    <w:qFormat/>
    <w:locked/>
    <w:uiPriority w:val="99"/>
    <w:pPr>
      <w:numPr>
        <w:ilvl w:val="0"/>
        <w:numId w:val="1"/>
      </w:numPr>
    </w:pPr>
  </w:style>
  <w:style w:type="paragraph" w:styleId="24">
    <w:name w:val="toc 8"/>
    <w:basedOn w:val="1"/>
    <w:next w:val="1"/>
    <w:autoRedefine/>
    <w:unhideWhenUsed/>
    <w:qFormat/>
    <w:locked/>
    <w:uiPriority w:val="39"/>
    <w:pPr>
      <w:widowControl/>
      <w:adjustRightInd w:val="0"/>
      <w:snapToGrid w:val="0"/>
      <w:spacing w:line="360" w:lineRule="auto"/>
      <w:ind w:left="1540"/>
      <w:jc w:val="left"/>
    </w:pPr>
    <w:rPr>
      <w:rFonts w:ascii="Calibri" w:hAnsi="Calibri" w:cs="Calibri"/>
      <w:kern w:val="0"/>
      <w:sz w:val="18"/>
      <w:szCs w:val="18"/>
    </w:rPr>
  </w:style>
  <w:style w:type="paragraph" w:styleId="25">
    <w:name w:val="Date"/>
    <w:basedOn w:val="1"/>
    <w:next w:val="1"/>
    <w:link w:val="78"/>
    <w:autoRedefine/>
    <w:qFormat/>
    <w:uiPriority w:val="99"/>
    <w:pPr>
      <w:ind w:left="100" w:leftChars="2500"/>
    </w:pPr>
    <w:rPr>
      <w:kern w:val="0"/>
      <w:sz w:val="24"/>
      <w:szCs w:val="20"/>
    </w:rPr>
  </w:style>
  <w:style w:type="paragraph" w:styleId="26">
    <w:name w:val="Body Text Indent 2"/>
    <w:basedOn w:val="1"/>
    <w:link w:val="79"/>
    <w:autoRedefine/>
    <w:qFormat/>
    <w:locked/>
    <w:uiPriority w:val="99"/>
    <w:pPr>
      <w:spacing w:after="120" w:line="480" w:lineRule="auto"/>
      <w:ind w:left="420" w:leftChars="200"/>
    </w:pPr>
  </w:style>
  <w:style w:type="paragraph" w:styleId="27">
    <w:name w:val="endnote text"/>
    <w:basedOn w:val="1"/>
    <w:qFormat/>
    <w:locked/>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8">
    <w:name w:val="Balloon Text"/>
    <w:basedOn w:val="1"/>
    <w:link w:val="80"/>
    <w:qFormat/>
    <w:uiPriority w:val="0"/>
    <w:rPr>
      <w:kern w:val="0"/>
      <w:sz w:val="18"/>
      <w:szCs w:val="20"/>
    </w:rPr>
  </w:style>
  <w:style w:type="paragraph" w:styleId="29">
    <w:name w:val="footer"/>
    <w:basedOn w:val="1"/>
    <w:link w:val="81"/>
    <w:qFormat/>
    <w:uiPriority w:val="99"/>
    <w:pPr>
      <w:tabs>
        <w:tab w:val="center" w:pos="4153"/>
        <w:tab w:val="right" w:pos="8306"/>
      </w:tabs>
      <w:snapToGrid w:val="0"/>
      <w:jc w:val="left"/>
    </w:pPr>
    <w:rPr>
      <w:kern w:val="0"/>
      <w:sz w:val="18"/>
      <w:szCs w:val="20"/>
    </w:rPr>
  </w:style>
  <w:style w:type="paragraph" w:styleId="30">
    <w:name w:val="header"/>
    <w:basedOn w:val="1"/>
    <w:next w:val="31"/>
    <w:link w:val="82"/>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31">
    <w:name w:val="样式5"/>
    <w:basedOn w:val="32"/>
    <w:qFormat/>
    <w:uiPriority w:val="0"/>
    <w:pPr>
      <w:spacing w:line="360" w:lineRule="auto"/>
      <w:ind w:firstLine="510"/>
    </w:pPr>
  </w:style>
  <w:style w:type="paragraph" w:customStyle="1" w:styleId="32">
    <w:name w:val="正文1"/>
    <w:basedOn w:val="33"/>
    <w:next w:val="1"/>
    <w:qFormat/>
    <w:uiPriority w:val="0"/>
    <w:pPr>
      <w:spacing w:line="480" w:lineRule="exact"/>
      <w:ind w:firstLine="200"/>
    </w:pPr>
    <w:rPr>
      <w:rFonts w:ascii="Calibri" w:hAnsi="Calibri"/>
      <w:kern w:val="0"/>
    </w:rPr>
  </w:style>
  <w:style w:type="paragraph" w:customStyle="1" w:styleId="33">
    <w:name w:val="正文11"/>
    <w:basedOn w:val="1"/>
    <w:qFormat/>
    <w:uiPriority w:val="0"/>
    <w:pPr>
      <w:adjustRightInd w:val="0"/>
      <w:snapToGrid w:val="0"/>
      <w:spacing w:line="360" w:lineRule="auto"/>
      <w:ind w:firstLine="420" w:firstLineChars="200"/>
    </w:pPr>
    <w:rPr>
      <w:color w:val="000000"/>
      <w:sz w:val="24"/>
    </w:rPr>
  </w:style>
  <w:style w:type="paragraph" w:styleId="34">
    <w:name w:val="toc 1"/>
    <w:basedOn w:val="1"/>
    <w:next w:val="1"/>
    <w:unhideWhenUsed/>
    <w:qFormat/>
    <w:locked/>
    <w:uiPriority w:val="39"/>
    <w:pPr>
      <w:widowControl/>
      <w:tabs>
        <w:tab w:val="right" w:leader="dot" w:pos="8835"/>
      </w:tabs>
      <w:adjustRightInd w:val="0"/>
      <w:snapToGrid w:val="0"/>
      <w:spacing w:before="120" w:after="120" w:line="360" w:lineRule="auto"/>
      <w:jc w:val="center"/>
    </w:pPr>
    <w:rPr>
      <w:rFonts w:ascii="宋体" w:hAnsi="宋体" w:cs="Calibri"/>
      <w:b/>
      <w:bCs/>
      <w:caps/>
      <w:kern w:val="0"/>
      <w:sz w:val="20"/>
      <w:szCs w:val="20"/>
    </w:rPr>
  </w:style>
  <w:style w:type="paragraph" w:styleId="35">
    <w:name w:val="toc 4"/>
    <w:basedOn w:val="1"/>
    <w:next w:val="1"/>
    <w:qFormat/>
    <w:locked/>
    <w:uiPriority w:val="39"/>
    <w:pPr>
      <w:ind w:left="630"/>
      <w:jc w:val="left"/>
    </w:pPr>
    <w:rPr>
      <w:sz w:val="18"/>
      <w:szCs w:val="18"/>
    </w:rPr>
  </w:style>
  <w:style w:type="paragraph" w:styleId="36">
    <w:name w:val="Subtitle"/>
    <w:basedOn w:val="1"/>
    <w:next w:val="1"/>
    <w:link w:val="83"/>
    <w:autoRedefine/>
    <w:qFormat/>
    <w:locked/>
    <w:uiPriority w:val="0"/>
    <w:pPr>
      <w:widowControl/>
      <w:spacing w:line="360" w:lineRule="auto"/>
      <w:jc w:val="left"/>
      <w:outlineLvl w:val="2"/>
    </w:pPr>
    <w:rPr>
      <w:rFonts w:ascii="黑体" w:hAnsi="Cambria" w:eastAsia="黑体"/>
      <w:kern w:val="28"/>
      <w:sz w:val="28"/>
      <w:szCs w:val="28"/>
    </w:rPr>
  </w:style>
  <w:style w:type="paragraph" w:styleId="37">
    <w:name w:val="List"/>
    <w:basedOn w:val="1"/>
    <w:link w:val="84"/>
    <w:qFormat/>
    <w:locked/>
    <w:uiPriority w:val="0"/>
    <w:pPr>
      <w:ind w:left="200" w:hanging="200" w:hangingChars="200"/>
    </w:pPr>
    <w:rPr>
      <w:rFonts w:ascii="Calibri" w:hAnsi="Calibri"/>
      <w:szCs w:val="22"/>
    </w:rPr>
  </w:style>
  <w:style w:type="paragraph" w:styleId="38">
    <w:name w:val="toc 6"/>
    <w:basedOn w:val="1"/>
    <w:next w:val="1"/>
    <w:unhideWhenUsed/>
    <w:qFormat/>
    <w:locked/>
    <w:uiPriority w:val="39"/>
    <w:pPr>
      <w:widowControl/>
      <w:adjustRightInd w:val="0"/>
      <w:snapToGrid w:val="0"/>
      <w:spacing w:line="360" w:lineRule="auto"/>
      <w:ind w:left="1100"/>
      <w:jc w:val="left"/>
    </w:pPr>
    <w:rPr>
      <w:rFonts w:ascii="Calibri" w:hAnsi="Calibri" w:cs="Calibri"/>
      <w:kern w:val="0"/>
      <w:sz w:val="18"/>
      <w:szCs w:val="18"/>
    </w:rPr>
  </w:style>
  <w:style w:type="paragraph" w:styleId="39">
    <w:name w:val="Body Text Indent 3"/>
    <w:basedOn w:val="1"/>
    <w:link w:val="85"/>
    <w:autoRedefine/>
    <w:qFormat/>
    <w:locked/>
    <w:uiPriority w:val="0"/>
    <w:pPr>
      <w:ind w:firstLine="480"/>
    </w:pPr>
    <w:rPr>
      <w:rFonts w:ascii="新宋体" w:hAnsi="新宋体" w:eastAsia="新宋体"/>
      <w:kern w:val="0"/>
      <w:sz w:val="24"/>
    </w:rPr>
  </w:style>
  <w:style w:type="paragraph" w:styleId="40">
    <w:name w:val="toc 2"/>
    <w:basedOn w:val="1"/>
    <w:next w:val="1"/>
    <w:autoRedefine/>
    <w:unhideWhenUsed/>
    <w:qFormat/>
    <w:locked/>
    <w:uiPriority w:val="39"/>
    <w:pPr>
      <w:widowControl/>
      <w:adjustRightInd w:val="0"/>
      <w:snapToGrid w:val="0"/>
      <w:spacing w:line="360" w:lineRule="auto"/>
      <w:ind w:left="220"/>
      <w:jc w:val="left"/>
    </w:pPr>
    <w:rPr>
      <w:rFonts w:ascii="Calibri" w:hAnsi="Calibri" w:cs="Calibri"/>
      <w:smallCaps/>
      <w:kern w:val="0"/>
      <w:sz w:val="20"/>
      <w:szCs w:val="20"/>
    </w:rPr>
  </w:style>
  <w:style w:type="paragraph" w:styleId="41">
    <w:name w:val="toc 9"/>
    <w:basedOn w:val="1"/>
    <w:next w:val="1"/>
    <w:autoRedefine/>
    <w:unhideWhenUsed/>
    <w:qFormat/>
    <w:locked/>
    <w:uiPriority w:val="39"/>
    <w:pPr>
      <w:widowControl/>
      <w:adjustRightInd w:val="0"/>
      <w:snapToGrid w:val="0"/>
      <w:spacing w:line="360" w:lineRule="auto"/>
      <w:ind w:left="1760"/>
      <w:jc w:val="left"/>
    </w:pPr>
    <w:rPr>
      <w:rFonts w:ascii="Calibri" w:hAnsi="Calibri" w:cs="Calibri"/>
      <w:kern w:val="0"/>
      <w:sz w:val="18"/>
      <w:szCs w:val="18"/>
    </w:rPr>
  </w:style>
  <w:style w:type="paragraph" w:styleId="42">
    <w:name w:val="Normal (Web)"/>
    <w:basedOn w:val="1"/>
    <w:link w:val="86"/>
    <w:autoRedefine/>
    <w:qFormat/>
    <w:uiPriority w:val="0"/>
    <w:pPr>
      <w:widowControl/>
      <w:spacing w:before="100" w:beforeAutospacing="1" w:after="100" w:afterAutospacing="1"/>
      <w:jc w:val="left"/>
    </w:pPr>
    <w:rPr>
      <w:rFonts w:ascii="宋体" w:hAnsi="宋体"/>
      <w:kern w:val="0"/>
      <w:sz w:val="24"/>
      <w:szCs w:val="20"/>
    </w:rPr>
  </w:style>
  <w:style w:type="paragraph" w:styleId="43">
    <w:name w:val="Title"/>
    <w:basedOn w:val="1"/>
    <w:link w:val="87"/>
    <w:qFormat/>
    <w:locked/>
    <w:uiPriority w:val="0"/>
    <w:pPr>
      <w:spacing w:before="240" w:after="60"/>
      <w:jc w:val="center"/>
      <w:outlineLvl w:val="0"/>
    </w:pPr>
    <w:rPr>
      <w:rFonts w:ascii="Arial" w:hAnsi="Arial"/>
      <w:b/>
      <w:snapToGrid w:val="0"/>
      <w:color w:val="000000"/>
      <w:kern w:val="0"/>
      <w:sz w:val="32"/>
      <w:szCs w:val="20"/>
    </w:rPr>
  </w:style>
  <w:style w:type="paragraph" w:styleId="44">
    <w:name w:val="annotation subject"/>
    <w:basedOn w:val="15"/>
    <w:next w:val="15"/>
    <w:link w:val="88"/>
    <w:autoRedefine/>
    <w:qFormat/>
    <w:uiPriority w:val="0"/>
    <w:rPr>
      <w:b/>
      <w:kern w:val="2"/>
    </w:rPr>
  </w:style>
  <w:style w:type="paragraph" w:styleId="45">
    <w:name w:val="Body Text First Indent"/>
    <w:basedOn w:val="16"/>
    <w:next w:val="1"/>
    <w:link w:val="89"/>
    <w:autoRedefine/>
    <w:unhideWhenUsed/>
    <w:qFormat/>
    <w:locked/>
    <w:uiPriority w:val="99"/>
    <w:pPr>
      <w:adjustRightInd w:val="0"/>
      <w:spacing w:before="0" w:after="120" w:line="360" w:lineRule="auto"/>
      <w:ind w:right="0" w:firstLine="420" w:firstLineChars="100"/>
      <w:jc w:val="left"/>
    </w:pPr>
    <w:rPr>
      <w:sz w:val="24"/>
      <w:szCs w:val="22"/>
    </w:rPr>
  </w:style>
  <w:style w:type="paragraph" w:styleId="46">
    <w:name w:val="Body Text First Indent 2"/>
    <w:basedOn w:val="17"/>
    <w:next w:val="1"/>
    <w:link w:val="66"/>
    <w:qFormat/>
    <w:locked/>
    <w:uiPriority w:val="99"/>
    <w:pPr>
      <w:ind w:firstLine="420" w:firstLineChars="200"/>
    </w:pPr>
    <w:rPr>
      <w:kern w:val="2"/>
      <w:sz w:val="21"/>
      <w:szCs w:val="24"/>
    </w:rPr>
  </w:style>
  <w:style w:type="table" w:styleId="48">
    <w:name w:val="Table Grid"/>
    <w:basedOn w:val="4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9">
    <w:name w:val="Table Theme"/>
    <w:basedOn w:val="47"/>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1">
    <w:name w:val="Strong"/>
    <w:autoRedefine/>
    <w:qFormat/>
    <w:locked/>
    <w:uiPriority w:val="0"/>
    <w:rPr>
      <w:b/>
      <w:bCs/>
    </w:rPr>
  </w:style>
  <w:style w:type="character" w:styleId="52">
    <w:name w:val="page number"/>
    <w:autoRedefine/>
    <w:qFormat/>
    <w:locked/>
    <w:uiPriority w:val="0"/>
  </w:style>
  <w:style w:type="character" w:styleId="53">
    <w:name w:val="Emphasis"/>
    <w:qFormat/>
    <w:locked/>
    <w:uiPriority w:val="0"/>
    <w:rPr>
      <w:rFonts w:eastAsia="黑体"/>
      <w:i/>
      <w:iCs/>
      <w:snapToGrid w:val="0"/>
      <w:sz w:val="24"/>
      <w:szCs w:val="24"/>
    </w:rPr>
  </w:style>
  <w:style w:type="character" w:styleId="54">
    <w:name w:val="Hyperlink"/>
    <w:qFormat/>
    <w:locked/>
    <w:uiPriority w:val="0"/>
    <w:rPr>
      <w:color w:val="0000FF"/>
      <w:u w:val="single"/>
    </w:rPr>
  </w:style>
  <w:style w:type="character" w:styleId="55">
    <w:name w:val="annotation reference"/>
    <w:qFormat/>
    <w:uiPriority w:val="0"/>
    <w:rPr>
      <w:sz w:val="21"/>
    </w:rPr>
  </w:style>
  <w:style w:type="character" w:customStyle="1" w:styleId="56">
    <w:name w:val="标题 2 字符"/>
    <w:link w:val="3"/>
    <w:autoRedefine/>
    <w:qFormat/>
    <w:uiPriority w:val="99"/>
    <w:rPr>
      <w:rFonts w:ascii="Cambria" w:hAnsi="Cambria" w:eastAsia="宋体" w:cs="Times New Roman"/>
      <w:b/>
      <w:bCs/>
      <w:kern w:val="2"/>
      <w:sz w:val="32"/>
      <w:szCs w:val="32"/>
    </w:rPr>
  </w:style>
  <w:style w:type="character" w:customStyle="1" w:styleId="57">
    <w:name w:val="标题 1 字符"/>
    <w:link w:val="2"/>
    <w:autoRedefine/>
    <w:qFormat/>
    <w:uiPriority w:val="0"/>
    <w:rPr>
      <w:rFonts w:eastAsia="黑体"/>
      <w:b/>
      <w:bCs/>
      <w:color w:val="000000"/>
      <w:kern w:val="44"/>
      <w:sz w:val="30"/>
      <w:szCs w:val="30"/>
    </w:rPr>
  </w:style>
  <w:style w:type="character" w:customStyle="1" w:styleId="58">
    <w:name w:val="标题 3 字符"/>
    <w:link w:val="4"/>
    <w:autoRedefine/>
    <w:qFormat/>
    <w:uiPriority w:val="99"/>
    <w:rPr>
      <w:b/>
      <w:bCs/>
      <w:kern w:val="2"/>
      <w:sz w:val="32"/>
      <w:szCs w:val="32"/>
    </w:rPr>
  </w:style>
  <w:style w:type="paragraph" w:customStyle="1" w:styleId="59">
    <w:name w:val="style4"/>
    <w:basedOn w:val="1"/>
    <w:next w:val="60"/>
    <w:autoRedefine/>
    <w:unhideWhenUsed/>
    <w:qFormat/>
    <w:uiPriority w:val="0"/>
    <w:pPr>
      <w:widowControl/>
      <w:spacing w:before="280" w:after="280"/>
    </w:pPr>
    <w:rPr>
      <w:rFonts w:hint="eastAsia" w:ascii="宋体"/>
      <w:sz w:val="18"/>
    </w:rPr>
  </w:style>
  <w:style w:type="paragraph" w:customStyle="1" w:styleId="60">
    <w:name w:val="2"/>
    <w:next w:val="1"/>
    <w:autoRedefine/>
    <w:unhideWhenUsed/>
    <w:qFormat/>
    <w:uiPriority w:val="0"/>
    <w:pPr>
      <w:widowControl w:val="0"/>
      <w:jc w:val="both"/>
    </w:pPr>
    <w:rPr>
      <w:rFonts w:hint="eastAsia" w:ascii="Times New Roman" w:hAnsi="Times New Roman" w:eastAsia="Times New Roman" w:cs="Times New Roman"/>
      <w:sz w:val="21"/>
      <w:lang w:val="en-US" w:eastAsia="zh-CN" w:bidi="ar-SA"/>
    </w:rPr>
  </w:style>
  <w:style w:type="paragraph" w:customStyle="1" w:styleId="61">
    <w:name w:val="reader-word-layer reader-word-s46-2"/>
    <w:basedOn w:val="1"/>
    <w:next w:val="62"/>
    <w:qFormat/>
    <w:uiPriority w:val="0"/>
    <w:pPr>
      <w:widowControl/>
      <w:spacing w:before="280" w:after="280"/>
    </w:pPr>
    <w:rPr>
      <w:rFonts w:ascii="宋体"/>
      <w:sz w:val="24"/>
    </w:rPr>
  </w:style>
  <w:style w:type="paragraph" w:customStyle="1" w:styleId="62">
    <w:name w:val="xl35"/>
    <w:basedOn w:val="1"/>
    <w:next w:val="1"/>
    <w:qFormat/>
    <w:uiPriority w:val="0"/>
    <w:pPr>
      <w:widowControl/>
      <w:shd w:val="clear" w:color="FFFFFF" w:fill="FFFFFF"/>
      <w:spacing w:before="280" w:after="280"/>
    </w:pPr>
    <w:rPr>
      <w:rFonts w:ascii="Arial Unicode MS" w:eastAsia="Arial Unicode MS"/>
      <w:sz w:val="24"/>
    </w:rPr>
  </w:style>
  <w:style w:type="paragraph" w:customStyle="1" w:styleId="63">
    <w:name w:val="样式 标题 1一级标题 + 段前: 0.5 行 段后: 0.5 行"/>
    <w:basedOn w:val="2"/>
    <w:autoRedefine/>
    <w:qFormat/>
    <w:uiPriority w:val="99"/>
    <w:pPr>
      <w:spacing w:line="320" w:lineRule="exact"/>
      <w:outlineLvl w:val="9"/>
    </w:pPr>
    <w:rPr>
      <w:spacing w:val="-6"/>
      <w:sz w:val="21"/>
      <w:szCs w:val="21"/>
    </w:rPr>
  </w:style>
  <w:style w:type="paragraph" w:customStyle="1" w:styleId="64">
    <w:name w:val="xl27"/>
    <w:basedOn w:val="1"/>
    <w:autoRedefine/>
    <w:qFormat/>
    <w:uiPriority w:val="0"/>
    <w:pPr>
      <w:widowControl/>
      <w:pBdr>
        <w:left w:val="single" w:color="auto" w:sz="4" w:space="0"/>
      </w:pBdr>
      <w:spacing w:before="100" w:beforeAutospacing="1" w:after="100" w:afterAutospacing="1"/>
      <w:jc w:val="center"/>
    </w:pPr>
    <w:rPr>
      <w:rFonts w:eastAsia="Arial Unicode MS"/>
      <w:kern w:val="0"/>
      <w:lang w:eastAsia="zh-TW"/>
    </w:rPr>
  </w:style>
  <w:style w:type="character" w:customStyle="1" w:styleId="65">
    <w:name w:val="正文文本缩进 字符"/>
    <w:link w:val="17"/>
    <w:autoRedefine/>
    <w:qFormat/>
    <w:locked/>
    <w:uiPriority w:val="0"/>
    <w:rPr>
      <w:rFonts w:ascii="Times New Roman" w:hAnsi="Times New Roman" w:eastAsia="宋体"/>
      <w:sz w:val="24"/>
    </w:rPr>
  </w:style>
  <w:style w:type="character" w:customStyle="1" w:styleId="66">
    <w:name w:val="正文文本首行缩进 2 字符"/>
    <w:link w:val="46"/>
    <w:autoRedefine/>
    <w:qFormat/>
    <w:uiPriority w:val="99"/>
    <w:rPr>
      <w:rFonts w:ascii="Times New Roman" w:hAnsi="Times New Roman" w:eastAsia="宋体"/>
      <w:kern w:val="2"/>
      <w:sz w:val="21"/>
      <w:szCs w:val="24"/>
    </w:rPr>
  </w:style>
  <w:style w:type="character" w:customStyle="1" w:styleId="67">
    <w:name w:val="标题 4 字符"/>
    <w:link w:val="5"/>
    <w:autoRedefine/>
    <w:qFormat/>
    <w:uiPriority w:val="0"/>
    <w:rPr>
      <w:rFonts w:ascii="Cambria" w:hAnsi="Cambria" w:eastAsia="宋体" w:cs="Times New Roman"/>
      <w:b/>
      <w:bCs/>
      <w:kern w:val="2"/>
      <w:sz w:val="28"/>
      <w:szCs w:val="28"/>
    </w:rPr>
  </w:style>
  <w:style w:type="character" w:customStyle="1" w:styleId="68">
    <w:name w:val="标题 5 字符"/>
    <w:link w:val="6"/>
    <w:qFormat/>
    <w:uiPriority w:val="0"/>
    <w:rPr>
      <w:b/>
      <w:bCs/>
      <w:kern w:val="2"/>
      <w:sz w:val="28"/>
      <w:szCs w:val="28"/>
    </w:rPr>
  </w:style>
  <w:style w:type="character" w:customStyle="1" w:styleId="69">
    <w:name w:val="标题 6 字符"/>
    <w:link w:val="7"/>
    <w:autoRedefine/>
    <w:qFormat/>
    <w:uiPriority w:val="0"/>
    <w:rPr>
      <w:rFonts w:eastAsia="Arial Unicode MS"/>
      <w:i/>
      <w:color w:val="000000"/>
      <w:spacing w:val="5"/>
      <w:kern w:val="20"/>
      <w:sz w:val="21"/>
    </w:rPr>
  </w:style>
  <w:style w:type="character" w:customStyle="1" w:styleId="70">
    <w:name w:val="标题 7 字符"/>
    <w:link w:val="8"/>
    <w:qFormat/>
    <w:uiPriority w:val="0"/>
    <w:rPr>
      <w:smallCaps/>
      <w:color w:val="000000"/>
      <w:kern w:val="20"/>
      <w:sz w:val="21"/>
    </w:rPr>
  </w:style>
  <w:style w:type="character" w:customStyle="1" w:styleId="71">
    <w:name w:val="标题 8 字符"/>
    <w:link w:val="9"/>
    <w:autoRedefine/>
    <w:qFormat/>
    <w:uiPriority w:val="0"/>
    <w:rPr>
      <w:i/>
      <w:color w:val="000000"/>
      <w:spacing w:val="5"/>
      <w:kern w:val="20"/>
      <w:sz w:val="21"/>
    </w:rPr>
  </w:style>
  <w:style w:type="character" w:customStyle="1" w:styleId="72">
    <w:name w:val="标题 9 字符"/>
    <w:link w:val="10"/>
    <w:qFormat/>
    <w:uiPriority w:val="0"/>
    <w:rPr>
      <w:color w:val="000000"/>
      <w:spacing w:val="-5"/>
      <w:kern w:val="20"/>
      <w:sz w:val="21"/>
    </w:rPr>
  </w:style>
  <w:style w:type="character" w:customStyle="1" w:styleId="73">
    <w:name w:val="正文缩进 字符1"/>
    <w:link w:val="12"/>
    <w:autoRedefine/>
    <w:qFormat/>
    <w:locked/>
    <w:uiPriority w:val="0"/>
    <w:rPr>
      <w:rFonts w:ascii="Calibri" w:hAnsi="Calibri"/>
      <w:kern w:val="2"/>
      <w:sz w:val="21"/>
      <w:szCs w:val="22"/>
    </w:rPr>
  </w:style>
  <w:style w:type="character" w:customStyle="1" w:styleId="74">
    <w:name w:val="文档结构图 字符"/>
    <w:link w:val="14"/>
    <w:autoRedefine/>
    <w:qFormat/>
    <w:uiPriority w:val="99"/>
    <w:rPr>
      <w:rFonts w:ascii="宋体"/>
      <w:kern w:val="2"/>
      <w:sz w:val="18"/>
      <w:szCs w:val="18"/>
    </w:rPr>
  </w:style>
  <w:style w:type="character" w:customStyle="1" w:styleId="75">
    <w:name w:val="批注文字 字符2"/>
    <w:link w:val="15"/>
    <w:autoRedefine/>
    <w:qFormat/>
    <w:locked/>
    <w:uiPriority w:val="0"/>
    <w:rPr>
      <w:rFonts w:ascii="Times New Roman" w:hAnsi="Times New Roman" w:eastAsia="宋体"/>
      <w:sz w:val="24"/>
    </w:rPr>
  </w:style>
  <w:style w:type="character" w:customStyle="1" w:styleId="76">
    <w:name w:val="正文文本 字符"/>
    <w:link w:val="16"/>
    <w:autoRedefine/>
    <w:qFormat/>
    <w:locked/>
    <w:uiPriority w:val="99"/>
    <w:rPr>
      <w:sz w:val="18"/>
    </w:rPr>
  </w:style>
  <w:style w:type="character" w:customStyle="1" w:styleId="77">
    <w:name w:val="纯文本 字符1"/>
    <w:link w:val="22"/>
    <w:autoRedefine/>
    <w:qFormat/>
    <w:locked/>
    <w:uiPriority w:val="0"/>
    <w:rPr>
      <w:rFonts w:ascii="宋体" w:hAnsi="Courier New"/>
    </w:rPr>
  </w:style>
  <w:style w:type="character" w:customStyle="1" w:styleId="78">
    <w:name w:val="日期 字符1"/>
    <w:link w:val="25"/>
    <w:autoRedefine/>
    <w:qFormat/>
    <w:locked/>
    <w:uiPriority w:val="0"/>
    <w:rPr>
      <w:rFonts w:ascii="Times New Roman" w:hAnsi="Times New Roman" w:eastAsia="宋体"/>
      <w:sz w:val="24"/>
    </w:rPr>
  </w:style>
  <w:style w:type="character" w:customStyle="1" w:styleId="79">
    <w:name w:val="正文文本缩进 2 字符"/>
    <w:link w:val="26"/>
    <w:autoRedefine/>
    <w:qFormat/>
    <w:uiPriority w:val="99"/>
    <w:rPr>
      <w:kern w:val="2"/>
      <w:sz w:val="21"/>
      <w:szCs w:val="24"/>
    </w:rPr>
  </w:style>
  <w:style w:type="character" w:customStyle="1" w:styleId="80">
    <w:name w:val="批注框文本 字符1"/>
    <w:link w:val="28"/>
    <w:autoRedefine/>
    <w:semiHidden/>
    <w:qFormat/>
    <w:locked/>
    <w:uiPriority w:val="0"/>
    <w:rPr>
      <w:rFonts w:ascii="Times New Roman" w:hAnsi="Times New Roman" w:eastAsia="宋体"/>
      <w:sz w:val="18"/>
    </w:rPr>
  </w:style>
  <w:style w:type="character" w:customStyle="1" w:styleId="81">
    <w:name w:val="页脚 字符1"/>
    <w:link w:val="29"/>
    <w:autoRedefine/>
    <w:qFormat/>
    <w:locked/>
    <w:uiPriority w:val="99"/>
    <w:rPr>
      <w:sz w:val="18"/>
    </w:rPr>
  </w:style>
  <w:style w:type="character" w:customStyle="1" w:styleId="82">
    <w:name w:val="页眉 字符"/>
    <w:link w:val="30"/>
    <w:autoRedefine/>
    <w:qFormat/>
    <w:locked/>
    <w:uiPriority w:val="0"/>
    <w:rPr>
      <w:sz w:val="18"/>
    </w:rPr>
  </w:style>
  <w:style w:type="character" w:customStyle="1" w:styleId="83">
    <w:name w:val="副标题 字符2"/>
    <w:link w:val="36"/>
    <w:autoRedefine/>
    <w:qFormat/>
    <w:uiPriority w:val="0"/>
    <w:rPr>
      <w:rFonts w:ascii="黑体" w:hAnsi="Cambria" w:eastAsia="黑体" w:cs="宋体"/>
      <w:kern w:val="28"/>
      <w:sz w:val="28"/>
      <w:szCs w:val="28"/>
    </w:rPr>
  </w:style>
  <w:style w:type="character" w:customStyle="1" w:styleId="84">
    <w:name w:val="列表 字符"/>
    <w:link w:val="37"/>
    <w:autoRedefine/>
    <w:qFormat/>
    <w:uiPriority w:val="0"/>
    <w:rPr>
      <w:rFonts w:ascii="Calibri" w:hAnsi="Calibri"/>
      <w:kern w:val="2"/>
      <w:sz w:val="21"/>
      <w:szCs w:val="22"/>
    </w:rPr>
  </w:style>
  <w:style w:type="character" w:customStyle="1" w:styleId="85">
    <w:name w:val="正文文本缩进 3 字符"/>
    <w:link w:val="39"/>
    <w:autoRedefine/>
    <w:qFormat/>
    <w:uiPriority w:val="0"/>
    <w:rPr>
      <w:rFonts w:ascii="新宋体" w:hAnsi="新宋体" w:eastAsia="新宋体"/>
      <w:sz w:val="24"/>
      <w:szCs w:val="24"/>
    </w:rPr>
  </w:style>
  <w:style w:type="character" w:customStyle="1" w:styleId="86">
    <w:name w:val="普通(网站) 字符"/>
    <w:link w:val="42"/>
    <w:autoRedefine/>
    <w:qFormat/>
    <w:locked/>
    <w:uiPriority w:val="0"/>
    <w:rPr>
      <w:rFonts w:ascii="宋体" w:hAnsi="宋体" w:eastAsia="宋体"/>
      <w:sz w:val="24"/>
    </w:rPr>
  </w:style>
  <w:style w:type="character" w:customStyle="1" w:styleId="87">
    <w:name w:val="标题 字符"/>
    <w:link w:val="43"/>
    <w:autoRedefine/>
    <w:qFormat/>
    <w:uiPriority w:val="0"/>
    <w:rPr>
      <w:rFonts w:ascii="Arial" w:hAnsi="Arial"/>
      <w:b/>
      <w:snapToGrid/>
      <w:color w:val="000000"/>
      <w:sz w:val="32"/>
    </w:rPr>
  </w:style>
  <w:style w:type="character" w:customStyle="1" w:styleId="88">
    <w:name w:val="批注主题 字符"/>
    <w:link w:val="44"/>
    <w:qFormat/>
    <w:locked/>
    <w:uiPriority w:val="0"/>
    <w:rPr>
      <w:rFonts w:ascii="Times New Roman" w:hAnsi="Times New Roman" w:eastAsia="宋体"/>
      <w:b/>
      <w:kern w:val="2"/>
      <w:sz w:val="24"/>
    </w:rPr>
  </w:style>
  <w:style w:type="character" w:customStyle="1" w:styleId="89">
    <w:name w:val="正文文本首行缩进 字符"/>
    <w:link w:val="45"/>
    <w:autoRedefine/>
    <w:qFormat/>
    <w:uiPriority w:val="99"/>
    <w:rPr>
      <w:sz w:val="24"/>
      <w:szCs w:val="22"/>
    </w:rPr>
  </w:style>
  <w:style w:type="paragraph" w:customStyle="1" w:styleId="90">
    <w:name w:val="正文文本缩进1"/>
    <w:basedOn w:val="1"/>
    <w:next w:val="18"/>
    <w:link w:val="187"/>
    <w:autoRedefine/>
    <w:qFormat/>
    <w:uiPriority w:val="0"/>
    <w:pPr>
      <w:adjustRightInd w:val="0"/>
      <w:spacing w:line="233" w:lineRule="auto"/>
      <w:ind w:firstLine="570"/>
      <w:textAlignment w:val="baseline"/>
    </w:pPr>
    <w:rPr>
      <w:rFonts w:ascii="仿宋_GB2312" w:eastAsia="仿宋_GB2312"/>
      <w:kern w:val="0"/>
      <w:sz w:val="28"/>
      <w:szCs w:val="20"/>
    </w:rPr>
  </w:style>
  <w:style w:type="character" w:customStyle="1" w:styleId="91">
    <w:name w:val="内部文字 字符"/>
    <w:link w:val="92"/>
    <w:autoRedefine/>
    <w:qFormat/>
    <w:uiPriority w:val="0"/>
    <w:rPr>
      <w:kern w:val="2"/>
      <w:sz w:val="24"/>
    </w:rPr>
  </w:style>
  <w:style w:type="paragraph" w:customStyle="1" w:styleId="92">
    <w:name w:val="内部文字"/>
    <w:basedOn w:val="1"/>
    <w:link w:val="91"/>
    <w:autoRedefine/>
    <w:qFormat/>
    <w:uiPriority w:val="0"/>
    <w:pPr>
      <w:adjustRightInd w:val="0"/>
      <w:snapToGrid w:val="0"/>
      <w:spacing w:line="360" w:lineRule="auto"/>
      <w:ind w:firstLine="200" w:firstLineChars="200"/>
    </w:pPr>
    <w:rPr>
      <w:sz w:val="24"/>
      <w:szCs w:val="20"/>
    </w:rPr>
  </w:style>
  <w:style w:type="character" w:customStyle="1" w:styleId="93">
    <w:name w:val="表格 Char"/>
    <w:link w:val="94"/>
    <w:autoRedefine/>
    <w:qFormat/>
    <w:locked/>
    <w:uiPriority w:val="0"/>
    <w:rPr>
      <w:rFonts w:ascii="宋体"/>
      <w:sz w:val="21"/>
    </w:rPr>
  </w:style>
  <w:style w:type="paragraph" w:customStyle="1" w:styleId="94">
    <w:name w:val="表格"/>
    <w:basedOn w:val="1"/>
    <w:next w:val="1"/>
    <w:link w:val="93"/>
    <w:autoRedefine/>
    <w:qFormat/>
    <w:uiPriority w:val="99"/>
    <w:pPr>
      <w:adjustRightInd w:val="0"/>
      <w:snapToGrid w:val="0"/>
      <w:spacing w:beforeLines="10" w:afterLines="10" w:line="259" w:lineRule="auto"/>
      <w:jc w:val="center"/>
    </w:pPr>
    <w:rPr>
      <w:rFonts w:ascii="宋体"/>
      <w:kern w:val="0"/>
      <w:szCs w:val="20"/>
    </w:rPr>
  </w:style>
  <w:style w:type="character" w:customStyle="1" w:styleId="95">
    <w:name w:val="正文文本 字符1"/>
    <w:autoRedefine/>
    <w:semiHidden/>
    <w:qFormat/>
    <w:uiPriority w:val="0"/>
    <w:rPr>
      <w:rFonts w:ascii="Times New Roman" w:hAnsi="Times New Roman" w:eastAsia="宋体"/>
      <w:sz w:val="24"/>
    </w:rPr>
  </w:style>
  <w:style w:type="character" w:customStyle="1" w:styleId="96">
    <w:name w:val="15"/>
    <w:autoRedefine/>
    <w:qFormat/>
    <w:uiPriority w:val="0"/>
    <w:rPr>
      <w:rFonts w:hint="default" w:ascii="Times New Roman" w:hAnsi="Times New Roman" w:cs="Times New Roman"/>
    </w:rPr>
  </w:style>
  <w:style w:type="character" w:customStyle="1" w:styleId="97">
    <w:name w:val="表内容 Char Char"/>
    <w:link w:val="98"/>
    <w:autoRedefine/>
    <w:qFormat/>
    <w:locked/>
    <w:uiPriority w:val="0"/>
    <w:rPr>
      <w:rFonts w:eastAsia="Times New Roman"/>
      <w:sz w:val="21"/>
      <w:szCs w:val="21"/>
    </w:rPr>
  </w:style>
  <w:style w:type="paragraph" w:customStyle="1" w:styleId="98">
    <w:name w:val="表内容"/>
    <w:basedOn w:val="1"/>
    <w:next w:val="1"/>
    <w:link w:val="97"/>
    <w:autoRedefine/>
    <w:qFormat/>
    <w:uiPriority w:val="0"/>
    <w:pPr>
      <w:adjustRightInd w:val="0"/>
      <w:snapToGrid w:val="0"/>
      <w:jc w:val="center"/>
    </w:pPr>
    <w:rPr>
      <w:rFonts w:eastAsia="Times New Roman"/>
      <w:kern w:val="0"/>
      <w:szCs w:val="21"/>
    </w:rPr>
  </w:style>
  <w:style w:type="character" w:customStyle="1" w:styleId="99">
    <w:name w:val="批注文字 字符1"/>
    <w:autoRedefine/>
    <w:semiHidden/>
    <w:qFormat/>
    <w:uiPriority w:val="0"/>
    <w:rPr>
      <w:rFonts w:ascii="Times New Roman" w:hAnsi="Times New Roman" w:eastAsia="宋体"/>
      <w:sz w:val="24"/>
    </w:rPr>
  </w:style>
  <w:style w:type="character" w:customStyle="1" w:styleId="100">
    <w:name w:val="正文 首行缩进:  2 字符 Char Char"/>
    <w:link w:val="101"/>
    <w:autoRedefine/>
    <w:qFormat/>
    <w:uiPriority w:val="0"/>
    <w:rPr>
      <w:rFonts w:cs="宋体"/>
      <w:sz w:val="24"/>
    </w:rPr>
  </w:style>
  <w:style w:type="paragraph" w:customStyle="1" w:styleId="101">
    <w:name w:val="正文 首行缩进:  2 字符"/>
    <w:basedOn w:val="1"/>
    <w:link w:val="100"/>
    <w:qFormat/>
    <w:uiPriority w:val="0"/>
    <w:pPr>
      <w:adjustRightInd w:val="0"/>
      <w:snapToGrid w:val="0"/>
      <w:spacing w:line="500" w:lineRule="exact"/>
      <w:ind w:firstLine="200" w:firstLineChars="200"/>
      <w:jc w:val="left"/>
    </w:pPr>
    <w:rPr>
      <w:kern w:val="0"/>
      <w:sz w:val="24"/>
      <w:szCs w:val="20"/>
    </w:rPr>
  </w:style>
  <w:style w:type="character" w:customStyle="1" w:styleId="102">
    <w:name w:val="日期 字符"/>
    <w:autoRedefine/>
    <w:semiHidden/>
    <w:qFormat/>
    <w:uiPriority w:val="99"/>
    <w:rPr>
      <w:rFonts w:ascii="Times New Roman" w:hAnsi="Times New Roman" w:eastAsia="宋体"/>
      <w:sz w:val="24"/>
    </w:rPr>
  </w:style>
  <w:style w:type="character" w:customStyle="1" w:styleId="103">
    <w:name w:val="内部表头 字符"/>
    <w:link w:val="104"/>
    <w:autoRedefine/>
    <w:qFormat/>
    <w:uiPriority w:val="0"/>
    <w:rPr>
      <w:rFonts w:eastAsia="黑体" w:cs="黑体"/>
      <w:b/>
      <w:kern w:val="2"/>
      <w:sz w:val="21"/>
      <w:szCs w:val="21"/>
    </w:rPr>
  </w:style>
  <w:style w:type="paragraph" w:customStyle="1" w:styleId="104">
    <w:name w:val="内部表头"/>
    <w:basedOn w:val="1"/>
    <w:link w:val="103"/>
    <w:autoRedefine/>
    <w:qFormat/>
    <w:uiPriority w:val="0"/>
    <w:pPr>
      <w:adjustRightInd w:val="0"/>
      <w:snapToGrid w:val="0"/>
      <w:spacing w:line="360" w:lineRule="auto"/>
      <w:jc w:val="center"/>
    </w:pPr>
    <w:rPr>
      <w:rFonts w:eastAsia="黑体" w:cs="黑体"/>
      <w:b/>
      <w:szCs w:val="21"/>
    </w:rPr>
  </w:style>
  <w:style w:type="character" w:customStyle="1" w:styleId="105">
    <w:name w:val="页脚 字符"/>
    <w:autoRedefine/>
    <w:qFormat/>
    <w:uiPriority w:val="99"/>
  </w:style>
  <w:style w:type="character" w:customStyle="1" w:styleId="106">
    <w:name w:val="副标题 Char1"/>
    <w:autoRedefine/>
    <w:qFormat/>
    <w:uiPriority w:val="0"/>
    <w:rPr>
      <w:rFonts w:ascii="Cambria" w:hAnsi="Cambria" w:cs="Times New Roman"/>
      <w:b/>
      <w:bCs/>
      <w:kern w:val="28"/>
      <w:sz w:val="32"/>
      <w:szCs w:val="32"/>
    </w:rPr>
  </w:style>
  <w:style w:type="character" w:customStyle="1" w:styleId="107">
    <w:name w:val="列表段落 字符"/>
    <w:link w:val="108"/>
    <w:autoRedefine/>
    <w:qFormat/>
    <w:uiPriority w:val="1"/>
    <w:rPr>
      <w:kern w:val="2"/>
      <w:sz w:val="21"/>
    </w:rPr>
  </w:style>
  <w:style w:type="paragraph" w:styleId="108">
    <w:name w:val="List Paragraph"/>
    <w:basedOn w:val="1"/>
    <w:link w:val="107"/>
    <w:autoRedefine/>
    <w:qFormat/>
    <w:uiPriority w:val="1"/>
    <w:pPr>
      <w:ind w:firstLine="420" w:firstLineChars="200"/>
    </w:pPr>
    <w:rPr>
      <w:szCs w:val="20"/>
    </w:rPr>
  </w:style>
  <w:style w:type="character" w:customStyle="1" w:styleId="109">
    <w:name w:val="表头 Char"/>
    <w:link w:val="110"/>
    <w:autoRedefine/>
    <w:qFormat/>
    <w:uiPriority w:val="0"/>
    <w:rPr>
      <w:rFonts w:ascii="黑体" w:hAnsi="黑体" w:eastAsia="黑体"/>
      <w:kern w:val="2"/>
      <w:sz w:val="24"/>
      <w:szCs w:val="24"/>
    </w:rPr>
  </w:style>
  <w:style w:type="paragraph" w:customStyle="1" w:styleId="110">
    <w:name w:val="表头"/>
    <w:basedOn w:val="1"/>
    <w:link w:val="109"/>
    <w:autoRedefine/>
    <w:qFormat/>
    <w:uiPriority w:val="0"/>
    <w:pPr>
      <w:widowControl/>
      <w:adjustRightInd w:val="0"/>
      <w:snapToGrid w:val="0"/>
      <w:spacing w:line="360" w:lineRule="auto"/>
      <w:jc w:val="center"/>
    </w:pPr>
    <w:rPr>
      <w:rFonts w:ascii="黑体" w:hAnsi="黑体" w:eastAsia="黑体"/>
      <w:sz w:val="24"/>
    </w:rPr>
  </w:style>
  <w:style w:type="character" w:customStyle="1" w:styleId="111">
    <w:name w:val="纯文本 Char1"/>
    <w:link w:val="112"/>
    <w:autoRedefine/>
    <w:qFormat/>
    <w:uiPriority w:val="0"/>
    <w:rPr>
      <w:rFonts w:ascii="宋体" w:hAnsi="Courier New" w:cs="Courier New"/>
      <w:kern w:val="2"/>
      <w:sz w:val="21"/>
      <w:szCs w:val="21"/>
    </w:rPr>
  </w:style>
  <w:style w:type="paragraph" w:customStyle="1" w:styleId="112">
    <w:name w:val="纯文本1"/>
    <w:basedOn w:val="1"/>
    <w:link w:val="111"/>
    <w:autoRedefine/>
    <w:qFormat/>
    <w:uiPriority w:val="0"/>
    <w:pPr>
      <w:spacing w:line="360" w:lineRule="auto"/>
    </w:pPr>
    <w:rPr>
      <w:rFonts w:ascii="宋体" w:hAnsi="Courier New" w:cs="Courier New"/>
      <w:szCs w:val="21"/>
    </w:rPr>
  </w:style>
  <w:style w:type="character" w:customStyle="1" w:styleId="113">
    <w:name w:val="正文修改 Char"/>
    <w:link w:val="114"/>
    <w:autoRedefine/>
    <w:qFormat/>
    <w:uiPriority w:val="0"/>
    <w:rPr>
      <w:rFonts w:cs="宋体"/>
      <w:sz w:val="24"/>
    </w:rPr>
  </w:style>
  <w:style w:type="paragraph" w:customStyle="1" w:styleId="114">
    <w:name w:val="正文修改"/>
    <w:basedOn w:val="1"/>
    <w:link w:val="113"/>
    <w:autoRedefine/>
    <w:qFormat/>
    <w:uiPriority w:val="0"/>
    <w:pPr>
      <w:spacing w:line="360" w:lineRule="auto"/>
      <w:ind w:firstLine="480" w:firstLineChars="200"/>
    </w:pPr>
    <w:rPr>
      <w:kern w:val="0"/>
      <w:sz w:val="24"/>
      <w:szCs w:val="20"/>
    </w:rPr>
  </w:style>
  <w:style w:type="character" w:customStyle="1" w:styleId="115">
    <w:name w:val="无间隔 字符"/>
    <w:link w:val="116"/>
    <w:autoRedefine/>
    <w:qFormat/>
    <w:uiPriority w:val="1"/>
    <w:rPr>
      <w:rFonts w:ascii="Calibri" w:hAnsi="Calibri"/>
      <w:sz w:val="22"/>
      <w:szCs w:val="22"/>
      <w:lang w:val="en-US" w:eastAsia="zh-CN" w:bidi="ar-SA"/>
    </w:rPr>
  </w:style>
  <w:style w:type="paragraph" w:styleId="116">
    <w:name w:val="No Spacing"/>
    <w:link w:val="115"/>
    <w:autoRedefine/>
    <w:qFormat/>
    <w:uiPriority w:val="1"/>
    <w:rPr>
      <w:rFonts w:ascii="Calibri" w:hAnsi="Calibri" w:eastAsia="宋体" w:cs="Times New Roman"/>
      <w:sz w:val="22"/>
      <w:szCs w:val="22"/>
      <w:lang w:val="en-US" w:eastAsia="zh-CN" w:bidi="ar-SA"/>
    </w:rPr>
  </w:style>
  <w:style w:type="paragraph" w:customStyle="1" w:styleId="117">
    <w:name w:val="三级"/>
    <w:basedOn w:val="1"/>
    <w:autoRedefine/>
    <w:qFormat/>
    <w:uiPriority w:val="0"/>
    <w:pPr>
      <w:adjustRightInd w:val="0"/>
      <w:snapToGrid w:val="0"/>
      <w:jc w:val="left"/>
      <w:outlineLvl w:val="2"/>
    </w:pPr>
    <w:rPr>
      <w:b/>
      <w:kern w:val="0"/>
    </w:rPr>
  </w:style>
  <w:style w:type="paragraph" w:customStyle="1" w:styleId="118">
    <w:name w:val="li_正文"/>
    <w:basedOn w:val="1"/>
    <w:autoRedefine/>
    <w:qFormat/>
    <w:uiPriority w:val="0"/>
    <w:pPr>
      <w:widowControl/>
      <w:adjustRightInd w:val="0"/>
      <w:snapToGrid w:val="0"/>
      <w:spacing w:after="200"/>
      <w:ind w:firstLine="200" w:firstLineChars="200"/>
      <w:jc w:val="left"/>
    </w:pPr>
    <w:rPr>
      <w:rFonts w:ascii="Calibri" w:hAnsi="Calibri"/>
      <w:kern w:val="0"/>
      <w:sz w:val="28"/>
      <w:szCs w:val="28"/>
    </w:rPr>
  </w:style>
  <w:style w:type="paragraph" w:customStyle="1" w:styleId="119">
    <w:name w:val="Table Paragraph"/>
    <w:basedOn w:val="1"/>
    <w:autoRedefine/>
    <w:qFormat/>
    <w:uiPriority w:val="0"/>
    <w:pPr>
      <w:widowControl/>
      <w:jc w:val="left"/>
    </w:pPr>
    <w:rPr>
      <w:rFonts w:ascii="Calibri" w:hAnsi="Calibri"/>
      <w:kern w:val="0"/>
      <w:sz w:val="22"/>
      <w:szCs w:val="22"/>
    </w:rPr>
  </w:style>
  <w:style w:type="paragraph" w:customStyle="1" w:styleId="120">
    <w:name w:val="Normal_8"/>
    <w:autoRedefine/>
    <w:qFormat/>
    <w:uiPriority w:val="0"/>
    <w:pPr>
      <w:spacing w:before="120" w:after="240"/>
      <w:jc w:val="both"/>
    </w:pPr>
    <w:rPr>
      <w:rFonts w:ascii="Times New Roman" w:hAnsi="Times New Roman" w:eastAsia="Times New Roman" w:cs="Times New Roman"/>
      <w:sz w:val="22"/>
      <w:szCs w:val="22"/>
      <w:lang w:val="ru-RU" w:eastAsia="en-US" w:bidi="ar-SA"/>
    </w:rPr>
  </w:style>
  <w:style w:type="paragraph" w:customStyle="1" w:styleId="121">
    <w:name w:val="正文缩进1"/>
    <w:autoRedefine/>
    <w:qFormat/>
    <w:uiPriority w:val="0"/>
    <w:pPr>
      <w:snapToGrid w:val="0"/>
      <w:spacing w:line="440" w:lineRule="exact"/>
      <w:ind w:firstLine="480"/>
      <w:jc w:val="both"/>
    </w:pPr>
    <w:rPr>
      <w:rFonts w:ascii="宋体" w:hAnsi="Times New Roman" w:eastAsia="宋体" w:cs="Times New Roman"/>
      <w:spacing w:val="6"/>
      <w:kern w:val="24"/>
      <w:sz w:val="24"/>
      <w:szCs w:val="22"/>
      <w:lang w:val="en-US" w:eastAsia="zh-CN" w:bidi="ar-SA"/>
    </w:rPr>
  </w:style>
  <w:style w:type="paragraph" w:customStyle="1" w:styleId="122">
    <w:name w:val="Default"/>
    <w:basedOn w:val="112"/>
    <w:next w:val="123"/>
    <w:link w:val="127"/>
    <w:autoRedefine/>
    <w:qFormat/>
    <w:uiPriority w:val="99"/>
    <w:pPr>
      <w:autoSpaceDE w:val="0"/>
      <w:autoSpaceDN w:val="0"/>
      <w:adjustRightInd w:val="0"/>
    </w:pPr>
    <w:rPr>
      <w:rFonts w:ascii="Arial" w:hAnsi="Arial" w:cs="Times New Roman"/>
      <w:color w:val="000000"/>
      <w:sz w:val="24"/>
      <w:szCs w:val="24"/>
    </w:rPr>
  </w:style>
  <w:style w:type="paragraph" w:customStyle="1" w:styleId="123">
    <w:name w:val="样式35"/>
    <w:basedOn w:val="1"/>
    <w:next w:val="1"/>
    <w:autoRedefine/>
    <w:qFormat/>
    <w:uiPriority w:val="0"/>
    <w:pPr>
      <w:spacing w:line="312" w:lineRule="auto"/>
      <w:ind w:firstLine="567"/>
    </w:pPr>
    <w:rPr>
      <w:rFonts w:ascii="宋体"/>
      <w:sz w:val="28"/>
    </w:rPr>
  </w:style>
  <w:style w:type="paragraph" w:styleId="124">
    <w:name w:val="Intense Quote"/>
    <w:next w:val="1"/>
    <w:autoRedefine/>
    <w:qFormat/>
    <w:uiPriority w:val="0"/>
    <w:pPr>
      <w:wordWrap w:val="0"/>
      <w:spacing w:before="360" w:after="360"/>
      <w:ind w:left="950" w:right="950"/>
      <w:jc w:val="center"/>
    </w:pPr>
    <w:rPr>
      <w:rFonts w:ascii="Times New Roman" w:hAnsi="Times New Roman" w:eastAsia="Times New Roman" w:cs="Times New Roman"/>
      <w:i/>
      <w:sz w:val="21"/>
      <w:lang w:val="en-US" w:eastAsia="zh-CN" w:bidi="ar-SA"/>
    </w:rPr>
  </w:style>
  <w:style w:type="paragraph" w:customStyle="1" w:styleId="125">
    <w:name w:val="标题 段落4级"/>
    <w:basedOn w:val="126"/>
    <w:autoRedefine/>
    <w:qFormat/>
    <w:uiPriority w:val="0"/>
    <w:pPr>
      <w:outlineLvl w:val="3"/>
    </w:pPr>
    <w:rPr>
      <w:rFonts w:cs="Calibri"/>
      <w:b/>
      <w:kern w:val="2"/>
    </w:rPr>
  </w:style>
  <w:style w:type="paragraph" w:customStyle="1" w:styleId="126">
    <w:name w:val="正文 文本"/>
    <w:autoRedefine/>
    <w:qFormat/>
    <w:uiPriority w:val="0"/>
    <w:pPr>
      <w:widowControl w:val="0"/>
      <w:spacing w:line="500" w:lineRule="exact"/>
      <w:ind w:firstLine="200" w:firstLineChars="200"/>
      <w:jc w:val="both"/>
    </w:pPr>
    <w:rPr>
      <w:rFonts w:ascii="Times New Roman" w:hAnsi="Times New Roman" w:eastAsia="仿宋_GB2312" w:cs="Times New Roman"/>
      <w:sz w:val="28"/>
      <w:szCs w:val="24"/>
      <w:lang w:val="en-US" w:eastAsia="zh-CN" w:bidi="ar-SA"/>
    </w:rPr>
  </w:style>
  <w:style w:type="character" w:customStyle="1" w:styleId="127">
    <w:name w:val="Default Char"/>
    <w:link w:val="122"/>
    <w:autoRedefine/>
    <w:qFormat/>
    <w:uiPriority w:val="0"/>
    <w:rPr>
      <w:rFonts w:ascii="Arial" w:hAnsi="Arial"/>
      <w:color w:val="000000"/>
      <w:kern w:val="2"/>
      <w:sz w:val="24"/>
      <w:szCs w:val="24"/>
      <w:lang w:bidi="ar-SA"/>
    </w:rPr>
  </w:style>
  <w:style w:type="paragraph" w:customStyle="1" w:styleId="128">
    <w:name w:val="Header Base"/>
    <w:basedOn w:val="16"/>
    <w:autoRedefine/>
    <w:qFormat/>
    <w:uiPriority w:val="0"/>
    <w:pPr>
      <w:keepLines/>
      <w:tabs>
        <w:tab w:val="center" w:pos="4320"/>
        <w:tab w:val="right" w:pos="8640"/>
      </w:tabs>
      <w:snapToGrid/>
      <w:spacing w:before="0" w:after="0" w:line="180" w:lineRule="atLeast"/>
      <w:ind w:right="0"/>
    </w:pPr>
    <w:rPr>
      <w:rFonts w:ascii="Arial" w:hAnsi="Arial"/>
      <w:spacing w:val="-5"/>
      <w:sz w:val="28"/>
    </w:rPr>
  </w:style>
  <w:style w:type="paragraph" w:customStyle="1" w:styleId="129">
    <w:name w:val="000表内"/>
    <w:basedOn w:val="1"/>
    <w:link w:val="130"/>
    <w:autoRedefine/>
    <w:qFormat/>
    <w:uiPriority w:val="0"/>
    <w:pPr>
      <w:spacing w:before="100" w:beforeAutospacing="1" w:line="280" w:lineRule="exact"/>
      <w:jc w:val="center"/>
    </w:pPr>
    <w:rPr>
      <w:sz w:val="18"/>
      <w:szCs w:val="18"/>
    </w:rPr>
  </w:style>
  <w:style w:type="character" w:customStyle="1" w:styleId="130">
    <w:name w:val="000表内 Char"/>
    <w:link w:val="129"/>
    <w:qFormat/>
    <w:uiPriority w:val="0"/>
    <w:rPr>
      <w:kern w:val="2"/>
      <w:sz w:val="18"/>
      <w:szCs w:val="18"/>
    </w:rPr>
  </w:style>
  <w:style w:type="paragraph" w:customStyle="1" w:styleId="13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3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33">
    <w:name w:val="正文内容"/>
    <w:basedOn w:val="1"/>
    <w:autoRedefine/>
    <w:qFormat/>
    <w:uiPriority w:val="0"/>
    <w:pPr>
      <w:spacing w:line="500" w:lineRule="exact"/>
      <w:ind w:firstLine="200" w:firstLineChars="200"/>
    </w:pPr>
    <w:rPr>
      <w:kern w:val="0"/>
      <w:sz w:val="24"/>
    </w:rPr>
  </w:style>
  <w:style w:type="paragraph" w:customStyle="1" w:styleId="134">
    <w:name w:val="样式"/>
    <w:autoRedefine/>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35">
    <w:name w:val="p0"/>
    <w:basedOn w:val="1"/>
    <w:autoRedefine/>
    <w:qFormat/>
    <w:uiPriority w:val="0"/>
    <w:pPr>
      <w:widowControl/>
      <w:spacing w:before="100" w:beforeAutospacing="1" w:after="100" w:afterAutospacing="1"/>
      <w:jc w:val="left"/>
    </w:pPr>
    <w:rPr>
      <w:rFonts w:ascii="宋体" w:hAnsi="宋体" w:cs="宋体"/>
      <w:kern w:val="0"/>
      <w:sz w:val="24"/>
    </w:rPr>
  </w:style>
  <w:style w:type="character" w:customStyle="1" w:styleId="136">
    <w:name w:val="正文lcc Char"/>
    <w:link w:val="137"/>
    <w:autoRedefine/>
    <w:qFormat/>
    <w:uiPriority w:val="0"/>
    <w:rPr>
      <w:color w:val="000000"/>
      <w:kern w:val="2"/>
      <w:sz w:val="24"/>
    </w:rPr>
  </w:style>
  <w:style w:type="paragraph" w:customStyle="1" w:styleId="137">
    <w:name w:val="正文lcc"/>
    <w:basedOn w:val="1"/>
    <w:link w:val="136"/>
    <w:autoRedefine/>
    <w:qFormat/>
    <w:uiPriority w:val="0"/>
    <w:pPr>
      <w:snapToGrid w:val="0"/>
      <w:spacing w:line="360" w:lineRule="auto"/>
      <w:ind w:firstLine="480" w:firstLineChars="200"/>
    </w:pPr>
    <w:rPr>
      <w:color w:val="000000"/>
      <w:sz w:val="24"/>
      <w:szCs w:val="20"/>
    </w:rPr>
  </w:style>
  <w:style w:type="character" w:customStyle="1" w:styleId="138">
    <w:name w:val="表内lcc Char"/>
    <w:link w:val="139"/>
    <w:autoRedefine/>
    <w:qFormat/>
    <w:uiPriority w:val="0"/>
    <w:rPr>
      <w:iCs/>
      <w:color w:val="000000"/>
      <w:kern w:val="2"/>
      <w:sz w:val="21"/>
      <w:szCs w:val="21"/>
    </w:rPr>
  </w:style>
  <w:style w:type="paragraph" w:customStyle="1" w:styleId="139">
    <w:name w:val="表内lcc"/>
    <w:basedOn w:val="1"/>
    <w:link w:val="138"/>
    <w:autoRedefine/>
    <w:qFormat/>
    <w:uiPriority w:val="0"/>
    <w:pPr>
      <w:jc w:val="center"/>
    </w:pPr>
    <w:rPr>
      <w:iCs/>
      <w:color w:val="000000"/>
      <w:szCs w:val="21"/>
    </w:rPr>
  </w:style>
  <w:style w:type="character" w:customStyle="1" w:styleId="140">
    <w:name w:val="表头2-lcc Char"/>
    <w:link w:val="141"/>
    <w:autoRedefine/>
    <w:qFormat/>
    <w:uiPriority w:val="0"/>
    <w:rPr>
      <w:b/>
      <w:sz w:val="21"/>
      <w:szCs w:val="21"/>
    </w:rPr>
  </w:style>
  <w:style w:type="paragraph" w:customStyle="1" w:styleId="141">
    <w:name w:val="表头2-lcc"/>
    <w:basedOn w:val="1"/>
    <w:link w:val="140"/>
    <w:autoRedefine/>
    <w:qFormat/>
    <w:uiPriority w:val="0"/>
    <w:pPr>
      <w:adjustRightInd w:val="0"/>
      <w:jc w:val="center"/>
      <w:textAlignment w:val="baseline"/>
    </w:pPr>
    <w:rPr>
      <w:b/>
      <w:kern w:val="0"/>
      <w:szCs w:val="21"/>
    </w:rPr>
  </w:style>
  <w:style w:type="paragraph" w:customStyle="1" w:styleId="142">
    <w:name w:val="表文-lcc"/>
    <w:basedOn w:val="1"/>
    <w:qFormat/>
    <w:uiPriority w:val="0"/>
    <w:pPr>
      <w:jc w:val="center"/>
    </w:pPr>
    <w:rPr>
      <w:szCs w:val="21"/>
    </w:rPr>
  </w:style>
  <w:style w:type="character" w:customStyle="1" w:styleId="143">
    <w:name w:val="正文加粗lcc Char"/>
    <w:link w:val="144"/>
    <w:autoRedefine/>
    <w:qFormat/>
    <w:uiPriority w:val="0"/>
    <w:rPr>
      <w:rFonts w:cs="TimesNewRomanPS-BoldMT"/>
      <w:b/>
      <w:color w:val="000000"/>
      <w:kern w:val="2"/>
      <w:sz w:val="24"/>
      <w:szCs w:val="22"/>
    </w:rPr>
  </w:style>
  <w:style w:type="paragraph" w:customStyle="1" w:styleId="144">
    <w:name w:val="正文加粗lcc"/>
    <w:basedOn w:val="1"/>
    <w:link w:val="143"/>
    <w:qFormat/>
    <w:uiPriority w:val="0"/>
    <w:pPr>
      <w:spacing w:line="360" w:lineRule="auto"/>
      <w:ind w:firstLine="200" w:firstLineChars="200"/>
    </w:pPr>
    <w:rPr>
      <w:b/>
      <w:color w:val="000000"/>
      <w:sz w:val="24"/>
      <w:szCs w:val="22"/>
    </w:rPr>
  </w:style>
  <w:style w:type="paragraph" w:customStyle="1" w:styleId="145">
    <w:name w:val="报告书正文段落"/>
    <w:basedOn w:val="1"/>
    <w:autoRedefine/>
    <w:qFormat/>
    <w:uiPriority w:val="0"/>
    <w:pPr>
      <w:spacing w:line="520" w:lineRule="exact"/>
      <w:ind w:firstLine="200" w:firstLineChars="200"/>
      <w:jc w:val="left"/>
    </w:pPr>
    <w:rPr>
      <w:kern w:val="0"/>
      <w:sz w:val="24"/>
      <w:szCs w:val="20"/>
      <w:lang w:val="zh-CN"/>
    </w:rPr>
  </w:style>
  <w:style w:type="character" w:customStyle="1" w:styleId="146">
    <w:name w:val="font41"/>
    <w:basedOn w:val="50"/>
    <w:qFormat/>
    <w:uiPriority w:val="0"/>
    <w:rPr>
      <w:rFonts w:hint="default" w:ascii="Times New Roman" w:hAnsi="Times New Roman" w:eastAsia="黑体" w:cs="Times New Roman"/>
      <w:b/>
      <w:bCs/>
      <w:snapToGrid w:val="0"/>
      <w:color w:val="000000"/>
      <w:sz w:val="21"/>
      <w:szCs w:val="21"/>
      <w:u w:val="none"/>
    </w:rPr>
  </w:style>
  <w:style w:type="character" w:customStyle="1" w:styleId="147">
    <w:name w:val="表内容 Char"/>
    <w:autoRedefine/>
    <w:qFormat/>
    <w:uiPriority w:val="0"/>
    <w:rPr>
      <w:color w:val="000000"/>
      <w:kern w:val="2"/>
      <w:sz w:val="21"/>
      <w:szCs w:val="22"/>
    </w:rPr>
  </w:style>
  <w:style w:type="character" w:customStyle="1" w:styleId="148">
    <w:name w:val="标题3李程程、 Char"/>
    <w:link w:val="149"/>
    <w:autoRedefine/>
    <w:qFormat/>
    <w:uiPriority w:val="0"/>
    <w:rPr>
      <w:rFonts w:ascii="宋体"/>
      <w:b/>
      <w:color w:val="000000"/>
      <w:kern w:val="2"/>
      <w:sz w:val="24"/>
      <w:szCs w:val="24"/>
    </w:rPr>
  </w:style>
  <w:style w:type="paragraph" w:customStyle="1" w:styleId="149">
    <w:name w:val="标题3李程程、"/>
    <w:basedOn w:val="122"/>
    <w:link w:val="148"/>
    <w:autoRedefine/>
    <w:qFormat/>
    <w:uiPriority w:val="0"/>
    <w:pPr>
      <w:textAlignment w:val="baseline"/>
    </w:pPr>
    <w:rPr>
      <w:rFonts w:ascii="宋体" w:hAnsi="Times New Roman"/>
    </w:rPr>
  </w:style>
  <w:style w:type="character" w:customStyle="1" w:styleId="150">
    <w:name w:val="聪标题4 Char"/>
    <w:link w:val="151"/>
    <w:autoRedefine/>
    <w:qFormat/>
    <w:uiPriority w:val="0"/>
    <w:rPr>
      <w:rFonts w:ascii="黑体" w:hAnsi="宋体" w:eastAsia="黑体"/>
      <w:kern w:val="2"/>
      <w:sz w:val="24"/>
      <w:szCs w:val="24"/>
    </w:rPr>
  </w:style>
  <w:style w:type="paragraph" w:customStyle="1" w:styleId="151">
    <w:name w:val="聪标题4"/>
    <w:basedOn w:val="1"/>
    <w:link w:val="150"/>
    <w:autoRedefine/>
    <w:qFormat/>
    <w:uiPriority w:val="0"/>
    <w:pPr>
      <w:widowControl/>
      <w:tabs>
        <w:tab w:val="left" w:pos="1134"/>
        <w:tab w:val="left" w:pos="1710"/>
        <w:tab w:val="left" w:pos="2268"/>
        <w:tab w:val="left" w:pos="2835"/>
        <w:tab w:val="left" w:pos="3402"/>
        <w:tab w:val="left" w:pos="3969"/>
        <w:tab w:val="left" w:pos="4536"/>
        <w:tab w:val="left" w:pos="5130"/>
        <w:tab w:val="left" w:pos="5700"/>
        <w:tab w:val="left" w:pos="6270"/>
        <w:tab w:val="left" w:pos="6840"/>
        <w:tab w:val="left" w:pos="7410"/>
        <w:tab w:val="left" w:pos="7980"/>
        <w:tab w:val="left" w:pos="8550"/>
        <w:tab w:val="left" w:pos="9072"/>
        <w:tab w:val="left" w:pos="9639"/>
        <w:tab w:val="left" w:pos="10206"/>
        <w:tab w:val="left" w:pos="10773"/>
        <w:tab w:val="left" w:pos="11340"/>
      </w:tabs>
      <w:autoSpaceDE w:val="0"/>
      <w:autoSpaceDN w:val="0"/>
      <w:spacing w:line="360" w:lineRule="auto"/>
      <w:outlineLvl w:val="3"/>
    </w:pPr>
    <w:rPr>
      <w:rFonts w:ascii="黑体" w:hAnsi="宋体" w:eastAsia="黑体"/>
      <w:sz w:val="24"/>
    </w:rPr>
  </w:style>
  <w:style w:type="character" w:customStyle="1" w:styleId="152">
    <w:name w:val="聪正文 Char"/>
    <w:link w:val="153"/>
    <w:autoRedefine/>
    <w:qFormat/>
    <w:uiPriority w:val="0"/>
    <w:rPr>
      <w:rFonts w:ascii="宋体" w:hAnsi="宋体"/>
      <w:kern w:val="2"/>
      <w:sz w:val="24"/>
      <w:szCs w:val="24"/>
    </w:rPr>
  </w:style>
  <w:style w:type="paragraph" w:customStyle="1" w:styleId="153">
    <w:name w:val="聪正文"/>
    <w:basedOn w:val="1"/>
    <w:link w:val="152"/>
    <w:autoRedefine/>
    <w:qFormat/>
    <w:uiPriority w:val="0"/>
    <w:pPr>
      <w:widowControl/>
      <w:spacing w:line="360" w:lineRule="auto"/>
      <w:ind w:firstLine="200" w:firstLineChars="200"/>
    </w:pPr>
    <w:rPr>
      <w:rFonts w:ascii="宋体" w:hAnsi="宋体"/>
      <w:sz w:val="24"/>
    </w:rPr>
  </w:style>
  <w:style w:type="character" w:customStyle="1" w:styleId="154">
    <w:name w:val="聪表标题 Char"/>
    <w:link w:val="155"/>
    <w:qFormat/>
    <w:uiPriority w:val="0"/>
    <w:rPr>
      <w:rFonts w:ascii="黑体" w:hAnsi="黑体" w:eastAsia="黑体"/>
      <w:kern w:val="2"/>
      <w:sz w:val="24"/>
      <w:szCs w:val="24"/>
    </w:rPr>
  </w:style>
  <w:style w:type="paragraph" w:customStyle="1" w:styleId="155">
    <w:name w:val="聪表标题"/>
    <w:basedOn w:val="1"/>
    <w:link w:val="154"/>
    <w:qFormat/>
    <w:uiPriority w:val="0"/>
    <w:pPr>
      <w:widowControl/>
      <w:spacing w:line="360" w:lineRule="auto"/>
      <w:jc w:val="center"/>
    </w:pPr>
    <w:rPr>
      <w:rFonts w:ascii="黑体" w:hAnsi="黑体" w:eastAsia="黑体"/>
      <w:sz w:val="24"/>
    </w:rPr>
  </w:style>
  <w:style w:type="character" w:customStyle="1" w:styleId="156">
    <w:name w:val="聪表格内 Char"/>
    <w:link w:val="157"/>
    <w:qFormat/>
    <w:uiPriority w:val="0"/>
    <w:rPr>
      <w:rFonts w:ascii="宋体"/>
      <w:kern w:val="2"/>
      <w:sz w:val="21"/>
      <w:szCs w:val="24"/>
      <w:lang w:val="zh-CN"/>
    </w:rPr>
  </w:style>
  <w:style w:type="paragraph" w:customStyle="1" w:styleId="157">
    <w:name w:val="聪表格内"/>
    <w:basedOn w:val="1"/>
    <w:link w:val="156"/>
    <w:qFormat/>
    <w:uiPriority w:val="0"/>
    <w:pPr>
      <w:widowControl/>
      <w:spacing w:line="360" w:lineRule="exact"/>
      <w:jc w:val="center"/>
    </w:pPr>
    <w:rPr>
      <w:rFonts w:ascii="宋体"/>
      <w:lang w:val="zh-CN"/>
    </w:rPr>
  </w:style>
  <w:style w:type="character" w:customStyle="1" w:styleId="158">
    <w:name w:val="批注文字 字符"/>
    <w:autoRedefine/>
    <w:qFormat/>
    <w:uiPriority w:val="0"/>
    <w:rPr>
      <w:kern w:val="2"/>
      <w:sz w:val="21"/>
      <w:szCs w:val="24"/>
    </w:rPr>
  </w:style>
  <w:style w:type="character" w:customStyle="1" w:styleId="159">
    <w:name w:val="聪标题3 Char"/>
    <w:link w:val="160"/>
    <w:qFormat/>
    <w:uiPriority w:val="0"/>
    <w:rPr>
      <w:rFonts w:ascii="黑体" w:hAnsi="黑体" w:eastAsia="黑体"/>
      <w:kern w:val="2"/>
      <w:sz w:val="28"/>
      <w:szCs w:val="24"/>
    </w:rPr>
  </w:style>
  <w:style w:type="paragraph" w:customStyle="1" w:styleId="160">
    <w:name w:val="聪标题3"/>
    <w:basedOn w:val="1"/>
    <w:link w:val="159"/>
    <w:qFormat/>
    <w:uiPriority w:val="0"/>
    <w:pPr>
      <w:spacing w:line="360" w:lineRule="auto"/>
    </w:pPr>
    <w:rPr>
      <w:rFonts w:ascii="黑体" w:hAnsi="黑体" w:eastAsia="黑体"/>
      <w:sz w:val="28"/>
    </w:rPr>
  </w:style>
  <w:style w:type="character" w:customStyle="1" w:styleId="161">
    <w:name w:val="副标题 字符1"/>
    <w:qFormat/>
    <w:uiPriority w:val="99"/>
    <w:rPr>
      <w:rFonts w:ascii="黑体" w:hAnsi="Cambria" w:eastAsia="黑体" w:cs="宋体"/>
      <w:kern w:val="28"/>
      <w:sz w:val="28"/>
      <w:szCs w:val="28"/>
    </w:rPr>
  </w:style>
  <w:style w:type="character" w:customStyle="1" w:styleId="162">
    <w:name w:val="正文缩进 字符"/>
    <w:autoRedefine/>
    <w:qFormat/>
    <w:locked/>
    <w:uiPriority w:val="0"/>
  </w:style>
  <w:style w:type="character" w:customStyle="1" w:styleId="163">
    <w:name w:val="纯文本 字符"/>
    <w:autoRedefine/>
    <w:qFormat/>
    <w:locked/>
    <w:uiPriority w:val="0"/>
    <w:rPr>
      <w:rFonts w:ascii="宋体" w:hAnsi="Courier New" w:cs="Times New Roman"/>
    </w:rPr>
  </w:style>
  <w:style w:type="character" w:customStyle="1" w:styleId="164">
    <w:name w:val="批注框文本 字符"/>
    <w:qFormat/>
    <w:uiPriority w:val="0"/>
    <w:rPr>
      <w:rFonts w:ascii="Times New Roman" w:hAnsi="Times New Roman" w:eastAsia="宋体" w:cs="Times New Roman"/>
      <w:sz w:val="18"/>
      <w:szCs w:val="18"/>
    </w:rPr>
  </w:style>
  <w:style w:type="character" w:customStyle="1" w:styleId="165">
    <w:name w:val="报告书正文 Char"/>
    <w:link w:val="166"/>
    <w:qFormat/>
    <w:uiPriority w:val="0"/>
    <w:rPr>
      <w:rFonts w:ascii="宋体" w:hAnsi="宋体"/>
      <w:kern w:val="2"/>
      <w:sz w:val="24"/>
      <w:szCs w:val="24"/>
    </w:rPr>
  </w:style>
  <w:style w:type="paragraph" w:customStyle="1" w:styleId="166">
    <w:name w:val="报告书正文"/>
    <w:basedOn w:val="1"/>
    <w:link w:val="165"/>
    <w:qFormat/>
    <w:uiPriority w:val="0"/>
    <w:pPr>
      <w:widowControl/>
      <w:adjustRightInd w:val="0"/>
      <w:snapToGrid w:val="0"/>
      <w:spacing w:line="360" w:lineRule="auto"/>
      <w:ind w:firstLine="480" w:firstLineChars="200"/>
      <w:jc w:val="left"/>
    </w:pPr>
    <w:rPr>
      <w:rFonts w:ascii="宋体" w:hAnsi="宋体"/>
      <w:sz w:val="24"/>
    </w:rPr>
  </w:style>
  <w:style w:type="paragraph" w:customStyle="1" w:styleId="167">
    <w:name w:val=".66l.66l"/>
    <w:basedOn w:val="1"/>
    <w:autoRedefine/>
    <w:qFormat/>
    <w:uiPriority w:val="0"/>
    <w:pPr>
      <w:adjustRightInd w:val="0"/>
      <w:spacing w:line="312" w:lineRule="atLeast"/>
      <w:ind w:firstLine="570"/>
      <w:textAlignment w:val="baseline"/>
    </w:pPr>
    <w:rPr>
      <w:rFonts w:ascii="宋体"/>
      <w:kern w:val="0"/>
      <w:sz w:val="28"/>
      <w:szCs w:val="20"/>
    </w:rPr>
  </w:style>
  <w:style w:type="character" w:customStyle="1" w:styleId="168">
    <w:name w:val="副标题 字符"/>
    <w:qFormat/>
    <w:uiPriority w:val="0"/>
    <w:rPr>
      <w:rFonts w:ascii="黑体" w:hAnsi="Cambria" w:eastAsia="黑体" w:cs="宋体"/>
      <w:kern w:val="28"/>
      <w:sz w:val="28"/>
      <w:szCs w:val="28"/>
    </w:rPr>
  </w:style>
  <w:style w:type="character" w:customStyle="1" w:styleId="169">
    <w:name w:val="正文首行缩进 2 字符"/>
    <w:autoRedefine/>
    <w:qFormat/>
    <w:uiPriority w:val="0"/>
    <w:rPr>
      <w:rFonts w:ascii="Times New Roman" w:hAnsi="Times New Roman" w:eastAsia="宋体"/>
      <w:kern w:val="2"/>
      <w:sz w:val="21"/>
      <w:szCs w:val="24"/>
    </w:rPr>
  </w:style>
  <w:style w:type="paragraph" w:customStyle="1" w:styleId="170">
    <w:name w:val="报告表格"/>
    <w:basedOn w:val="1"/>
    <w:qFormat/>
    <w:uiPriority w:val="0"/>
    <w:pPr>
      <w:autoSpaceDE w:val="0"/>
      <w:autoSpaceDN w:val="0"/>
      <w:adjustRightInd w:val="0"/>
      <w:jc w:val="center"/>
      <w:textAlignment w:val="bottom"/>
    </w:pPr>
    <w:rPr>
      <w:kern w:val="0"/>
      <w:szCs w:val="21"/>
    </w:rPr>
  </w:style>
  <w:style w:type="paragraph" w:customStyle="1" w:styleId="171">
    <w:name w:val="！正文"/>
    <w:basedOn w:val="1"/>
    <w:autoRedefine/>
    <w:qFormat/>
    <w:uiPriority w:val="0"/>
    <w:pPr>
      <w:widowControl/>
      <w:spacing w:line="360" w:lineRule="auto"/>
      <w:ind w:firstLine="200" w:firstLineChars="200"/>
      <w:jc w:val="left"/>
    </w:pPr>
    <w:rPr>
      <w:kern w:val="0"/>
      <w:sz w:val="24"/>
      <w:szCs w:val="20"/>
    </w:rPr>
  </w:style>
  <w:style w:type="paragraph" w:customStyle="1" w:styleId="172">
    <w:name w:val="0正文1"/>
    <w:basedOn w:val="1"/>
    <w:autoRedefine/>
    <w:qFormat/>
    <w:uiPriority w:val="0"/>
    <w:pPr>
      <w:widowControl/>
      <w:spacing w:line="360" w:lineRule="auto"/>
      <w:ind w:firstLine="200" w:firstLineChars="200"/>
      <w:jc w:val="left"/>
    </w:pPr>
    <w:rPr>
      <w:rFonts w:cs="宋体"/>
      <w:kern w:val="0"/>
      <w:sz w:val="24"/>
    </w:rPr>
  </w:style>
  <w:style w:type="table" w:customStyle="1" w:styleId="173">
    <w:name w:val="0表格"/>
    <w:basedOn w:val="47"/>
    <w:qFormat/>
    <w:uiPriority w:val="99"/>
    <w:pPr>
      <w:spacing w:line="245" w:lineRule="auto"/>
      <w:jc w:val="center"/>
    </w:pPr>
    <w:tblPr>
      <w:jc w:val="center"/>
      <w:tblBorders>
        <w:top w:val="single" w:color="auto" w:sz="4" w:space="0"/>
        <w:bottom w:val="single" w:color="auto" w:sz="4" w:space="0"/>
        <w:insideH w:val="single" w:color="auto" w:sz="4" w:space="0"/>
        <w:insideV w:val="single" w:color="auto" w:sz="4" w:space="0"/>
      </w:tblBorders>
      <w:tblCellMar>
        <w:left w:w="0" w:type="dxa"/>
        <w:right w:w="0" w:type="dxa"/>
      </w:tblCellMar>
    </w:tblPr>
    <w:trPr>
      <w:jc w:val="center"/>
    </w:trPr>
    <w:tcPr>
      <w:vAlign w:val="center"/>
    </w:tcPr>
    <w:tblStylePr w:type="firstRow">
      <w:tcPr>
        <w:shd w:val="clear" w:color="auto" w:fill="D9D9D9"/>
      </w:tcPr>
    </w:tblStylePr>
  </w:style>
  <w:style w:type="paragraph" w:customStyle="1" w:styleId="174">
    <w:name w:val="0表格内容"/>
    <w:next w:val="1"/>
    <w:link w:val="175"/>
    <w:autoRedefine/>
    <w:qFormat/>
    <w:uiPriority w:val="0"/>
    <w:pPr>
      <w:spacing w:line="245" w:lineRule="auto"/>
      <w:jc w:val="center"/>
    </w:pPr>
    <w:rPr>
      <w:rFonts w:ascii="Times New Roman" w:hAnsi="Times New Roman" w:eastAsia="宋体" w:cs="宋体"/>
      <w:sz w:val="21"/>
      <w:szCs w:val="24"/>
      <w:lang w:val="en-US" w:eastAsia="zh-CN" w:bidi="ar-SA"/>
    </w:rPr>
  </w:style>
  <w:style w:type="character" w:customStyle="1" w:styleId="175">
    <w:name w:val="0表格内容 字符"/>
    <w:link w:val="174"/>
    <w:autoRedefine/>
    <w:qFormat/>
    <w:uiPriority w:val="0"/>
    <w:rPr>
      <w:rFonts w:cs="宋体"/>
      <w:sz w:val="21"/>
      <w:szCs w:val="24"/>
    </w:rPr>
  </w:style>
  <w:style w:type="paragraph" w:customStyle="1" w:styleId="176">
    <w:name w:val="A正文"/>
    <w:basedOn w:val="1"/>
    <w:autoRedefine/>
    <w:qFormat/>
    <w:uiPriority w:val="0"/>
    <w:pPr>
      <w:spacing w:line="360" w:lineRule="auto"/>
      <w:ind w:firstLine="200" w:firstLineChars="200"/>
    </w:pPr>
    <w:rPr>
      <w:sz w:val="24"/>
      <w:szCs w:val="22"/>
    </w:rPr>
  </w:style>
  <w:style w:type="paragraph" w:customStyle="1" w:styleId="177">
    <w:name w:val="A表头"/>
    <w:basedOn w:val="176"/>
    <w:autoRedefine/>
    <w:qFormat/>
    <w:uiPriority w:val="0"/>
    <w:pPr>
      <w:widowControl/>
      <w:ind w:firstLine="0" w:firstLineChars="0"/>
      <w:jc w:val="center"/>
    </w:pPr>
    <w:rPr>
      <w:kern w:val="0"/>
      <w:szCs w:val="24"/>
    </w:rPr>
  </w:style>
  <w:style w:type="character" w:customStyle="1" w:styleId="178">
    <w:name w:val="批注引用1"/>
    <w:autoRedefine/>
    <w:qFormat/>
    <w:uiPriority w:val="0"/>
    <w:rPr>
      <w:sz w:val="21"/>
      <w:szCs w:val="21"/>
    </w:rPr>
  </w:style>
  <w:style w:type="character" w:customStyle="1" w:styleId="179">
    <w:name w:val="文档结构图 Char"/>
    <w:link w:val="180"/>
    <w:autoRedefine/>
    <w:qFormat/>
    <w:uiPriority w:val="0"/>
    <w:rPr>
      <w:rFonts w:ascii="宋体" w:hAnsi="Tahoma"/>
      <w:sz w:val="18"/>
      <w:szCs w:val="18"/>
    </w:rPr>
  </w:style>
  <w:style w:type="paragraph" w:customStyle="1" w:styleId="180">
    <w:name w:val="文档结构图1"/>
    <w:basedOn w:val="1"/>
    <w:link w:val="179"/>
    <w:autoRedefine/>
    <w:qFormat/>
    <w:uiPriority w:val="0"/>
    <w:pPr>
      <w:widowControl/>
      <w:adjustRightInd w:val="0"/>
      <w:snapToGrid w:val="0"/>
      <w:spacing w:line="360" w:lineRule="auto"/>
      <w:jc w:val="left"/>
    </w:pPr>
    <w:rPr>
      <w:rFonts w:ascii="宋体" w:hAnsi="Tahoma"/>
      <w:kern w:val="0"/>
      <w:sz w:val="18"/>
      <w:szCs w:val="18"/>
    </w:rPr>
  </w:style>
  <w:style w:type="character" w:customStyle="1" w:styleId="181">
    <w:name w:val="正文文本缩进 2 Char"/>
    <w:link w:val="182"/>
    <w:autoRedefine/>
    <w:qFormat/>
    <w:uiPriority w:val="0"/>
    <w:rPr>
      <w:rFonts w:eastAsia="仿宋_GB2312"/>
      <w:sz w:val="28"/>
    </w:rPr>
  </w:style>
  <w:style w:type="paragraph" w:customStyle="1" w:styleId="182">
    <w:name w:val="正文文本缩进 21"/>
    <w:basedOn w:val="1"/>
    <w:link w:val="181"/>
    <w:autoRedefine/>
    <w:qFormat/>
    <w:uiPriority w:val="0"/>
    <w:pPr>
      <w:adjustRightInd w:val="0"/>
      <w:spacing w:line="312" w:lineRule="atLeast"/>
      <w:ind w:firstLine="570"/>
      <w:jc w:val="distribute"/>
      <w:textAlignment w:val="baseline"/>
    </w:pPr>
    <w:rPr>
      <w:rFonts w:eastAsia="仿宋_GB2312"/>
      <w:kern w:val="0"/>
      <w:sz w:val="28"/>
      <w:szCs w:val="20"/>
    </w:rPr>
  </w:style>
  <w:style w:type="character" w:customStyle="1" w:styleId="183">
    <w:name w:val="日期 Char"/>
    <w:link w:val="184"/>
    <w:autoRedefine/>
    <w:qFormat/>
    <w:uiPriority w:val="0"/>
    <w:rPr>
      <w:rFonts w:ascii="Tahoma" w:hAnsi="Tahoma"/>
    </w:rPr>
  </w:style>
  <w:style w:type="paragraph" w:customStyle="1" w:styleId="184">
    <w:name w:val="日期1"/>
    <w:basedOn w:val="1"/>
    <w:next w:val="1"/>
    <w:link w:val="183"/>
    <w:autoRedefine/>
    <w:qFormat/>
    <w:uiPriority w:val="0"/>
    <w:pPr>
      <w:widowControl/>
      <w:adjustRightInd w:val="0"/>
      <w:snapToGrid w:val="0"/>
      <w:spacing w:line="360" w:lineRule="auto"/>
      <w:ind w:left="100" w:leftChars="2500"/>
      <w:jc w:val="left"/>
    </w:pPr>
    <w:rPr>
      <w:rFonts w:ascii="Tahoma" w:hAnsi="Tahoma"/>
      <w:kern w:val="0"/>
      <w:sz w:val="20"/>
      <w:szCs w:val="20"/>
    </w:rPr>
  </w:style>
  <w:style w:type="character" w:customStyle="1" w:styleId="185">
    <w:name w:val="批注主题 Char"/>
    <w:link w:val="186"/>
    <w:autoRedefine/>
    <w:qFormat/>
    <w:uiPriority w:val="0"/>
    <w:rPr>
      <w:rFonts w:ascii="Tahoma" w:hAnsi="Tahoma"/>
      <w:b/>
      <w:bCs/>
    </w:rPr>
  </w:style>
  <w:style w:type="paragraph" w:customStyle="1" w:styleId="186">
    <w:name w:val="批注主题1"/>
    <w:basedOn w:val="15"/>
    <w:next w:val="15"/>
    <w:link w:val="185"/>
    <w:autoRedefine/>
    <w:qFormat/>
    <w:uiPriority w:val="0"/>
    <w:pPr>
      <w:widowControl/>
      <w:adjustRightInd w:val="0"/>
      <w:snapToGrid w:val="0"/>
      <w:spacing w:line="360" w:lineRule="auto"/>
    </w:pPr>
    <w:rPr>
      <w:rFonts w:ascii="Tahoma" w:hAnsi="Tahoma"/>
      <w:b/>
      <w:bCs/>
      <w:sz w:val="20"/>
    </w:rPr>
  </w:style>
  <w:style w:type="character" w:customStyle="1" w:styleId="187">
    <w:name w:val="正文文本缩进 Char"/>
    <w:link w:val="90"/>
    <w:qFormat/>
    <w:uiPriority w:val="0"/>
    <w:rPr>
      <w:rFonts w:ascii="仿宋_GB2312" w:eastAsia="仿宋_GB2312"/>
      <w:sz w:val="28"/>
    </w:rPr>
  </w:style>
  <w:style w:type="character" w:customStyle="1" w:styleId="188">
    <w:name w:val="页码1"/>
    <w:autoRedefine/>
    <w:qFormat/>
    <w:uiPriority w:val="0"/>
  </w:style>
  <w:style w:type="paragraph" w:customStyle="1" w:styleId="189">
    <w:name w:val="普通(网站)1"/>
    <w:basedOn w:val="1"/>
    <w:autoRedefine/>
    <w:qFormat/>
    <w:uiPriority w:val="0"/>
    <w:pPr>
      <w:widowControl/>
      <w:spacing w:before="100" w:beforeAutospacing="1" w:after="100" w:afterAutospacing="1" w:line="360" w:lineRule="auto"/>
      <w:jc w:val="left"/>
    </w:pPr>
    <w:rPr>
      <w:rFonts w:ascii="宋体" w:hAnsi="宋体" w:cs="宋体"/>
      <w:kern w:val="0"/>
      <w:sz w:val="24"/>
    </w:rPr>
  </w:style>
  <w:style w:type="paragraph" w:customStyle="1" w:styleId="190">
    <w:name w:val="列出段落1"/>
    <w:basedOn w:val="1"/>
    <w:autoRedefine/>
    <w:qFormat/>
    <w:uiPriority w:val="99"/>
    <w:pPr>
      <w:spacing w:line="360" w:lineRule="auto"/>
      <w:ind w:firstLine="420" w:firstLineChars="200"/>
    </w:pPr>
    <w:rPr>
      <w:rFonts w:ascii="Calibri" w:hAnsi="Calibri"/>
      <w:szCs w:val="22"/>
    </w:rPr>
  </w:style>
  <w:style w:type="paragraph" w:customStyle="1" w:styleId="191">
    <w:name w:val="普通(网站)11"/>
    <w:basedOn w:val="1"/>
    <w:autoRedefine/>
    <w:qFormat/>
    <w:uiPriority w:val="0"/>
    <w:pPr>
      <w:widowControl/>
      <w:spacing w:before="100" w:beforeAutospacing="1" w:after="100" w:afterAutospacing="1" w:line="360" w:lineRule="auto"/>
      <w:jc w:val="left"/>
    </w:pPr>
    <w:rPr>
      <w:rFonts w:hint="eastAsia" w:ascii="宋体" w:hAnsi="宋体"/>
      <w:kern w:val="0"/>
      <w:sz w:val="24"/>
      <w:szCs w:val="22"/>
    </w:rPr>
  </w:style>
  <w:style w:type="paragraph" w:customStyle="1" w:styleId="192">
    <w:name w:val="列出段落2"/>
    <w:basedOn w:val="1"/>
    <w:qFormat/>
    <w:uiPriority w:val="99"/>
    <w:pPr>
      <w:spacing w:line="360" w:lineRule="auto"/>
      <w:ind w:firstLine="420" w:firstLineChars="200"/>
    </w:pPr>
    <w:rPr>
      <w:rFonts w:ascii="Calibri" w:hAnsi="Calibri"/>
      <w:szCs w:val="20"/>
    </w:rPr>
  </w:style>
  <w:style w:type="table" w:customStyle="1" w:styleId="193">
    <w:name w:val="网格型1"/>
    <w:basedOn w:val="47"/>
    <w:autoRedefine/>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4">
    <w:name w:val="网格型2"/>
    <w:basedOn w:val="47"/>
    <w:autoRedefine/>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5">
    <w:name w:val="网格型3"/>
    <w:basedOn w:val="47"/>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96">
    <w:name w:val="font01"/>
    <w:autoRedefine/>
    <w:qFormat/>
    <w:uiPriority w:val="0"/>
    <w:rPr>
      <w:rFonts w:hint="default" w:ascii="Arial" w:hAnsi="Arial" w:cs="Arial"/>
      <w:color w:val="000000"/>
      <w:sz w:val="36"/>
      <w:szCs w:val="36"/>
      <w:u w:val="none"/>
    </w:rPr>
  </w:style>
  <w:style w:type="character" w:customStyle="1" w:styleId="197">
    <w:name w:val="font11"/>
    <w:autoRedefine/>
    <w:qFormat/>
    <w:uiPriority w:val="0"/>
    <w:rPr>
      <w:rFonts w:hint="eastAsia" w:ascii="宋体" w:hAnsi="宋体" w:eastAsia="宋体" w:cs="宋体"/>
      <w:color w:val="000000"/>
      <w:sz w:val="22"/>
      <w:szCs w:val="22"/>
      <w:u w:val="none"/>
    </w:rPr>
  </w:style>
  <w:style w:type="character" w:customStyle="1" w:styleId="198">
    <w:name w:val="纯文本 Char2"/>
    <w:autoRedefine/>
    <w:semiHidden/>
    <w:qFormat/>
    <w:uiPriority w:val="99"/>
    <w:rPr>
      <w:rFonts w:ascii="宋体" w:hAnsi="Courier New" w:cs="Courier New"/>
      <w:sz w:val="21"/>
      <w:szCs w:val="21"/>
    </w:rPr>
  </w:style>
  <w:style w:type="character" w:customStyle="1" w:styleId="199">
    <w:name w:val="表 Char"/>
    <w:link w:val="200"/>
    <w:qFormat/>
    <w:uiPriority w:val="0"/>
    <w:rPr>
      <w:spacing w:val="2"/>
      <w:kern w:val="2"/>
      <w:sz w:val="24"/>
    </w:rPr>
  </w:style>
  <w:style w:type="paragraph" w:customStyle="1" w:styleId="200">
    <w:name w:val="表"/>
    <w:basedOn w:val="1"/>
    <w:link w:val="199"/>
    <w:autoRedefine/>
    <w:qFormat/>
    <w:uiPriority w:val="0"/>
    <w:pPr>
      <w:snapToGrid w:val="0"/>
      <w:jc w:val="center"/>
    </w:pPr>
    <w:rPr>
      <w:spacing w:val="2"/>
      <w:sz w:val="24"/>
      <w:szCs w:val="20"/>
    </w:rPr>
  </w:style>
  <w:style w:type="paragraph" w:customStyle="1" w:styleId="201">
    <w:name w:val="表格文"/>
    <w:basedOn w:val="1"/>
    <w:qFormat/>
    <w:uiPriority w:val="0"/>
    <w:pPr>
      <w:widowControl/>
      <w:jc w:val="left"/>
    </w:pPr>
    <w:rPr>
      <w:rFonts w:ascii="仿宋_GB2312" w:hAnsi="Batang" w:eastAsia="仿宋_GB2312" w:cs="宋体"/>
      <w:color w:val="000000"/>
      <w:kern w:val="0"/>
      <w:szCs w:val="21"/>
    </w:rPr>
  </w:style>
  <w:style w:type="character" w:customStyle="1" w:styleId="202">
    <w:name w:val="表格填充1 Char Char"/>
    <w:link w:val="203"/>
    <w:autoRedefine/>
    <w:qFormat/>
    <w:uiPriority w:val="0"/>
    <w:rPr>
      <w:snapToGrid/>
      <w:kern w:val="2"/>
      <w:sz w:val="28"/>
    </w:rPr>
  </w:style>
  <w:style w:type="paragraph" w:customStyle="1" w:styleId="203">
    <w:name w:val="表格填充1"/>
    <w:basedOn w:val="22"/>
    <w:link w:val="202"/>
    <w:qFormat/>
    <w:uiPriority w:val="0"/>
    <w:pPr>
      <w:snapToGrid w:val="0"/>
    </w:pPr>
    <w:rPr>
      <w:rFonts w:ascii="Times New Roman" w:hAnsi="Times New Roman"/>
      <w:snapToGrid w:val="0"/>
      <w:kern w:val="2"/>
      <w:sz w:val="28"/>
    </w:rPr>
  </w:style>
  <w:style w:type="paragraph" w:customStyle="1" w:styleId="204">
    <w:name w:val="简单回函地址"/>
    <w:basedOn w:val="1"/>
    <w:autoRedefine/>
    <w:qFormat/>
    <w:uiPriority w:val="0"/>
    <w:rPr>
      <w:szCs w:val="20"/>
    </w:rPr>
  </w:style>
  <w:style w:type="character" w:customStyle="1" w:styleId="205">
    <w:name w:val="正文缩进 Char"/>
    <w:qFormat/>
    <w:uiPriority w:val="0"/>
    <w:rPr>
      <w:rFonts w:eastAsia="宋体"/>
      <w:kern w:val="2"/>
      <w:sz w:val="28"/>
      <w:lang w:val="en-US" w:eastAsia="zh-CN" w:bidi="ar-SA"/>
    </w:rPr>
  </w:style>
  <w:style w:type="character" w:customStyle="1" w:styleId="206">
    <w:name w:val="批注文字 Char"/>
    <w:autoRedefine/>
    <w:semiHidden/>
    <w:qFormat/>
    <w:locked/>
    <w:uiPriority w:val="0"/>
    <w:rPr>
      <w:rFonts w:eastAsia="宋体"/>
      <w:kern w:val="2"/>
      <w:sz w:val="21"/>
      <w:szCs w:val="24"/>
      <w:lang w:val="en-US" w:eastAsia="zh-CN" w:bidi="ar-SA"/>
    </w:rPr>
  </w:style>
  <w:style w:type="paragraph" w:customStyle="1" w:styleId="207">
    <w:name w:val="空行"/>
    <w:basedOn w:val="1"/>
    <w:next w:val="45"/>
    <w:qFormat/>
    <w:uiPriority w:val="0"/>
    <w:pPr>
      <w:topLinePunct/>
      <w:adjustRightInd w:val="0"/>
      <w:snapToGrid w:val="0"/>
      <w:jc w:val="center"/>
    </w:pPr>
    <w:rPr>
      <w:kern w:val="0"/>
      <w:sz w:val="28"/>
    </w:rPr>
  </w:style>
  <w:style w:type="paragraph" w:customStyle="1" w:styleId="208">
    <w:name w:val="表内容0"/>
    <w:basedOn w:val="1"/>
    <w:autoRedefine/>
    <w:unhideWhenUsed/>
    <w:qFormat/>
    <w:uiPriority w:val="0"/>
    <w:pPr>
      <w:topLinePunct/>
      <w:adjustRightInd w:val="0"/>
      <w:snapToGrid w:val="0"/>
      <w:spacing w:line="240" w:lineRule="atLeast"/>
      <w:jc w:val="center"/>
    </w:pPr>
    <w:rPr>
      <w:rFonts w:hint="eastAsia"/>
      <w:caps/>
      <w:kern w:val="16"/>
      <w:szCs w:val="20"/>
    </w:rPr>
  </w:style>
  <w:style w:type="paragraph" w:customStyle="1" w:styleId="209">
    <w:name w:val="列表段落1"/>
    <w:basedOn w:val="1"/>
    <w:autoRedefine/>
    <w:qFormat/>
    <w:uiPriority w:val="34"/>
    <w:pPr>
      <w:ind w:firstLine="420" w:firstLineChars="200"/>
    </w:pPr>
    <w:rPr>
      <w:szCs w:val="20"/>
    </w:rPr>
  </w:style>
  <w:style w:type="paragraph" w:customStyle="1" w:styleId="210">
    <w:name w:val="正文0"/>
    <w:basedOn w:val="1"/>
    <w:qFormat/>
    <w:uiPriority w:val="0"/>
    <w:pPr>
      <w:ind w:firstLine="200" w:firstLineChars="200"/>
    </w:pPr>
    <w:rPr>
      <w:sz w:val="24"/>
    </w:rPr>
  </w:style>
  <w:style w:type="character" w:customStyle="1" w:styleId="211">
    <w:name w:val="样式1 Char"/>
    <w:link w:val="212"/>
    <w:autoRedefine/>
    <w:qFormat/>
    <w:uiPriority w:val="0"/>
    <w:rPr>
      <w:kern w:val="2"/>
      <w:sz w:val="24"/>
    </w:rPr>
  </w:style>
  <w:style w:type="paragraph" w:customStyle="1" w:styleId="212">
    <w:name w:val="样式1"/>
    <w:basedOn w:val="1"/>
    <w:link w:val="211"/>
    <w:qFormat/>
    <w:uiPriority w:val="0"/>
    <w:pPr>
      <w:spacing w:before="60" w:line="460" w:lineRule="exact"/>
      <w:ind w:firstLine="454"/>
    </w:pPr>
    <w:rPr>
      <w:sz w:val="24"/>
      <w:szCs w:val="20"/>
    </w:rPr>
  </w:style>
  <w:style w:type="paragraph" w:customStyle="1" w:styleId="213">
    <w:name w:val="陈光的正文"/>
    <w:basedOn w:val="1"/>
    <w:autoRedefine/>
    <w:qFormat/>
    <w:uiPriority w:val="0"/>
    <w:pPr>
      <w:adjustRightInd w:val="0"/>
      <w:snapToGrid w:val="0"/>
      <w:spacing w:beforeLines="10" w:afterLines="10" w:line="360" w:lineRule="auto"/>
      <w:ind w:firstLine="560" w:firstLineChars="200"/>
    </w:pPr>
    <w:rPr>
      <w:sz w:val="28"/>
      <w:szCs w:val="20"/>
    </w:rPr>
  </w:style>
  <w:style w:type="table" w:customStyle="1" w:styleId="214">
    <w:name w:val="TableGrid"/>
    <w:qFormat/>
    <w:uiPriority w:val="0"/>
    <w:rPr>
      <w:rFonts w:ascii="Calibri" w:hAnsi="Calibri"/>
      <w:kern w:val="2"/>
      <w:sz w:val="21"/>
      <w:szCs w:val="22"/>
    </w:rPr>
    <w:tblPr>
      <w:tblCellMar>
        <w:top w:w="0" w:type="dxa"/>
        <w:left w:w="0" w:type="dxa"/>
        <w:bottom w:w="0" w:type="dxa"/>
        <w:right w:w="0" w:type="dxa"/>
      </w:tblCellMar>
    </w:tblPr>
  </w:style>
  <w:style w:type="paragraph" w:customStyle="1" w:styleId="215">
    <w:name w:val="_Style 1"/>
    <w:autoRedefine/>
    <w:qFormat/>
    <w:uiPriority w:val="1"/>
    <w:pPr>
      <w:widowControl w:val="0"/>
      <w:jc w:val="both"/>
    </w:pPr>
    <w:rPr>
      <w:rFonts w:ascii="Times New Roman" w:hAnsi="Times New Roman" w:eastAsia="宋体" w:cs="Times New Roman"/>
      <w:kern w:val="2"/>
      <w:sz w:val="21"/>
      <w:szCs w:val="22"/>
      <w:lang w:val="en-US" w:eastAsia="zh-CN" w:bidi="ar-SA"/>
    </w:rPr>
  </w:style>
  <w:style w:type="table" w:customStyle="1" w:styleId="216">
    <w:name w:val="表格0"/>
    <w:basedOn w:val="47"/>
    <w:autoRedefine/>
    <w:qFormat/>
    <w:uiPriority w:val="99"/>
    <w:pPr>
      <w:spacing w:line="245" w:lineRule="auto"/>
      <w:jc w:val="center"/>
    </w:pPr>
    <w:tblPr>
      <w:tblBorders>
        <w:top w:val="single" w:color="auto" w:sz="4" w:space="0"/>
        <w:bottom w:val="single" w:color="auto" w:sz="4" w:space="0"/>
        <w:insideH w:val="single" w:color="auto" w:sz="4" w:space="0"/>
        <w:insideV w:val="single" w:color="auto" w:sz="4" w:space="0"/>
      </w:tblBorders>
      <w:tblCellMar>
        <w:left w:w="28" w:type="dxa"/>
        <w:right w:w="28" w:type="dxa"/>
      </w:tblCellMar>
    </w:tblPr>
    <w:tcPr>
      <w:vAlign w:val="center"/>
    </w:tcPr>
    <w:tblStylePr w:type="firstRow">
      <w:tcPr>
        <w:tcBorders>
          <w:top w:val="single" w:color="auto" w:sz="4" w:space="0"/>
          <w:left w:val="nil"/>
          <w:bottom w:val="single" w:color="auto" w:sz="4" w:space="0"/>
          <w:right w:val="nil"/>
          <w:insideH w:val="single" w:sz="4" w:space="0"/>
          <w:insideV w:val="single" w:sz="4" w:space="0"/>
          <w:tl2br w:val="nil"/>
          <w:tr2bl w:val="nil"/>
        </w:tcBorders>
        <w:shd w:val="clear" w:color="auto" w:fill="D9D9D9"/>
      </w:tcPr>
    </w:tblStylePr>
  </w:style>
  <w:style w:type="paragraph" w:customStyle="1" w:styleId="217">
    <w:name w:val="1正文"/>
    <w:basedOn w:val="1"/>
    <w:qFormat/>
    <w:uiPriority w:val="0"/>
    <w:pPr>
      <w:widowControl/>
      <w:spacing w:line="360" w:lineRule="auto"/>
      <w:ind w:firstLine="200" w:firstLineChars="200"/>
      <w:jc w:val="left"/>
    </w:pPr>
    <w:rPr>
      <w:kern w:val="0"/>
      <w:sz w:val="24"/>
      <w:lang w:eastAsia="en-US"/>
    </w:rPr>
  </w:style>
  <w:style w:type="paragraph" w:customStyle="1" w:styleId="218">
    <w:name w:val="A居中"/>
    <w:basedOn w:val="1"/>
    <w:autoRedefine/>
    <w:qFormat/>
    <w:uiPriority w:val="0"/>
    <w:pPr>
      <w:spacing w:line="360" w:lineRule="auto"/>
      <w:jc w:val="center"/>
    </w:pPr>
    <w:rPr>
      <w:sz w:val="24"/>
      <w:szCs w:val="22"/>
    </w:rPr>
  </w:style>
  <w:style w:type="paragraph" w:customStyle="1" w:styleId="219">
    <w:name w:val="A表格内容"/>
    <w:basedOn w:val="1"/>
    <w:qFormat/>
    <w:uiPriority w:val="0"/>
    <w:pPr>
      <w:adjustRightInd w:val="0"/>
      <w:spacing w:line="245" w:lineRule="auto"/>
      <w:jc w:val="center"/>
      <w:textAlignment w:val="baseline"/>
    </w:pPr>
    <w:rPr>
      <w:szCs w:val="21"/>
    </w:rPr>
  </w:style>
  <w:style w:type="paragraph" w:customStyle="1" w:styleId="220">
    <w:name w:val="A表格内容字体"/>
    <w:basedOn w:val="1"/>
    <w:link w:val="221"/>
    <w:qFormat/>
    <w:uiPriority w:val="0"/>
    <w:pPr>
      <w:jc w:val="center"/>
    </w:pPr>
    <w:rPr>
      <w:color w:val="000000"/>
      <w:kern w:val="0"/>
      <w:szCs w:val="21"/>
    </w:rPr>
  </w:style>
  <w:style w:type="character" w:customStyle="1" w:styleId="221">
    <w:name w:val="A表格内容字体 字符"/>
    <w:link w:val="220"/>
    <w:autoRedefine/>
    <w:qFormat/>
    <w:uiPriority w:val="0"/>
    <w:rPr>
      <w:color w:val="000000"/>
      <w:sz w:val="21"/>
      <w:szCs w:val="21"/>
    </w:rPr>
  </w:style>
  <w:style w:type="table" w:customStyle="1" w:styleId="222">
    <w:name w:val="Table Normal"/>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3">
    <w:name w:val="Table Normal1"/>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4">
    <w:name w:val="Table Normal2"/>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5">
    <w:name w:val="Table Normal3"/>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6">
    <w:name w:val="Table Normal4"/>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7">
    <w:name w:val="Table Normal5"/>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8">
    <w:name w:val="Table Normal6"/>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9">
    <w:name w:val="Table Normal7"/>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30">
    <w:name w:val="01正文"/>
    <w:autoRedefine/>
    <w:qFormat/>
    <w:uiPriority w:val="0"/>
    <w:pPr>
      <w:spacing w:line="360" w:lineRule="auto"/>
      <w:ind w:firstLine="482"/>
    </w:pPr>
    <w:rPr>
      <w:rFonts w:ascii="Times New Roman" w:hAnsi="Times New Roman" w:eastAsia="新宋体" w:cs="Times New Roman"/>
      <w:sz w:val="24"/>
      <w:szCs w:val="24"/>
      <w:lang w:val="en-US" w:eastAsia="en-US" w:bidi="ar-SA"/>
    </w:rPr>
  </w:style>
  <w:style w:type="table" w:customStyle="1" w:styleId="231">
    <w:name w:val="网格型c2"/>
    <w:basedOn w:val="47"/>
    <w:qFormat/>
    <w:uiPriority w:val="59"/>
    <w:pPr>
      <w:widowControl w:val="0"/>
      <w:jc w:val="both"/>
    </w:pPr>
    <w:rPr>
      <w:rFonts w:ascii="Calibri" w:hAnsi="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
    <w:name w:val="网格型c4"/>
    <w:basedOn w:val="47"/>
    <w:qFormat/>
    <w:uiPriority w:val="39"/>
    <w:pPr>
      <w:widowControl w:val="0"/>
      <w:jc w:val="both"/>
    </w:pPr>
    <w:rPr>
      <w:rFonts w:ascii="Calibri" w:hAnsi="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33">
    <w:name w:val="1表格内容 字符"/>
    <w:link w:val="234"/>
    <w:autoRedefine/>
    <w:qFormat/>
    <w:uiPriority w:val="0"/>
    <w:rPr>
      <w:sz w:val="21"/>
      <w:szCs w:val="21"/>
    </w:rPr>
  </w:style>
  <w:style w:type="paragraph" w:customStyle="1" w:styleId="234">
    <w:name w:val="1表格内容"/>
    <w:basedOn w:val="1"/>
    <w:link w:val="233"/>
    <w:autoRedefine/>
    <w:qFormat/>
    <w:uiPriority w:val="0"/>
    <w:pPr>
      <w:widowControl/>
      <w:adjustRightInd w:val="0"/>
      <w:snapToGrid w:val="0"/>
      <w:spacing w:line="288" w:lineRule="auto"/>
      <w:jc w:val="center"/>
    </w:pPr>
    <w:rPr>
      <w:kern w:val="0"/>
      <w:szCs w:val="21"/>
    </w:rPr>
  </w:style>
  <w:style w:type="paragraph" w:customStyle="1" w:styleId="235">
    <w:name w:val="表内容1"/>
    <w:basedOn w:val="1"/>
    <w:next w:val="1"/>
    <w:autoRedefine/>
    <w:qFormat/>
    <w:uiPriority w:val="0"/>
    <w:pPr>
      <w:jc w:val="center"/>
    </w:pPr>
    <w:rPr>
      <w:kern w:val="0"/>
      <w:szCs w:val="21"/>
    </w:rPr>
  </w:style>
  <w:style w:type="table" w:customStyle="1" w:styleId="236">
    <w:name w:val="0表格1"/>
    <w:basedOn w:val="47"/>
    <w:autoRedefine/>
    <w:qFormat/>
    <w:uiPriority w:val="99"/>
    <w:pPr>
      <w:jc w:val="center"/>
    </w:pPr>
    <w:rPr>
      <w:rFonts w:cs="宋体"/>
      <w:sz w:val="24"/>
      <w:szCs w:val="21"/>
    </w:rPr>
    <w:tblPr>
      <w:tblBorders>
        <w:top w:val="single" w:color="auto" w:sz="2" w:space="0"/>
        <w:bottom w:val="single" w:color="auto" w:sz="2" w:space="0"/>
        <w:insideH w:val="single" w:color="auto" w:sz="2" w:space="0"/>
        <w:insideV w:val="single" w:color="auto" w:sz="2" w:space="0"/>
      </w:tblBorders>
      <w:tblCellMar>
        <w:left w:w="28" w:type="dxa"/>
        <w:right w:w="28" w:type="dxa"/>
      </w:tblCellMar>
    </w:tblPr>
    <w:tcPr>
      <w:vAlign w:val="center"/>
    </w:tcPr>
    <w:tblStylePr w:type="firstRow">
      <w:pPr>
        <w:wordWrap/>
        <w:spacing w:line="245" w:lineRule="auto"/>
      </w:pPr>
      <w:tcPr>
        <w:tcBorders>
          <w:top w:val="single" w:color="auto" w:sz="2" w:space="0"/>
          <w:left w:val="nil"/>
          <w:bottom w:val="single" w:color="auto" w:sz="2" w:space="0"/>
          <w:right w:val="nil"/>
          <w:insideH w:val="single" w:sz="2" w:space="0"/>
          <w:insideV w:val="single" w:sz="2" w:space="0"/>
          <w:tl2br w:val="nil"/>
          <w:tr2bl w:val="nil"/>
        </w:tcBorders>
        <w:shd w:val="clear" w:color="auto" w:fill="D9D9D9"/>
      </w:tcPr>
    </w:tblStylePr>
  </w:style>
  <w:style w:type="paragraph" w:customStyle="1" w:styleId="237">
    <w:name w:val="0正文"/>
    <w:basedOn w:val="12"/>
    <w:autoRedefine/>
    <w:qFormat/>
    <w:uiPriority w:val="0"/>
    <w:pPr>
      <w:adjustRightInd w:val="0"/>
      <w:snapToGrid w:val="0"/>
      <w:spacing w:line="360" w:lineRule="auto"/>
      <w:ind w:firstLine="200" w:firstLineChars="200"/>
    </w:pPr>
    <w:rPr>
      <w:rFonts w:ascii="Times New Roman" w:hAnsi="PMingLiU"/>
      <w:sz w:val="24"/>
      <w:lang w:eastAsia="en-US"/>
    </w:rPr>
  </w:style>
  <w:style w:type="paragraph" w:customStyle="1" w:styleId="238">
    <w:name w:val="正文 + 黑体"/>
    <w:basedOn w:val="1"/>
    <w:qFormat/>
    <w:uiPriority w:val="0"/>
    <w:pPr>
      <w:spacing w:line="500" w:lineRule="exact"/>
      <w:jc w:val="center"/>
    </w:pPr>
    <w:rPr>
      <w:rFonts w:ascii="宋体" w:hAnsi="宋体"/>
      <w:szCs w:val="21"/>
    </w:rPr>
  </w:style>
  <w:style w:type="paragraph" w:customStyle="1" w:styleId="239">
    <w:name w:val="表格内文字"/>
    <w:basedOn w:val="1"/>
    <w:qFormat/>
    <w:uiPriority w:val="0"/>
    <w:pPr>
      <w:widowControl/>
      <w:jc w:val="left"/>
    </w:pPr>
    <w:rPr>
      <w:rFonts w:ascii="宋体" w:hAnsi="宋体"/>
      <w:kern w:val="0"/>
      <w:sz w:val="24"/>
    </w:rPr>
  </w:style>
  <w:style w:type="character" w:customStyle="1" w:styleId="240">
    <w:name w:val="Font Style218"/>
    <w:autoRedefine/>
    <w:qFormat/>
    <w:uiPriority w:val="0"/>
    <w:rPr>
      <w:rFonts w:ascii="Times New Roman" w:hAnsi="Times New Roman" w:cs="Times New Roman"/>
      <w:sz w:val="14"/>
      <w:szCs w:val="14"/>
    </w:rPr>
  </w:style>
  <w:style w:type="character" w:customStyle="1" w:styleId="241">
    <w:name w:val="Font Style222"/>
    <w:autoRedefine/>
    <w:qFormat/>
    <w:uiPriority w:val="0"/>
    <w:rPr>
      <w:rFonts w:ascii="Times New Roman" w:hAnsi="Times New Roman" w:cs="Times New Roman"/>
      <w:sz w:val="20"/>
      <w:szCs w:val="20"/>
    </w:rPr>
  </w:style>
  <w:style w:type="character" w:customStyle="1" w:styleId="242">
    <w:name w:val="fontstyle21"/>
    <w:autoRedefine/>
    <w:qFormat/>
    <w:uiPriority w:val="0"/>
    <w:rPr>
      <w:rFonts w:hint="eastAsia" w:ascii="宋体" w:hAnsi="宋体" w:eastAsia="宋体" w:cs="宋体"/>
      <w:color w:val="000000"/>
      <w:sz w:val="24"/>
      <w:szCs w:val="24"/>
    </w:rPr>
  </w:style>
  <w:style w:type="character" w:customStyle="1" w:styleId="243">
    <w:name w:val="apple-converted-space"/>
    <w:autoRedefine/>
    <w:qFormat/>
    <w:uiPriority w:val="0"/>
  </w:style>
  <w:style w:type="character" w:customStyle="1" w:styleId="244">
    <w:name w:val="Font Style183"/>
    <w:autoRedefine/>
    <w:qFormat/>
    <w:uiPriority w:val="0"/>
    <w:rPr>
      <w:rFonts w:ascii="宋体" w:hAnsi="Tahoma" w:eastAsia="宋体" w:cs="宋体"/>
      <w:sz w:val="22"/>
      <w:szCs w:val="22"/>
    </w:rPr>
  </w:style>
  <w:style w:type="character" w:customStyle="1" w:styleId="245">
    <w:name w:val="正文 首行缩进:  2 字符 Char"/>
    <w:autoRedefine/>
    <w:qFormat/>
    <w:uiPriority w:val="0"/>
    <w:rPr>
      <w:rFonts w:cs="宋体"/>
      <w:kern w:val="2"/>
      <w:sz w:val="24"/>
    </w:rPr>
  </w:style>
  <w:style w:type="character" w:customStyle="1" w:styleId="246">
    <w:name w:val="普通文字 Char Char"/>
    <w:autoRedefine/>
    <w:qFormat/>
    <w:uiPriority w:val="0"/>
    <w:rPr>
      <w:rFonts w:ascii="宋体" w:hAnsi="Courier New" w:eastAsia="宋体" w:cs="Courier New"/>
      <w:kern w:val="2"/>
      <w:sz w:val="21"/>
      <w:szCs w:val="21"/>
      <w:lang w:val="en-US" w:eastAsia="zh-CN" w:bidi="ar-SA"/>
    </w:rPr>
  </w:style>
  <w:style w:type="character" w:customStyle="1" w:styleId="247">
    <w:name w:val="fontstyle01"/>
    <w:qFormat/>
    <w:uiPriority w:val="0"/>
    <w:rPr>
      <w:rFonts w:hint="eastAsia" w:ascii="宋体" w:hAnsi="宋体" w:eastAsia="宋体" w:cs="宋体"/>
      <w:color w:val="000000"/>
      <w:sz w:val="24"/>
      <w:szCs w:val="24"/>
    </w:rPr>
  </w:style>
  <w:style w:type="character" w:customStyle="1" w:styleId="248">
    <w:name w:val="Font Style225"/>
    <w:autoRedefine/>
    <w:qFormat/>
    <w:uiPriority w:val="0"/>
    <w:rPr>
      <w:rFonts w:ascii="宋体" w:hAnsi="Tahoma" w:eastAsia="宋体" w:cs="宋体"/>
      <w:spacing w:val="-10"/>
      <w:sz w:val="14"/>
      <w:szCs w:val="14"/>
    </w:rPr>
  </w:style>
  <w:style w:type="character" w:customStyle="1" w:styleId="249">
    <w:name w:val="font21"/>
    <w:autoRedefine/>
    <w:qFormat/>
    <w:uiPriority w:val="0"/>
    <w:rPr>
      <w:rFonts w:hint="default" w:ascii="Times New Roman" w:hAnsi="Times New Roman" w:eastAsia="Times New Roman" w:cs="Times New Roman"/>
      <w:b/>
      <w:color w:val="000000"/>
      <w:kern w:val="0"/>
      <w:sz w:val="20"/>
      <w:szCs w:val="20"/>
      <w:u w:val="none"/>
      <w:lang w:eastAsia="en-US"/>
    </w:rPr>
  </w:style>
  <w:style w:type="character" w:customStyle="1" w:styleId="250">
    <w:name w:val="Font Style221"/>
    <w:autoRedefine/>
    <w:qFormat/>
    <w:uiPriority w:val="0"/>
    <w:rPr>
      <w:rFonts w:ascii="宋体" w:hAnsi="Tahoma" w:eastAsia="宋体" w:cs="宋体"/>
      <w:sz w:val="22"/>
      <w:szCs w:val="22"/>
    </w:rPr>
  </w:style>
  <w:style w:type="paragraph" w:customStyle="1" w:styleId="251">
    <w:name w:val="表格标题"/>
    <w:basedOn w:val="1"/>
    <w:autoRedefine/>
    <w:qFormat/>
    <w:uiPriority w:val="0"/>
    <w:pPr>
      <w:spacing w:before="120"/>
      <w:jc w:val="center"/>
    </w:pPr>
    <w:rPr>
      <w:rFonts w:eastAsia="仿宋_GB2312"/>
      <w:sz w:val="24"/>
      <w:szCs w:val="20"/>
    </w:rPr>
  </w:style>
  <w:style w:type="paragraph" w:customStyle="1" w:styleId="252">
    <w:name w:val="正文缩近"/>
    <w:basedOn w:val="1"/>
    <w:qFormat/>
    <w:uiPriority w:val="0"/>
    <w:pPr>
      <w:spacing w:line="360" w:lineRule="auto"/>
      <w:ind w:firstLine="560" w:firstLineChars="200"/>
    </w:pPr>
    <w:rPr>
      <w:sz w:val="28"/>
      <w:szCs w:val="28"/>
    </w:rPr>
  </w:style>
  <w:style w:type="paragraph" w:customStyle="1" w:styleId="253">
    <w:name w:val="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54">
    <w:name w:val="正文表标题"/>
    <w:next w:val="1"/>
    <w:qFormat/>
    <w:uiPriority w:val="0"/>
    <w:pPr>
      <w:tabs>
        <w:tab w:val="left" w:pos="360"/>
      </w:tabs>
      <w:spacing w:beforeLines="50" w:afterLines="50"/>
      <w:ind w:hanging="360"/>
      <w:jc w:val="center"/>
    </w:pPr>
    <w:rPr>
      <w:rFonts w:ascii="黑体" w:hAnsi="Times New Roman" w:eastAsia="黑体" w:cs="Times New Roman"/>
      <w:sz w:val="21"/>
      <w:szCs w:val="22"/>
      <w:lang w:val="en-US" w:eastAsia="zh-CN" w:bidi="ar-SA"/>
    </w:rPr>
  </w:style>
  <w:style w:type="paragraph" w:customStyle="1" w:styleId="255">
    <w:name w:val="表格内容"/>
    <w:basedOn w:val="12"/>
    <w:autoRedefine/>
    <w:qFormat/>
    <w:uiPriority w:val="0"/>
    <w:pPr>
      <w:adjustRightInd w:val="0"/>
      <w:jc w:val="center"/>
      <w:textAlignment w:val="baseline"/>
    </w:pPr>
    <w:rPr>
      <w:szCs w:val="21"/>
    </w:rPr>
  </w:style>
  <w:style w:type="paragraph" w:customStyle="1" w:styleId="256">
    <w:name w:val="_Style 5"/>
    <w:basedOn w:val="14"/>
    <w:qFormat/>
    <w:uiPriority w:val="0"/>
    <w:rPr>
      <w:rFonts w:ascii="Tahoma" w:hAnsi="Tahoma"/>
      <w:sz w:val="24"/>
    </w:rPr>
  </w:style>
  <w:style w:type="paragraph" w:customStyle="1" w:styleId="257">
    <w:name w:val="样式 正文文本 + 左侧:  2 字符 首行缩进:  2 字符"/>
    <w:basedOn w:val="16"/>
    <w:autoRedefine/>
    <w:qFormat/>
    <w:uiPriority w:val="0"/>
    <w:pPr>
      <w:widowControl w:val="0"/>
      <w:snapToGrid/>
      <w:spacing w:before="0" w:after="120" w:line="240" w:lineRule="auto"/>
      <w:ind w:left="480" w:right="0" w:firstLine="480"/>
      <w:jc w:val="left"/>
    </w:pPr>
    <w:rPr>
      <w:rFonts w:cs="宋体"/>
      <w:kern w:val="2"/>
      <w:sz w:val="21"/>
      <w:szCs w:val="24"/>
    </w:rPr>
  </w:style>
  <w:style w:type="paragraph" w:customStyle="1" w:styleId="258">
    <w:name w:val="表标题"/>
    <w:basedOn w:val="45"/>
    <w:qFormat/>
    <w:uiPriority w:val="0"/>
    <w:pPr>
      <w:widowControl w:val="0"/>
      <w:spacing w:before="60" w:after="60" w:line="500" w:lineRule="exact"/>
      <w:ind w:firstLine="0" w:firstLineChars="0"/>
      <w:jc w:val="center"/>
    </w:pPr>
    <w:rPr>
      <w:b/>
      <w:bCs/>
      <w:kern w:val="2"/>
      <w:szCs w:val="18"/>
    </w:rPr>
  </w:style>
  <w:style w:type="paragraph" w:customStyle="1" w:styleId="259">
    <w:name w:val="_Style 57"/>
    <w:basedOn w:val="1"/>
    <w:next w:val="45"/>
    <w:qFormat/>
    <w:uiPriority w:val="99"/>
    <w:pPr>
      <w:ind w:firstLine="420" w:firstLineChars="100"/>
    </w:pPr>
  </w:style>
  <w:style w:type="paragraph" w:customStyle="1" w:styleId="260">
    <w:name w:val="Style18"/>
    <w:basedOn w:val="1"/>
    <w:qFormat/>
    <w:uiPriority w:val="0"/>
    <w:pPr>
      <w:adjustRightInd w:val="0"/>
      <w:spacing w:line="467" w:lineRule="exact"/>
      <w:ind w:firstLine="480"/>
    </w:pPr>
    <w:rPr>
      <w:rFonts w:hAnsi="Calibri"/>
      <w:kern w:val="0"/>
    </w:rPr>
  </w:style>
  <w:style w:type="paragraph" w:customStyle="1" w:styleId="261">
    <w:name w:val="_Style 2"/>
    <w:basedOn w:val="1"/>
    <w:autoRedefine/>
    <w:qFormat/>
    <w:uiPriority w:val="99"/>
    <w:pPr>
      <w:ind w:firstLine="420" w:firstLineChars="200"/>
    </w:pPr>
  </w:style>
  <w:style w:type="paragraph" w:customStyle="1" w:styleId="262">
    <w:name w:val="zxz5"/>
    <w:next w:val="1"/>
    <w:autoRedefine/>
    <w:qFormat/>
    <w:uiPriority w:val="0"/>
    <w:pPr>
      <w:tabs>
        <w:tab w:val="left" w:pos="0"/>
      </w:tabs>
      <w:jc w:val="center"/>
    </w:pPr>
    <w:rPr>
      <w:rFonts w:ascii="Times New Roman" w:hAnsi="Times New Roman" w:eastAsia="宋体" w:cs="Times New Roman"/>
      <w:lang w:val="en-US" w:eastAsia="zh-CN" w:bidi="ar-SA"/>
    </w:rPr>
  </w:style>
  <w:style w:type="paragraph" w:customStyle="1" w:styleId="263">
    <w:name w:val="论文正文"/>
    <w:basedOn w:val="12"/>
    <w:autoRedefine/>
    <w:qFormat/>
    <w:uiPriority w:val="0"/>
    <w:pPr>
      <w:ind w:firstLine="480" w:firstLineChars="200"/>
    </w:pPr>
    <w:rPr>
      <w:rFonts w:ascii="宋体" w:hAnsi="宋体"/>
      <w:sz w:val="28"/>
      <w:szCs w:val="24"/>
    </w:rPr>
  </w:style>
  <w:style w:type="paragraph" w:customStyle="1" w:styleId="264">
    <w:name w:val="正文001"/>
    <w:basedOn w:val="1"/>
    <w:autoRedefine/>
    <w:qFormat/>
    <w:uiPriority w:val="0"/>
    <w:pPr>
      <w:spacing w:before="60" w:line="460" w:lineRule="exact"/>
      <w:ind w:firstLine="482"/>
    </w:pPr>
    <w:rPr>
      <w:rFonts w:ascii="Arial" w:hAnsi="Arial"/>
      <w:sz w:val="24"/>
    </w:rPr>
  </w:style>
  <w:style w:type="paragraph" w:customStyle="1" w:styleId="265">
    <w:name w:val="正文2"/>
    <w:qFormat/>
    <w:uiPriority w:val="0"/>
    <w:pPr>
      <w:widowControl w:val="0"/>
      <w:suppressAutoHyphens/>
      <w:spacing w:line="520" w:lineRule="atLeast"/>
      <w:ind w:firstLine="680"/>
      <w:jc w:val="both"/>
    </w:pPr>
    <w:rPr>
      <w:rFonts w:ascii="Times New Roman" w:hAnsi="Times New Roman" w:eastAsia="宋体" w:cs="Times New Roman"/>
      <w:spacing w:val="18"/>
      <w:sz w:val="32"/>
      <w:lang w:val="en-US" w:eastAsia="zh-CN" w:bidi="ar-SA"/>
    </w:rPr>
  </w:style>
  <w:style w:type="paragraph" w:customStyle="1" w:styleId="266">
    <w:name w:val="表格/图表标题"/>
    <w:basedOn w:val="1"/>
    <w:next w:val="1"/>
    <w:autoRedefine/>
    <w:qFormat/>
    <w:uiPriority w:val="0"/>
    <w:pPr>
      <w:spacing w:beforeLines="50"/>
      <w:jc w:val="center"/>
    </w:pPr>
    <w:rPr>
      <w:b/>
      <w:bCs/>
      <w:kern w:val="0"/>
    </w:rPr>
  </w:style>
  <w:style w:type="paragraph" w:customStyle="1" w:styleId="267">
    <w:name w:val="Table Text"/>
    <w:basedOn w:val="1"/>
    <w:semiHidden/>
    <w:qFormat/>
    <w:uiPriority w:val="0"/>
    <w:rPr>
      <w:rFonts w:ascii="宋体" w:hAnsi="宋体" w:cs="宋体"/>
      <w:szCs w:val="21"/>
      <w:lang w:eastAsia="en-US"/>
    </w:rPr>
  </w:style>
  <w:style w:type="paragraph" w:customStyle="1" w:styleId="268">
    <w:name w:val="样式 正文 行距: 固定值 25 磅"/>
    <w:basedOn w:val="1"/>
    <w:qFormat/>
    <w:uiPriority w:val="0"/>
    <w:pPr>
      <w:adjustRightInd w:val="0"/>
      <w:spacing w:line="500" w:lineRule="exact"/>
      <w:ind w:firstLine="200" w:firstLineChars="200"/>
    </w:pPr>
    <w:rPr>
      <w:kern w:val="0"/>
      <w:sz w:val="24"/>
    </w:rPr>
  </w:style>
  <w:style w:type="character" w:customStyle="1" w:styleId="269">
    <w:name w:val="font61"/>
    <w:basedOn w:val="50"/>
    <w:qFormat/>
    <w:uiPriority w:val="0"/>
    <w:rPr>
      <w:rFonts w:ascii="宋体" w:hAnsi="宋体" w:eastAsia="宋体" w:cs="宋体"/>
      <w:b/>
      <w:bCs/>
      <w:color w:val="000000"/>
      <w:sz w:val="22"/>
      <w:szCs w:val="22"/>
      <w:u w:val="none"/>
    </w:rPr>
  </w:style>
  <w:style w:type="character" w:customStyle="1" w:styleId="270">
    <w:name w:val="font71"/>
    <w:basedOn w:val="50"/>
    <w:qFormat/>
    <w:uiPriority w:val="0"/>
    <w:rPr>
      <w:rFonts w:ascii="宋体" w:hAnsi="宋体" w:eastAsia="宋体" w:cs="宋体"/>
      <w:color w:val="000000"/>
      <w:sz w:val="22"/>
      <w:szCs w:val="22"/>
      <w:u w:val="none"/>
    </w:rPr>
  </w:style>
  <w:style w:type="character" w:customStyle="1" w:styleId="271">
    <w:name w:val="font81"/>
    <w:basedOn w:val="50"/>
    <w:qFormat/>
    <w:uiPriority w:val="0"/>
    <w:rPr>
      <w:rFonts w:ascii="宋体" w:hAnsi="宋体" w:eastAsia="宋体" w:cs="宋体"/>
      <w:color w:val="000000"/>
      <w:sz w:val="14"/>
      <w:szCs w:val="14"/>
      <w:u w:val="none"/>
    </w:rPr>
  </w:style>
  <w:style w:type="character" w:customStyle="1" w:styleId="272">
    <w:name w:val="font91"/>
    <w:basedOn w:val="50"/>
    <w:qFormat/>
    <w:uiPriority w:val="0"/>
    <w:rPr>
      <w:rFonts w:hint="default" w:ascii="Arial" w:hAnsi="Arial" w:cs="Arial"/>
      <w:color w:val="000000"/>
      <w:sz w:val="12"/>
      <w:szCs w:val="12"/>
      <w:u w:val="none"/>
    </w:rPr>
  </w:style>
  <w:style w:type="character" w:customStyle="1" w:styleId="273">
    <w:name w:val="font112"/>
    <w:basedOn w:val="50"/>
    <w:qFormat/>
    <w:uiPriority w:val="0"/>
    <w:rPr>
      <w:rFonts w:ascii="宋体" w:hAnsi="宋体" w:eastAsia="宋体" w:cs="宋体"/>
      <w:color w:val="000476"/>
      <w:sz w:val="14"/>
      <w:szCs w:val="14"/>
      <w:u w:val="none"/>
    </w:rPr>
  </w:style>
  <w:style w:type="character" w:customStyle="1" w:styleId="274">
    <w:name w:val="font141"/>
    <w:basedOn w:val="50"/>
    <w:qFormat/>
    <w:uiPriority w:val="0"/>
    <w:rPr>
      <w:rFonts w:ascii="宋体" w:hAnsi="宋体" w:eastAsia="宋体" w:cs="宋体"/>
      <w:color w:val="000877"/>
      <w:sz w:val="14"/>
      <w:szCs w:val="14"/>
      <w:u w:val="none"/>
    </w:rPr>
  </w:style>
  <w:style w:type="paragraph" w:customStyle="1" w:styleId="275">
    <w:name w:val="Heading #2|1"/>
    <w:basedOn w:val="1"/>
    <w:qFormat/>
    <w:uiPriority w:val="0"/>
    <w:pPr>
      <w:outlineLvl w:val="1"/>
    </w:pPr>
    <w:rPr>
      <w:rFonts w:ascii="宋体" w:hAnsi="宋体" w:cs="宋体"/>
      <w:sz w:val="30"/>
      <w:szCs w:val="30"/>
      <w:lang w:val="zh-TW" w:eastAsia="zh-TW" w:bidi="zh-TW"/>
    </w:rPr>
  </w:style>
  <w:style w:type="paragraph" w:customStyle="1" w:styleId="276">
    <w:name w:val="Body text|3"/>
    <w:basedOn w:val="1"/>
    <w:qFormat/>
    <w:uiPriority w:val="0"/>
    <w:pPr>
      <w:spacing w:after="170"/>
    </w:pPr>
    <w:rPr>
      <w:rFonts w:ascii="宋体" w:hAnsi="宋体" w:cs="宋体"/>
      <w:sz w:val="28"/>
      <w:szCs w:val="28"/>
      <w:lang w:val="zh-TW" w:eastAsia="zh-TW" w:bidi="zh-TW"/>
    </w:rPr>
  </w:style>
  <w:style w:type="paragraph" w:customStyle="1" w:styleId="277">
    <w:name w:val="表格文字"/>
    <w:basedOn w:val="1"/>
    <w:qFormat/>
    <w:uiPriority w:val="0"/>
    <w:pPr>
      <w:jc w:val="center"/>
    </w:pPr>
    <w:rPr>
      <w:rFonts w:ascii="宋体"/>
      <w:sz w:val="24"/>
      <w:szCs w:val="20"/>
    </w:rPr>
  </w:style>
  <w:style w:type="character" w:customStyle="1" w:styleId="278">
    <w:name w:val="font12"/>
    <w:basedOn w:val="50"/>
    <w:qFormat/>
    <w:uiPriority w:val="0"/>
    <w:rPr>
      <w:rFonts w:hint="eastAsia" w:ascii="宋体" w:hAnsi="宋体" w:eastAsia="宋体" w:cs="宋体"/>
      <w:color w:val="000000"/>
      <w:sz w:val="21"/>
      <w:szCs w:val="21"/>
      <w:u w:val="none"/>
    </w:rPr>
  </w:style>
  <w:style w:type="character" w:customStyle="1" w:styleId="279">
    <w:name w:val="font51"/>
    <w:basedOn w:val="50"/>
    <w:qFormat/>
    <w:uiPriority w:val="0"/>
    <w:rPr>
      <w:rFonts w:hint="default" w:ascii="Times New Roman" w:hAnsi="Times New Roman" w:cs="Times New Roman"/>
      <w:color w:val="FF0000"/>
      <w:sz w:val="21"/>
      <w:szCs w:val="21"/>
      <w:u w:val="none"/>
    </w:rPr>
  </w:style>
  <w:style w:type="paragraph" w:customStyle="1" w:styleId="280">
    <w:name w:val="1表头"/>
    <w:basedOn w:val="1"/>
    <w:next w:val="1"/>
    <w:qFormat/>
    <w:uiPriority w:val="0"/>
    <w:pPr>
      <w:spacing w:before="30" w:beforeLines="30" w:after="20" w:afterLines="20"/>
      <w:jc w:val="center"/>
    </w:pPr>
    <w:rPr>
      <w:rFonts w:eastAsia="仿宋"/>
      <w:szCs w:val="21"/>
    </w:rPr>
  </w:style>
  <w:style w:type="paragraph" w:customStyle="1" w:styleId="281">
    <w:name w:val="表格文字（小）"/>
    <w:basedOn w:val="1"/>
    <w:qFormat/>
    <w:uiPriority w:val="0"/>
    <w:pPr>
      <w:spacing w:line="240" w:lineRule="atLeast"/>
      <w:jc w:val="center"/>
    </w:pPr>
  </w:style>
  <w:style w:type="paragraph" w:customStyle="1" w:styleId="282">
    <w:name w:val="表头1"/>
    <w:basedOn w:val="110"/>
    <w:qFormat/>
    <w:uiPriority w:val="0"/>
    <w:pPr>
      <w:tabs>
        <w:tab w:val="left" w:pos="1134"/>
        <w:tab w:val="right" w:pos="7371"/>
      </w:tabs>
      <w:overflowPunct w:val="0"/>
      <w:textAlignment w:val="baseline"/>
    </w:pPr>
    <w:rPr>
      <w:rFonts w:hAnsi="Times New Roman"/>
      <w:bCs/>
      <w:color w:val="000000"/>
    </w:rPr>
  </w:style>
  <w:style w:type="paragraph" w:customStyle="1" w:styleId="283">
    <w:name w:val="1111表格样式"/>
    <w:basedOn w:val="1"/>
    <w:autoRedefine/>
    <w:qFormat/>
    <w:uiPriority w:val="0"/>
    <w:pPr>
      <w:overflowPunct w:val="0"/>
      <w:jc w:val="center"/>
    </w:pPr>
    <w:rPr>
      <w:szCs w:val="21"/>
      <w:lang w:val="zh-CN" w:bidi="zh-CN"/>
    </w:rPr>
  </w:style>
  <w:style w:type="paragraph" w:customStyle="1" w:styleId="284">
    <w:name w:val="Revision"/>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6" Type="http://schemas.openxmlformats.org/officeDocument/2006/relationships/fontTable" Target="fontTable.xml"/><Relationship Id="rId75" Type="http://schemas.openxmlformats.org/officeDocument/2006/relationships/customXml" Target="../customXml/item3.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42.jpeg"/><Relationship Id="rId70" Type="http://schemas.openxmlformats.org/officeDocument/2006/relationships/image" Target="media/image41.png"/><Relationship Id="rId7" Type="http://schemas.openxmlformats.org/officeDocument/2006/relationships/footer" Target="footer3.xml"/><Relationship Id="rId69" Type="http://schemas.openxmlformats.org/officeDocument/2006/relationships/image" Target="media/image40.png"/><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jpeg"/><Relationship Id="rId64" Type="http://schemas.openxmlformats.org/officeDocument/2006/relationships/image" Target="media/image35.png"/><Relationship Id="rId63" Type="http://schemas.openxmlformats.org/officeDocument/2006/relationships/image" Target="media/image34.png"/><Relationship Id="rId62" Type="http://schemas.openxmlformats.org/officeDocument/2006/relationships/image" Target="media/image33.png"/><Relationship Id="rId61" Type="http://schemas.openxmlformats.org/officeDocument/2006/relationships/image" Target="media/image32.png"/><Relationship Id="rId60" Type="http://schemas.openxmlformats.org/officeDocument/2006/relationships/image" Target="media/image31.jpeg"/><Relationship Id="rId6" Type="http://schemas.openxmlformats.org/officeDocument/2006/relationships/footer" Target="footer2.xml"/><Relationship Id="rId59" Type="http://schemas.openxmlformats.org/officeDocument/2006/relationships/image" Target="media/image30.emf"/><Relationship Id="rId58" Type="http://schemas.openxmlformats.org/officeDocument/2006/relationships/image" Target="media/image29.jpeg"/><Relationship Id="rId57" Type="http://schemas.openxmlformats.org/officeDocument/2006/relationships/image" Target="media/image28.png"/><Relationship Id="rId56" Type="http://schemas.openxmlformats.org/officeDocument/2006/relationships/image" Target="media/image27.png"/><Relationship Id="rId55" Type="http://schemas.openxmlformats.org/officeDocument/2006/relationships/image" Target="media/image26.png"/><Relationship Id="rId54" Type="http://schemas.openxmlformats.org/officeDocument/2006/relationships/image" Target="media/image25.png"/><Relationship Id="rId53" Type="http://schemas.openxmlformats.org/officeDocument/2006/relationships/image" Target="media/image24.jpeg"/><Relationship Id="rId52" Type="http://schemas.openxmlformats.org/officeDocument/2006/relationships/image" Target="media/image23.jpeg"/><Relationship Id="rId51" Type="http://schemas.openxmlformats.org/officeDocument/2006/relationships/image" Target="media/image22.jpeg"/><Relationship Id="rId50" Type="http://schemas.openxmlformats.org/officeDocument/2006/relationships/image" Target="media/image21.png"/><Relationship Id="rId5" Type="http://schemas.openxmlformats.org/officeDocument/2006/relationships/footer" Target="footer1.xml"/><Relationship Id="rId49" Type="http://schemas.openxmlformats.org/officeDocument/2006/relationships/image" Target="media/image20.jpeg"/><Relationship Id="rId48" Type="http://schemas.openxmlformats.org/officeDocument/2006/relationships/image" Target="media/image19.png"/><Relationship Id="rId47" Type="http://schemas.openxmlformats.org/officeDocument/2006/relationships/image" Target="media/image18.jpeg"/><Relationship Id="rId46" Type="http://schemas.openxmlformats.org/officeDocument/2006/relationships/image" Target="media/image17.png"/><Relationship Id="rId45" Type="http://schemas.openxmlformats.org/officeDocument/2006/relationships/image" Target="media/image16.jpeg"/><Relationship Id="rId44" Type="http://schemas.openxmlformats.org/officeDocument/2006/relationships/image" Target="media/image15.jpeg"/><Relationship Id="rId43" Type="http://schemas.openxmlformats.org/officeDocument/2006/relationships/image" Target="media/image14.png"/><Relationship Id="rId42" Type="http://schemas.openxmlformats.org/officeDocument/2006/relationships/image" Target="media/image13.png"/><Relationship Id="rId41" Type="http://schemas.openxmlformats.org/officeDocument/2006/relationships/image" Target="media/image12.wmf"/><Relationship Id="rId40" Type="http://schemas.openxmlformats.org/officeDocument/2006/relationships/oleObject" Target="embeddings/oleObject12.bin"/><Relationship Id="rId4" Type="http://schemas.openxmlformats.org/officeDocument/2006/relationships/header" Target="header2.xml"/><Relationship Id="rId39" Type="http://schemas.openxmlformats.org/officeDocument/2006/relationships/image" Target="media/image11.wmf"/><Relationship Id="rId38" Type="http://schemas.openxmlformats.org/officeDocument/2006/relationships/oleObject" Target="embeddings/oleObject11.bin"/><Relationship Id="rId37" Type="http://schemas.openxmlformats.org/officeDocument/2006/relationships/image" Target="media/image10.wmf"/><Relationship Id="rId36" Type="http://schemas.openxmlformats.org/officeDocument/2006/relationships/oleObject" Target="embeddings/oleObject10.bin"/><Relationship Id="rId35" Type="http://schemas.openxmlformats.org/officeDocument/2006/relationships/image" Target="media/image9.wmf"/><Relationship Id="rId34" Type="http://schemas.openxmlformats.org/officeDocument/2006/relationships/oleObject" Target="embeddings/oleObject9.bin"/><Relationship Id="rId33" Type="http://schemas.openxmlformats.org/officeDocument/2006/relationships/image" Target="media/image8.wmf"/><Relationship Id="rId32" Type="http://schemas.openxmlformats.org/officeDocument/2006/relationships/oleObject" Target="embeddings/oleObject8.bin"/><Relationship Id="rId31" Type="http://schemas.openxmlformats.org/officeDocument/2006/relationships/image" Target="media/image7.wmf"/><Relationship Id="rId30" Type="http://schemas.openxmlformats.org/officeDocument/2006/relationships/oleObject" Target="embeddings/oleObject7.bin"/><Relationship Id="rId3" Type="http://schemas.openxmlformats.org/officeDocument/2006/relationships/header" Target="header1.xml"/><Relationship Id="rId29" Type="http://schemas.openxmlformats.org/officeDocument/2006/relationships/image" Target="media/image6.wmf"/><Relationship Id="rId28" Type="http://schemas.openxmlformats.org/officeDocument/2006/relationships/oleObject" Target="embeddings/oleObject6.bin"/><Relationship Id="rId27" Type="http://schemas.openxmlformats.org/officeDocument/2006/relationships/image" Target="media/image5.wmf"/><Relationship Id="rId26" Type="http://schemas.openxmlformats.org/officeDocument/2006/relationships/oleObject" Target="embeddings/oleObject5.bin"/><Relationship Id="rId25" Type="http://schemas.openxmlformats.org/officeDocument/2006/relationships/image" Target="media/image4.emf"/><Relationship Id="rId24" Type="http://schemas.openxmlformats.org/officeDocument/2006/relationships/oleObject" Target="embeddings/oleObject4.bin"/><Relationship Id="rId23" Type="http://schemas.openxmlformats.org/officeDocument/2006/relationships/image" Target="media/image3.emf"/><Relationship Id="rId22" Type="http://schemas.openxmlformats.org/officeDocument/2006/relationships/oleObject" Target="embeddings/oleObject3.bin"/><Relationship Id="rId21" Type="http://schemas.openxmlformats.org/officeDocument/2006/relationships/image" Target="media/image2.e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emf"/><Relationship Id="rId18" Type="http://schemas.openxmlformats.org/officeDocument/2006/relationships/oleObject" Target="embeddings/oleObject1.bin"/><Relationship Id="rId17" Type="http://schemas.openxmlformats.org/officeDocument/2006/relationships/theme" Target="theme/theme1.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00">
            <a:alpha val="78000"/>
          </a:srgbClr>
        </a:solidFill>
        <a:ln>
          <a:solidFill>
            <a:srgbClr val="FFFF00"/>
          </a:solidFill>
        </a:ln>
      </a:spPr>
      <a:bodyPr/>
      <a:lstStyle/>
      <a:style>
        <a:lnRef idx="2">
          <a:schemeClr val="accent1">
            <a:lumMod val="75000"/>
          </a:schemeClr>
        </a:lnRef>
        <a:fillRef idx="1">
          <a:schemeClr val="accent1"/>
        </a:fillRef>
        <a:effectRef idx="0">
          <a:srgbClr val="FFFFFF"/>
        </a:effectRef>
        <a:fontRef idx="minor">
          <a:schemeClr val="lt1"/>
        </a:fontRef>
      </a:style>
    </a:spDef>
    <a:txDef>
      <a:spPr>
        <a:solidFill>
          <a:schemeClr val="lt1"/>
        </a:solidFill>
        <a:ln w="6350">
          <a:solidFill>
            <a:prstClr val="black"/>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ba655fa5-fd8d-4818-aade-a90ff70d88cb</errorID>
      <errorWord>工艺</errorWord>
      <group>L1_Word</group>
      <groupName>字词问题</groupName>
      <ability>L2_Typo</ability>
      <abilityName>字词错误</abilityName>
      <candidateList>
        <item>工业</item>
      </candidateList>
      <explain/>
      <paraID>1F6E6BC9</paraID>
      <start>106</start>
      <end>108</end>
      <status>ignored</status>
      <modifiedWord/>
      <trackRevisions>false</trackRevisions>
    </reviewItem>
    <reviewItem>
      <errorID>ed205c73-3659-459a-aefc-309a3f81ac66</errorID>
      <errorWord>用水管网</errorWord>
      <group>L1_Knowledge</group>
      <groupName>知识性问题</groupName>
      <ability>L2_Term</ability>
      <abilityName>专业术语</abilityName>
      <candidateList>
        <item>污水管网</item>
      </candidateList>
      <explain/>
      <paraID>3119666E</paraID>
      <start>81</start>
      <end>85</end>
      <status>ignored</status>
      <modifiedWord/>
      <trackRevisions>false</trackRevisions>
    </reviewItem>
    <reviewItem>
      <errorID>f7b9b695-9b5a-4b76-992b-2bef6d86b1a4</errorID>
      <errorWord>或是</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53CD28F2</paraID>
      <start>140</start>
      <end>142</end>
      <status>ignored</status>
      <modifiedWord/>
      <trackRevisions>false</trackRevisions>
    </reviewItem>
    <reviewItem>
      <errorID>3f503d23-1738-4160-bbed-2caa958319b7</errorID>
      <errorWord>无废城市</errorWord>
      <group>L1_Political</group>
      <groupName>政治性问题</groupName>
      <ability>L2_Keyword</ability>
      <abilityName>固定表述</abilityName>
      <candidateList>
        <item>“无废城市”</item>
      </candidateList>
      <explain>注意检查当前固定表述标点是否使用规范。</explain>
      <paraID>309639C6</paraID>
      <start>255</start>
      <end>259</end>
      <status>ignored</status>
      <modifiedWord/>
      <trackRevisions>false</trackRevisions>
    </reviewItem>
    <reviewItem>
      <errorID>98b46446-aed0-45f3-939c-f060fe1f9dbc</errorID>
      <errorWord>全</errorWord>
      <group>L1_Word</group>
      <groupName>字词问题</groupName>
      <ability>L2_Typo</ability>
      <abilityName>字词错误</abilityName>
      <candidateList>
        <item>全过</item>
      </candidateList>
      <explain/>
      <paraID>309639C6</paraID>
      <start>289</start>
      <end>290</end>
      <status>ignored</status>
      <modifiedWord/>
      <trackRevisions>false</trackRevisions>
    </reviewItem>
    <reviewItem>
      <errorID>14b1f64d-3f47-4cdf-9714-fb55ca345552</errorID>
      <errorWord>料</errorWord>
      <group>L1_Word</group>
      <groupName>字词问题</groupName>
      <ability>L2_Typo</ability>
      <abilityName>字词错误</abilityName>
      <candidateList>
        <item>料等</item>
      </candidateList>
      <explain/>
      <paraID>6EC8FE5B</paraID>
      <start>89</start>
      <end>90</end>
      <status>ignored</status>
      <modifiedWord/>
      <trackRevisions>false</trackRevisions>
    </reviewItem>
    <reviewItem>
      <errorID>62982f1d-e3f7-45ba-a33c-f7076aa04ae4</errorID>
      <errorWord>》</errorWord>
      <group>L1_Word</group>
      <groupName>字词问题</groupName>
      <ability>L2_Typo</ability>
      <abilityName>字词错误</abilityName>
      <candidateList>
        <item>》等</item>
      </candidateList>
      <explain/>
      <paraID>3096E759</paraID>
      <start>32</start>
      <end>33</end>
      <status>ignored</status>
      <modifiedWord/>
      <trackRevisions>false</trackRevisions>
    </reviewItem>
    <reviewItem>
      <errorID>e97baa17-69e9-4099-90d9-0a9bf396911f</errorID>
      <errorWord>塑型</errorWord>
      <group>L1_Word</group>
      <groupName>字词问题</groupName>
      <ability>L2_Typo</ability>
      <abilityName>字词错误</abilityName>
      <candidateList>
        <item>塑形</item>
      </candidateList>
      <explain>存在发音相同字词的误用。</explain>
      <paraID>  E68EC6</paraID>
      <start>226</start>
      <end>228</end>
      <status>modified</status>
      <modifiedWord>塑形</modifiedWord>
      <trackRevisions>false</trackRevisions>
    </reviewItem>
    <reviewItem>
      <errorID>3663b50d-981d-4058-acfe-9c0300e1541d</errorID>
      <errorWord>塑型</errorWord>
      <group>L1_Word</group>
      <groupName>字词问题</groupName>
      <ability>L2_Typo</ability>
      <abilityName>字词错误</abilityName>
      <candidateList>
        <item>塑形</item>
      </candidateList>
      <explain>存在发音相同字词的误用。</explain>
      <paraID>6D2E68BC</paraID>
      <start>176</start>
      <end>178</end>
      <status>modified</status>
      <modifiedWord>塑形</modifiedWord>
      <trackRevisions>false</trackRevisions>
    </reviewItem>
    <reviewItem>
      <errorID>8d3b8002-2732-4748-a4d5-a5ab68997663</errorID>
      <errorWord>制标</errorWord>
      <group>L1_Word</group>
      <groupName>字词问题</groupName>
      <ability>L2_Typo</ability>
      <abilityName>字词错误</abilityName>
      <candidateList>
        <item>指标</item>
      </candidateList>
      <explain>存在发音相同字词的误用。</explain>
      <paraID>29178F68</paraID>
      <start>0</start>
      <end>2</end>
      <status>ignored</status>
      <modifiedWord/>
      <trackRevisions>false</trackRevisions>
    </reviewItem>
    <reviewItem>
      <errorID>b741786f-9502-44ed-ad1e-fc06f1bacf6c</errorID>
      <errorWord>护措</errorWord>
      <group>L1_Word</group>
      <groupName>字词问题</groupName>
      <ability>L2_Typo</ability>
      <abilityName>字词错误</abilityName>
      <candidateList>
        <item>举措</item>
      </candidateList>
      <explain>存在发音相近字词的误用。</explain>
      <paraID>290277FB</paraID>
      <start>0</start>
      <end>2</end>
      <status>ignored</status>
      <modifiedWord/>
      <trackRevisions>false</trackRevisions>
    </reviewItem>
    <reviewItem>
      <errorID>2004728c-7aaa-49f5-9849-8304cc0dce28</errorID>
      <errorWord>源源</errorWord>
      <group>L1_Word</group>
      <groupName>字词问题</groupName>
      <ability>L2_Typo</ability>
      <abilityName>字词错误</abilityName>
      <candidateList>
        <item>源</item>
      </candidateList>
      <explain/>
      <paraID>545E6BCF</paraID>
      <start>1</start>
      <end>3</end>
      <status>ignored</status>
      <modifiedWord/>
      <trackRevisions>false</trackRevisions>
    </reviewItem>
    <reviewItem>
      <errorID>16436672-01ec-4bf1-b639-70976eb41867</errorID>
      <errorWord>源源</errorWord>
      <group>L1_Word</group>
      <groupName>字词问题</groupName>
      <ability>L2_Typo</ability>
      <abilityName>字词错误</abilityName>
      <candidateList>
        <item>源</item>
      </candidateList>
      <explain/>
      <paraID>20D66769</paraID>
      <start>1</start>
      <end>3</end>
      <status>ignored</status>
      <modifiedWord/>
      <trackRevisions>false</trackRevisions>
    </reviewItem>
    <reviewItem>
      <errorID>03d9f9fd-0f90-4914-8738-884d5e81374a</errorID>
      <errorWord>（</errorWord>
      <group>L1_Format</group>
      <groupName>格式问题</groupName>
      <ability>L2_HalfPunc</ability>
      <abilityName>全半角检查</abilityName>
      <candidateList>
        <item>(</item>
      </candidateList>
      <explain>文本全半角错误。</explain>
      <paraID>79FBE16B</paraID>
      <start>12</start>
      <end>13</end>
      <status>ignored</status>
      <modifiedWord/>
      <trackRevisions>false</trackRevisions>
    </reviewItem>
    <reviewItem>
      <errorID>1c58dec8-15f2-4736-809f-d5bea2d8a3bd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45CFE02F</paraID>
      <start>182</start>
      <end>183</end>
      <status>ignored</status>
      <modifiedWord/>
      <trackRevisions>false</trackRevisions>
    </reviewItem>
    <reviewItem>
      <errorID>1cd12a1c-58b1-4738-a702-0856ce432bb0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5CC51B5A</paraID>
      <start>79</start>
      <end>80</end>
      <status>ignored</status>
      <modifiedWord/>
      <trackRevisions>false</trackRevisions>
    </reviewItem>
    <reviewItem>
      <errorID>dc11dede-51b7-49ea-b1c2-71d9800b2de0</errorID>
      <errorWord>质</errorWord>
      <group>L1_Word</group>
      <groupName>字词问题</groupName>
      <ability>L2_Typo</ability>
      <abilityName>字词错误</abilityName>
      <candidateList>
        <item>质量</item>
      </candidateList>
      <explain>〈名〉❶表示物体惯性大小的物理量。数值上等于物体所受外力和它获得的加速度的比值。有时也指物体中所含物质的量。质量是常量，不因高度或纬度变化而改变。❷产品或工作的优劣程度：工程～｜教学～｜这布～好，又好看，又耐穿。</explain>
      <paraID> 761FB34</paraID>
      <start>20</start>
      <end>21</end>
      <status>ignored</status>
      <modifiedWord/>
      <trackRevisions>false</trackRevisions>
    </reviewItem>
    <reviewItem>
      <errorID>46fc5ed9-3fcb-465c-bb4d-639dc4f2ce58</errorID>
      <errorWord>安全与</errorWord>
      <group>L1_Word</group>
      <groupName>字词问题</groupName>
      <ability>L2_Typo</ability>
      <abilityName>字词错误</abilityName>
      <candidateList>
        <item>安全</item>
      </candidateList>
      <explain>〈形〉没有危险；不受威胁；不出事故：～操作｜～地带｜注意交通～。</explain>
      <paraID>52F9CAB1</paraID>
      <start>34</start>
      <end>37</end>
      <status>ignored</status>
      <modifiedWord/>
      <trackRevisions>false</trackRevisions>
    </reviewItem>
    <reviewItem>
      <errorID>182b6559-9e4d-4455-8cd5-9664cbcf94c8</errorID>
      <errorWord>法治观念</errorWord>
      <group>L1_Word</group>
      <groupName>字词问题</groupName>
      <ability>L2_Typo</ability>
      <abilityName>字词错误</abilityName>
      <candidateList>
        <item>法制观念</item>
      </candidateList>
      <explain>存在发音相同字词的误用。</explain>
      <paraID>192656A1</paraID>
      <start>51</start>
      <end>55</end>
      <status>ignored</status>
      <modifiedWord/>
      <trackRevisions>false</trackRevisions>
    </reviewItem>
    <reviewItem>
      <errorID>aefec244-72cf-47b1-a8ef-6edae56d7400</errorID>
      <errorWord>环保治理</errorWord>
      <group>L1_Word</group>
      <groupName>字词问题</groupName>
      <ability>L2_Typo</ability>
      <abilityName>字词错误</abilityName>
      <candidateList>
        <item>环境治理</item>
      </candidateList>
      <explain/>
      <paraID>7D55493A</paraID>
      <start>27</start>
      <end>31</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58B847-4A4C-42FE-A60F-D4C5523E5B5F}">
  <ds:schemaRefs/>
</ds:datastoreItem>
</file>

<file path=customXml/itemProps3.xml><?xml version="1.0" encoding="utf-8"?>
<ds:datastoreItem xmlns:ds="http://schemas.openxmlformats.org/officeDocument/2006/customXml" ds:itemID="{08a1505d-266a-4bfc-a69a-42b9663ca518}">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73</Pages>
  <Words>370</Words>
  <Characters>460</Characters>
  <Lines>429</Lines>
  <Paragraphs>120</Paragraphs>
  <TotalTime>14</TotalTime>
  <ScaleCrop>false</ScaleCrop>
  <LinksUpToDate>false</LinksUpToDate>
  <CharactersWithSpaces>493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2024-07-03T02:43:00Z</dcterms:created>
  <dc:creator>尚云环境</dc:creator>
  <cp:lastModifiedBy>Scum</cp:lastModifiedBy>
  <cp:lastPrinted>2026-01-24T02:53:00Z</cp:lastPrinted>
  <dcterms:modified xsi:type="dcterms:W3CDTF">2026-01-25T05:49:59Z</dcterms:modified>
  <dc:title>建设项目环境影响报告表（污染影响类）</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FA9D4B07097A466D9150642D2EDF37F8_13</vt:lpwstr>
  </property>
  <property fmtid="{D5CDD505-2E9C-101B-9397-08002B2CF9AE}" pid="4" name="KSOTemplateDocerSaveRecord">
    <vt:lpwstr>eyJoZGlkIjoiYzk1NGQ0ZTNhZTY4M2Q1ZWMzMTdhN2MzYjFjOGExNGQiLCJ1c2VySWQiOiI0NTg5MzQ3MDUifQ==</vt:lpwstr>
  </property>
</Properties>
</file>